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18193" w14:textId="77777777" w:rsidR="00F56ADB" w:rsidRDefault="00F56ADB" w:rsidP="00F56ADB">
      <w:pPr>
        <w:contextualSpacing/>
        <w:rPr>
          <w:rFonts w:ascii="Times New Roman" w:hAnsi="Times New Roman" w:cs="Times New Roman"/>
          <w:b/>
          <w:szCs w:val="21"/>
        </w:rPr>
      </w:pPr>
      <w:bookmarkStart w:id="0" w:name="_Hlk153719181"/>
      <w:r>
        <w:rPr>
          <w:rFonts w:ascii="Times New Roman" w:hAnsi="Times New Roman" w:cs="Times New Roman"/>
          <w:b/>
          <w:szCs w:val="21"/>
        </w:rPr>
        <w:t>Supplementary Data</w:t>
      </w:r>
    </w:p>
    <w:p w14:paraId="3E94D41F" w14:textId="77777777" w:rsidR="00F56ADB" w:rsidRDefault="00F56ADB" w:rsidP="00F56ADB">
      <w:pPr>
        <w:contextualSpacing/>
        <w:rPr>
          <w:rFonts w:ascii="Times New Roman" w:hAnsi="Times New Roman" w:cs="Times New Roman"/>
          <w:szCs w:val="21"/>
        </w:rPr>
      </w:pPr>
      <w:r>
        <w:rPr>
          <w:rFonts w:ascii="Times New Roman" w:hAnsi="Times New Roman" w:cs="Times New Roman"/>
          <w:szCs w:val="21"/>
        </w:rPr>
        <w:t>Additional supporting information can be found in the Supplementary Figures</w:t>
      </w:r>
      <w:r>
        <w:rPr>
          <w:rFonts w:ascii="Times New Roman" w:hAnsi="Times New Roman" w:cs="Times New Roman" w:hint="eastAsia"/>
          <w:szCs w:val="21"/>
        </w:rPr>
        <w:t xml:space="preserve"> </w:t>
      </w:r>
      <w:r>
        <w:rPr>
          <w:rFonts w:ascii="Times New Roman" w:hAnsi="Times New Roman" w:cs="Times New Roman"/>
          <w:szCs w:val="21"/>
        </w:rPr>
        <w:t>section at the end of this article.</w:t>
      </w:r>
    </w:p>
    <w:p w14:paraId="6E9A7C81" w14:textId="77777777" w:rsidR="00F56ADB" w:rsidRDefault="00F56ADB" w:rsidP="00F56ADB">
      <w:pPr>
        <w:contextualSpacing/>
        <w:rPr>
          <w:rFonts w:ascii="Times New Roman" w:hAnsi="Times New Roman" w:cs="Times New Roman"/>
          <w:b/>
          <w:szCs w:val="21"/>
        </w:rPr>
      </w:pPr>
      <w:r>
        <w:rPr>
          <w:rFonts w:ascii="Times New Roman" w:hAnsi="Times New Roman" w:cs="Times New Roman"/>
          <w:b/>
          <w:szCs w:val="21"/>
        </w:rPr>
        <w:t>Supplementary Figures</w:t>
      </w:r>
    </w:p>
    <w:p w14:paraId="37A75980" w14:textId="77777777" w:rsidR="00F56ADB" w:rsidRDefault="00F56ADB" w:rsidP="00F56ADB">
      <w:pPr>
        <w:contextualSpacing/>
        <w:jc w:val="center"/>
        <w:rPr>
          <w:rFonts w:ascii="Times New Roman" w:hAnsi="Times New Roman" w:cs="Times New Roman"/>
          <w:b/>
          <w:szCs w:val="21"/>
        </w:rPr>
      </w:pPr>
      <w:r>
        <w:rPr>
          <w:rFonts w:ascii="Times New Roman" w:hAnsi="Times New Roman" w:cs="Times New Roman"/>
          <w:b/>
          <w:noProof/>
          <w:szCs w:val="21"/>
        </w:rPr>
        <w:drawing>
          <wp:inline distT="0" distB="0" distL="0" distR="0" wp14:anchorId="530BCC23" wp14:editId="06A33F6C">
            <wp:extent cx="3927475" cy="2206625"/>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3946670" cy="2217653"/>
                    </a:xfrm>
                    <a:prstGeom prst="rect">
                      <a:avLst/>
                    </a:prstGeom>
                  </pic:spPr>
                </pic:pic>
              </a:graphicData>
            </a:graphic>
          </wp:inline>
        </w:drawing>
      </w:r>
    </w:p>
    <w:p w14:paraId="2A214810" w14:textId="77777777" w:rsidR="00F56ADB" w:rsidRDefault="00F56ADB" w:rsidP="00F56ADB">
      <w:pPr>
        <w:contextualSpacing/>
        <w:jc w:val="left"/>
        <w:rPr>
          <w:rFonts w:ascii="Times New Roman" w:hAnsi="Times New Roman" w:cs="Times New Roman"/>
          <w:szCs w:val="21"/>
        </w:rPr>
      </w:pPr>
      <w:r>
        <w:rPr>
          <w:rFonts w:ascii="Times New Roman" w:hAnsi="Times New Roman" w:cs="Times New Roman"/>
          <w:bCs/>
          <w:szCs w:val="21"/>
        </w:rPr>
        <w:t xml:space="preserve">Fig. S1 Absolute number of infiltrating </w:t>
      </w:r>
      <w:r>
        <w:rPr>
          <w:rFonts w:ascii="Times New Roman" w:hAnsi="Times New Roman" w:cs="Times New Roman"/>
          <w:szCs w:val="21"/>
        </w:rPr>
        <w:t>Mo/MΦs in the SNpc</w:t>
      </w:r>
      <w:r>
        <w:rPr>
          <w:rFonts w:ascii="Times New Roman" w:hAnsi="Times New Roman" w:cs="Times New Roman"/>
          <w:bCs/>
          <w:szCs w:val="21"/>
        </w:rPr>
        <w:t>. (a) The total number of CD45</w:t>
      </w:r>
      <w:r>
        <w:rPr>
          <w:rFonts w:ascii="Times New Roman" w:hAnsi="Times New Roman" w:cs="Times New Roman"/>
          <w:bCs/>
          <w:szCs w:val="21"/>
          <w:vertAlign w:val="superscript"/>
        </w:rPr>
        <w:t>+</w:t>
      </w:r>
      <w:r>
        <w:rPr>
          <w:rFonts w:ascii="Times New Roman" w:hAnsi="Times New Roman" w:cs="Times New Roman"/>
          <w:bCs/>
          <w:szCs w:val="21"/>
        </w:rPr>
        <w:t>/CD11b</w:t>
      </w:r>
      <w:r>
        <w:rPr>
          <w:rFonts w:ascii="Times New Roman" w:hAnsi="Times New Roman" w:cs="Times New Roman"/>
          <w:bCs/>
          <w:szCs w:val="21"/>
          <w:vertAlign w:val="superscript"/>
        </w:rPr>
        <w:t>+</w:t>
      </w:r>
      <w:r>
        <w:rPr>
          <w:rFonts w:ascii="Times New Roman" w:hAnsi="Times New Roman" w:cs="Times New Roman"/>
          <w:bCs/>
          <w:szCs w:val="21"/>
        </w:rPr>
        <w:t>/Ly6C</w:t>
      </w:r>
      <w:r>
        <w:rPr>
          <w:rFonts w:ascii="Times New Roman" w:hAnsi="Times New Roman" w:cs="Times New Roman"/>
          <w:bCs/>
          <w:szCs w:val="21"/>
          <w:vertAlign w:val="superscript"/>
        </w:rPr>
        <w:t>+</w:t>
      </w:r>
      <w:r>
        <w:rPr>
          <w:rFonts w:ascii="Times New Roman" w:hAnsi="Times New Roman" w:cs="Times New Roman"/>
          <w:bCs/>
          <w:szCs w:val="21"/>
        </w:rPr>
        <w:t xml:space="preserve"> Mo/MΦs are increased in the SNpc after MPTP injection (n = 3). (b) </w:t>
      </w:r>
      <w:bookmarkStart w:id="1" w:name="_Hlk153792031"/>
      <w:r>
        <w:rPr>
          <w:rFonts w:ascii="Times New Roman" w:hAnsi="Times New Roman" w:cs="Times New Roman"/>
          <w:bCs/>
          <w:szCs w:val="21"/>
        </w:rPr>
        <w:t xml:space="preserve">TREM-1gene knockout or (c) </w:t>
      </w:r>
      <w:bookmarkStart w:id="2" w:name="_Hlk153792528"/>
      <w:r>
        <w:rPr>
          <w:rFonts w:ascii="Times New Roman" w:hAnsi="Times New Roman" w:cs="Times New Roman"/>
          <w:bCs/>
          <w:szCs w:val="21"/>
        </w:rPr>
        <w:t xml:space="preserve">pharmacological inhibition </w:t>
      </w:r>
      <w:bookmarkEnd w:id="2"/>
      <w:r>
        <w:rPr>
          <w:rFonts w:ascii="Times New Roman" w:hAnsi="Times New Roman" w:cs="Times New Roman"/>
          <w:bCs/>
          <w:szCs w:val="21"/>
        </w:rPr>
        <w:t>significantly reduces the total number of CD45</w:t>
      </w:r>
      <w:r>
        <w:rPr>
          <w:rFonts w:ascii="Times New Roman" w:hAnsi="Times New Roman" w:cs="Times New Roman"/>
          <w:bCs/>
          <w:szCs w:val="21"/>
          <w:vertAlign w:val="superscript"/>
        </w:rPr>
        <w:t>+</w:t>
      </w:r>
      <w:r>
        <w:rPr>
          <w:rFonts w:ascii="Times New Roman" w:hAnsi="Times New Roman" w:cs="Times New Roman"/>
          <w:bCs/>
          <w:szCs w:val="21"/>
        </w:rPr>
        <w:t>/CD11b</w:t>
      </w:r>
      <w:r>
        <w:rPr>
          <w:rFonts w:ascii="Times New Roman" w:hAnsi="Times New Roman" w:cs="Times New Roman"/>
          <w:bCs/>
          <w:szCs w:val="21"/>
          <w:vertAlign w:val="superscript"/>
        </w:rPr>
        <w:t>+</w:t>
      </w:r>
      <w:r>
        <w:rPr>
          <w:rFonts w:ascii="Times New Roman" w:hAnsi="Times New Roman" w:cs="Times New Roman"/>
          <w:bCs/>
          <w:szCs w:val="21"/>
        </w:rPr>
        <w:t>/Ly6C</w:t>
      </w:r>
      <w:r>
        <w:rPr>
          <w:rFonts w:ascii="Times New Roman" w:hAnsi="Times New Roman" w:cs="Times New Roman"/>
          <w:bCs/>
          <w:szCs w:val="21"/>
          <w:vertAlign w:val="superscript"/>
        </w:rPr>
        <w:t>+</w:t>
      </w:r>
      <w:r>
        <w:rPr>
          <w:rFonts w:ascii="Times New Roman" w:hAnsi="Times New Roman" w:cs="Times New Roman"/>
          <w:bCs/>
          <w:szCs w:val="21"/>
        </w:rPr>
        <w:t xml:space="preserve"> Mo/MΦs in the SNpc (n = 3). 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 </w:t>
      </w:r>
      <w:r>
        <w:rPr>
          <w:rFonts w:ascii="Times New Roman" w:hAnsi="Times New Roman" w:cs="Times New Roman"/>
          <w:bCs/>
          <w:szCs w:val="21"/>
        </w:rPr>
        <w:t>&lt; 0.01, or ***</w:t>
      </w:r>
      <w:r>
        <w:rPr>
          <w:rFonts w:ascii="Times New Roman" w:hAnsi="Times New Roman" w:cs="Times New Roman"/>
          <w:bCs/>
          <w:i/>
          <w:iCs/>
          <w:szCs w:val="21"/>
        </w:rPr>
        <w:t>P</w:t>
      </w:r>
      <w:r>
        <w:rPr>
          <w:rFonts w:ascii="Times New Roman" w:hAnsi="Times New Roman" w:cs="Times New Roman"/>
          <w:bCs/>
          <w:szCs w:val="21"/>
        </w:rPr>
        <w:t> &lt; 0.001 by one-way ANOVA or by Student’s t test).</w:t>
      </w:r>
      <w:bookmarkEnd w:id="1"/>
    </w:p>
    <w:p w14:paraId="59D64901" w14:textId="77777777" w:rsidR="00F56ADB" w:rsidRDefault="00F56ADB" w:rsidP="00F56ADB">
      <w:pPr>
        <w:contextualSpacing/>
        <w:jc w:val="left"/>
        <w:rPr>
          <w:rFonts w:ascii="Times New Roman" w:hAnsi="Times New Roman" w:cs="Times New Roman"/>
          <w:bCs/>
          <w:szCs w:val="21"/>
        </w:rPr>
      </w:pPr>
      <w:r>
        <w:rPr>
          <w:rFonts w:ascii="Times New Roman" w:hAnsi="Times New Roman" w:cs="Times New Roman"/>
          <w:bCs/>
          <w:noProof/>
          <w:szCs w:val="21"/>
        </w:rPr>
        <w:drawing>
          <wp:inline distT="0" distB="0" distL="0" distR="0" wp14:anchorId="3FC4CA82" wp14:editId="2877C2B4">
            <wp:extent cx="4876165" cy="1948815"/>
            <wp:effectExtent l="0" t="0" r="63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93116" cy="1955589"/>
                    </a:xfrm>
                    <a:prstGeom prst="rect">
                      <a:avLst/>
                    </a:prstGeom>
                  </pic:spPr>
                </pic:pic>
              </a:graphicData>
            </a:graphic>
          </wp:inline>
        </w:drawing>
      </w:r>
    </w:p>
    <w:p w14:paraId="0CBB983D" w14:textId="77777777" w:rsidR="00F56ADB" w:rsidRDefault="00F56ADB" w:rsidP="00F56ADB">
      <w:pPr>
        <w:contextualSpacing/>
        <w:jc w:val="left"/>
        <w:rPr>
          <w:rFonts w:ascii="Times New Roman" w:hAnsi="Times New Roman" w:cs="Times New Roman"/>
          <w:bCs/>
          <w:szCs w:val="21"/>
        </w:rPr>
      </w:pPr>
      <w:bookmarkStart w:id="3" w:name="_Hlk153805053"/>
      <w:r>
        <w:rPr>
          <w:rFonts w:ascii="Times New Roman" w:hAnsi="Times New Roman" w:cs="Times New Roman"/>
          <w:bCs/>
          <w:szCs w:val="21"/>
        </w:rPr>
        <w:t>Fig. S2 Correlation analysis between the inflammatory cytokines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IL-</w:t>
      </w:r>
      <w:r>
        <w:rPr>
          <w:rFonts w:ascii="Times New Roman" w:hAnsi="Times New Roman" w:cs="Times New Roman"/>
          <w:bCs/>
          <w:szCs w:val="21"/>
        </w:rPr>
        <w:t>6, and TNF-</w:t>
      </w:r>
      <w:r>
        <w:rPr>
          <w:rFonts w:ascii="Times New Roman" w:hAnsi="Times New Roman" w:cs="Times New Roman" w:hint="eastAsia"/>
          <w:bCs/>
          <w:szCs w:val="21"/>
        </w:rPr>
        <w:t>α</w:t>
      </w:r>
      <w:r>
        <w:rPr>
          <w:rFonts w:ascii="Times New Roman" w:hAnsi="Times New Roman" w:cs="Times New Roman"/>
          <w:bCs/>
          <w:szCs w:val="21"/>
        </w:rPr>
        <w:t xml:space="preserve">) and motor deficit. </w:t>
      </w:r>
      <w:r>
        <w:rPr>
          <w:rFonts w:ascii="Times New Roman" w:hAnsi="Times New Roman" w:cs="Times New Roman" w:hint="eastAsia"/>
          <w:bCs/>
          <w:szCs w:val="21"/>
        </w:rPr>
        <w:t>(</w:t>
      </w:r>
      <w:r>
        <w:rPr>
          <w:rFonts w:ascii="Times New Roman" w:hAnsi="Times New Roman" w:cs="Times New Roman"/>
          <w:bCs/>
          <w:szCs w:val="21"/>
        </w:rPr>
        <w:t>a) Total distance traveled in the OFT and inflammatory cytokines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IL-</w:t>
      </w:r>
      <w:r>
        <w:rPr>
          <w:rFonts w:ascii="Times New Roman" w:hAnsi="Times New Roman" w:cs="Times New Roman"/>
          <w:bCs/>
          <w:szCs w:val="21"/>
        </w:rPr>
        <w:t>6, and TNF-</w:t>
      </w:r>
      <w:r>
        <w:rPr>
          <w:rFonts w:ascii="Times New Roman" w:hAnsi="Times New Roman" w:cs="Times New Roman" w:hint="eastAsia"/>
          <w:bCs/>
          <w:szCs w:val="21"/>
        </w:rPr>
        <w:t>α</w:t>
      </w:r>
      <w:r>
        <w:rPr>
          <w:rFonts w:ascii="Times New Roman" w:hAnsi="Times New Roman" w:cs="Times New Roman"/>
          <w:bCs/>
          <w:szCs w:val="21"/>
        </w:rPr>
        <w:t xml:space="preserve">) level in the SNpc (n = 6). </w:t>
      </w:r>
      <w:r>
        <w:rPr>
          <w:rFonts w:ascii="Times New Roman" w:hAnsi="Times New Roman" w:cs="Times New Roman" w:hint="eastAsia"/>
          <w:bCs/>
          <w:szCs w:val="21"/>
        </w:rPr>
        <w:t>(</w:t>
      </w:r>
      <w:r>
        <w:rPr>
          <w:rFonts w:ascii="Times New Roman" w:hAnsi="Times New Roman" w:cs="Times New Roman"/>
          <w:bCs/>
          <w:szCs w:val="21"/>
        </w:rPr>
        <w:t>b) Latency to fall off the rod in the rotarod and inflammatory cytokines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IL-</w:t>
      </w:r>
      <w:r>
        <w:rPr>
          <w:rFonts w:ascii="Times New Roman" w:hAnsi="Times New Roman" w:cs="Times New Roman"/>
          <w:bCs/>
          <w:szCs w:val="21"/>
        </w:rPr>
        <w:t>6, and TNF-</w:t>
      </w:r>
      <w:r>
        <w:rPr>
          <w:rFonts w:ascii="Times New Roman" w:hAnsi="Times New Roman" w:cs="Times New Roman" w:hint="eastAsia"/>
          <w:bCs/>
          <w:szCs w:val="21"/>
        </w:rPr>
        <w:t>α</w:t>
      </w:r>
      <w:r>
        <w:rPr>
          <w:rFonts w:ascii="Times New Roman" w:hAnsi="Times New Roman" w:cs="Times New Roman"/>
          <w:bCs/>
          <w:szCs w:val="21"/>
        </w:rPr>
        <w:t>) level in the SNpc (n = 6). (c) Latency to descend in the pole and inflammatory cytokines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IL-</w:t>
      </w:r>
      <w:r>
        <w:rPr>
          <w:rFonts w:ascii="Times New Roman" w:hAnsi="Times New Roman" w:cs="Times New Roman"/>
          <w:bCs/>
          <w:szCs w:val="21"/>
        </w:rPr>
        <w:lastRenderedPageBreak/>
        <w:t>6, and TNF-</w:t>
      </w:r>
      <w:r>
        <w:rPr>
          <w:rFonts w:ascii="Times New Roman" w:hAnsi="Times New Roman" w:cs="Times New Roman" w:hint="eastAsia"/>
          <w:bCs/>
          <w:szCs w:val="21"/>
        </w:rPr>
        <w:t>α</w:t>
      </w:r>
      <w:r>
        <w:rPr>
          <w:rFonts w:ascii="Times New Roman" w:hAnsi="Times New Roman" w:cs="Times New Roman"/>
          <w:bCs/>
          <w:szCs w:val="21"/>
        </w:rPr>
        <w:t xml:space="preserve">) level in SNpc (n = 6). Pearson’s correlation test was applied for correlation analysis. Significance levels are indicated as: * </w:t>
      </w:r>
      <w:r>
        <w:rPr>
          <w:rFonts w:ascii="Times New Roman" w:hAnsi="Times New Roman" w:cs="Times New Roman"/>
          <w:bCs/>
          <w:i/>
          <w:iCs/>
          <w:szCs w:val="21"/>
        </w:rPr>
        <w:t>P</w:t>
      </w:r>
      <w:r>
        <w:rPr>
          <w:rFonts w:ascii="Times New Roman" w:hAnsi="Times New Roman" w:cs="Times New Roman"/>
          <w:bCs/>
          <w:szCs w:val="21"/>
        </w:rPr>
        <w:t xml:space="preserve"> &lt; 0.05, ** </w:t>
      </w:r>
      <w:r>
        <w:rPr>
          <w:rFonts w:ascii="Times New Roman" w:hAnsi="Times New Roman" w:cs="Times New Roman"/>
          <w:bCs/>
          <w:i/>
          <w:iCs/>
          <w:szCs w:val="21"/>
        </w:rPr>
        <w:t>P</w:t>
      </w:r>
      <w:r>
        <w:rPr>
          <w:rFonts w:ascii="Times New Roman" w:hAnsi="Times New Roman" w:cs="Times New Roman"/>
          <w:bCs/>
          <w:szCs w:val="21"/>
        </w:rPr>
        <w:t xml:space="preserve"> &lt; 0.01, *** </w:t>
      </w:r>
      <w:r>
        <w:rPr>
          <w:rFonts w:ascii="Times New Roman" w:hAnsi="Times New Roman" w:cs="Times New Roman"/>
          <w:bCs/>
          <w:i/>
          <w:iCs/>
          <w:szCs w:val="21"/>
        </w:rPr>
        <w:t>P</w:t>
      </w:r>
      <w:r>
        <w:rPr>
          <w:rFonts w:ascii="Times New Roman" w:hAnsi="Times New Roman" w:cs="Times New Roman"/>
          <w:bCs/>
          <w:szCs w:val="21"/>
        </w:rPr>
        <w:t xml:space="preserve"> &lt; 0.001, and not significant (n.s.).</w:t>
      </w:r>
    </w:p>
    <w:bookmarkEnd w:id="3"/>
    <w:p w14:paraId="13CC0CB7"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bCs/>
          <w:noProof/>
          <w:szCs w:val="21"/>
        </w:rPr>
        <w:drawing>
          <wp:inline distT="0" distB="0" distL="0" distR="0" wp14:anchorId="4FAF9FC6" wp14:editId="1F915536">
            <wp:extent cx="4039870" cy="242506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46958" cy="2429545"/>
                    </a:xfrm>
                    <a:prstGeom prst="rect">
                      <a:avLst/>
                    </a:prstGeom>
                  </pic:spPr>
                </pic:pic>
              </a:graphicData>
            </a:graphic>
          </wp:inline>
        </w:drawing>
      </w:r>
    </w:p>
    <w:p w14:paraId="161096EF" w14:textId="77777777" w:rsidR="00F56ADB" w:rsidRDefault="00F56ADB" w:rsidP="00F56ADB">
      <w:pPr>
        <w:contextualSpacing/>
        <w:jc w:val="left"/>
        <w:rPr>
          <w:rFonts w:ascii="Times New Roman" w:hAnsi="Times New Roman" w:cs="Times New Roman"/>
          <w:bCs/>
          <w:szCs w:val="21"/>
        </w:rPr>
      </w:pPr>
      <w:bookmarkStart w:id="4" w:name="_Hlk153705003"/>
      <w:r>
        <w:rPr>
          <w:rFonts w:ascii="Times New Roman" w:hAnsi="Times New Roman" w:cs="Times New Roman"/>
          <w:bCs/>
          <w:szCs w:val="21"/>
        </w:rPr>
        <w:t>Fig. S3 LP17</w:t>
      </w:r>
      <w:bookmarkStart w:id="5" w:name="_Hlk153793502"/>
      <w:r>
        <w:rPr>
          <w:rFonts w:ascii="Times New Roman" w:hAnsi="Times New Roman" w:cs="Times New Roman"/>
          <w:bCs/>
          <w:szCs w:val="21"/>
        </w:rPr>
        <w:t xml:space="preserve"> could get access into the brain. (a) LP17 was labeled with rhodamine and red fluorescent signals of LP17 were detected in SNpc. (b) LP17 levels were determined by HPLC from SNpc (n = 3). 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w:t>
      </w:r>
      <w:r>
        <w:rPr>
          <w:rFonts w:ascii="Times New Roman" w:hAnsi="Times New Roman" w:cs="Times New Roman"/>
          <w:bCs/>
          <w:szCs w:val="21"/>
        </w:rPr>
        <w:t> &lt; 0.01, or ***</w:t>
      </w:r>
      <w:r>
        <w:rPr>
          <w:rFonts w:ascii="Times New Roman" w:hAnsi="Times New Roman" w:cs="Times New Roman"/>
          <w:bCs/>
          <w:i/>
          <w:iCs/>
          <w:szCs w:val="21"/>
        </w:rPr>
        <w:t>P</w:t>
      </w:r>
      <w:r>
        <w:rPr>
          <w:rFonts w:ascii="Times New Roman" w:hAnsi="Times New Roman" w:cs="Times New Roman"/>
          <w:bCs/>
          <w:szCs w:val="21"/>
        </w:rPr>
        <w:t> &lt; 0.001 by Student’s t test).</w:t>
      </w:r>
      <w:bookmarkEnd w:id="5"/>
    </w:p>
    <w:bookmarkEnd w:id="4"/>
    <w:p w14:paraId="157B091F"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bCs/>
          <w:noProof/>
          <w:szCs w:val="21"/>
        </w:rPr>
        <w:drawing>
          <wp:inline distT="0" distB="0" distL="0" distR="0" wp14:anchorId="257EA9C6" wp14:editId="0743CA67">
            <wp:extent cx="4052570" cy="2277110"/>
            <wp:effectExtent l="0" t="0" r="5080" b="889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072817" cy="2288535"/>
                    </a:xfrm>
                    <a:prstGeom prst="rect">
                      <a:avLst/>
                    </a:prstGeom>
                  </pic:spPr>
                </pic:pic>
              </a:graphicData>
            </a:graphic>
          </wp:inline>
        </w:drawing>
      </w:r>
    </w:p>
    <w:p w14:paraId="2C19A9E1" w14:textId="77777777" w:rsidR="00F56ADB" w:rsidRDefault="00F56ADB" w:rsidP="00F56ADB">
      <w:pPr>
        <w:contextualSpacing/>
        <w:jc w:val="left"/>
        <w:rPr>
          <w:rFonts w:ascii="Times New Roman" w:hAnsi="Times New Roman" w:cs="Times New Roman"/>
          <w:bCs/>
          <w:szCs w:val="21"/>
        </w:rPr>
      </w:pPr>
      <w:bookmarkStart w:id="6" w:name="_Hlk153807628"/>
      <w:r>
        <w:rPr>
          <w:rFonts w:ascii="Times New Roman" w:hAnsi="Times New Roman" w:cs="Times New Roman"/>
          <w:bCs/>
          <w:szCs w:val="21"/>
        </w:rPr>
        <w:t>Fig. S4 MPP</w:t>
      </w:r>
      <w:r>
        <w:rPr>
          <w:rFonts w:ascii="Times New Roman" w:hAnsi="Times New Roman" w:cs="Times New Roman"/>
          <w:bCs/>
          <w:szCs w:val="21"/>
          <w:vertAlign w:val="superscript"/>
        </w:rPr>
        <w:t>+</w:t>
      </w:r>
      <w:r>
        <w:rPr>
          <w:rFonts w:ascii="Times New Roman" w:hAnsi="Times New Roman" w:cs="Times New Roman"/>
          <w:bCs/>
          <w:szCs w:val="21"/>
        </w:rPr>
        <w:t xml:space="preserve"> levels were determined by HPLC from the striatum dissected 90 min after intraperitoneal MPTP application. (a) LP17 and CLP (b) application does not alter MPP</w:t>
      </w:r>
      <w:r>
        <w:rPr>
          <w:rFonts w:ascii="Times New Roman" w:hAnsi="Times New Roman" w:cs="Times New Roman"/>
          <w:bCs/>
          <w:szCs w:val="21"/>
          <w:vertAlign w:val="superscript"/>
        </w:rPr>
        <w:t>+</w:t>
      </w:r>
      <w:r>
        <w:rPr>
          <w:rFonts w:ascii="Times New Roman" w:hAnsi="Times New Roman" w:cs="Times New Roman"/>
          <w:bCs/>
          <w:szCs w:val="21"/>
        </w:rPr>
        <w:t xml:space="preserve"> levels striatum after MPTP injection (n = 3). </w:t>
      </w:r>
      <w:bookmarkEnd w:id="6"/>
      <w:r>
        <w:rPr>
          <w:rFonts w:ascii="Times New Roman" w:hAnsi="Times New Roman" w:cs="Times New Roman"/>
          <w:bCs/>
          <w:szCs w:val="21"/>
        </w:rPr>
        <w:t>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w:t>
      </w:r>
      <w:r>
        <w:rPr>
          <w:rFonts w:ascii="Times New Roman" w:hAnsi="Times New Roman" w:cs="Times New Roman"/>
          <w:bCs/>
          <w:szCs w:val="21"/>
        </w:rPr>
        <w:t> &lt; 0.01, or ***</w:t>
      </w:r>
      <w:r>
        <w:rPr>
          <w:rFonts w:ascii="Times New Roman" w:hAnsi="Times New Roman" w:cs="Times New Roman"/>
          <w:bCs/>
          <w:i/>
          <w:iCs/>
          <w:szCs w:val="21"/>
        </w:rPr>
        <w:t>P</w:t>
      </w:r>
      <w:r>
        <w:rPr>
          <w:rFonts w:ascii="Times New Roman" w:hAnsi="Times New Roman" w:cs="Times New Roman"/>
          <w:bCs/>
          <w:szCs w:val="21"/>
        </w:rPr>
        <w:t> &lt; 0.001 by one-way ANOVA or by Student’s t test).</w:t>
      </w:r>
    </w:p>
    <w:p w14:paraId="6F96D861"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hint="eastAsia"/>
          <w:bCs/>
          <w:noProof/>
          <w:szCs w:val="21"/>
        </w:rPr>
        <w:lastRenderedPageBreak/>
        <w:drawing>
          <wp:inline distT="0" distB="0" distL="114300" distR="114300" wp14:anchorId="4EB8911B" wp14:editId="19A3A1C9">
            <wp:extent cx="4579620" cy="3054985"/>
            <wp:effectExtent l="0" t="0" r="5080" b="5715"/>
            <wp:docPr id="16" name="图片 16"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 S5"/>
                    <pic:cNvPicPr>
                      <a:picLocks noChangeAspect="1"/>
                    </pic:cNvPicPr>
                  </pic:nvPicPr>
                  <pic:blipFill>
                    <a:blip r:embed="rId8"/>
                    <a:stretch>
                      <a:fillRect/>
                    </a:stretch>
                  </pic:blipFill>
                  <pic:spPr>
                    <a:xfrm>
                      <a:off x="0" y="0"/>
                      <a:ext cx="4579620" cy="3054985"/>
                    </a:xfrm>
                    <a:prstGeom prst="rect">
                      <a:avLst/>
                    </a:prstGeom>
                  </pic:spPr>
                </pic:pic>
              </a:graphicData>
            </a:graphic>
          </wp:inline>
        </w:drawing>
      </w:r>
    </w:p>
    <w:p w14:paraId="08F7F18F" w14:textId="77777777" w:rsidR="00F56ADB" w:rsidRDefault="00F56ADB" w:rsidP="00F56ADB">
      <w:pPr>
        <w:contextualSpacing/>
        <w:jc w:val="left"/>
        <w:rPr>
          <w:rFonts w:ascii="Times New Roman" w:hAnsi="Times New Roman" w:cs="Times New Roman"/>
          <w:bCs/>
          <w:szCs w:val="21"/>
        </w:rPr>
      </w:pPr>
      <w:r>
        <w:rPr>
          <w:rFonts w:ascii="Times New Roman" w:hAnsi="Times New Roman" w:cs="Times New Roman" w:hint="eastAsia"/>
          <w:bCs/>
          <w:szCs w:val="21"/>
        </w:rPr>
        <w:t>F</w:t>
      </w:r>
      <w:r>
        <w:rPr>
          <w:rFonts w:ascii="Times New Roman" w:hAnsi="Times New Roman" w:cs="Times New Roman"/>
          <w:bCs/>
          <w:szCs w:val="21"/>
        </w:rPr>
        <w:t>ig. S5 Effects of TREM-1 gene knockout on the dopamine neurons and inflammatory cytokines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IL-</w:t>
      </w:r>
      <w:r>
        <w:rPr>
          <w:rFonts w:ascii="Times New Roman" w:hAnsi="Times New Roman" w:cs="Times New Roman"/>
          <w:bCs/>
          <w:szCs w:val="21"/>
        </w:rPr>
        <w:t>6, and TNF-</w:t>
      </w:r>
      <w:r>
        <w:rPr>
          <w:rFonts w:ascii="Times New Roman" w:hAnsi="Times New Roman" w:cs="Times New Roman" w:hint="eastAsia"/>
          <w:bCs/>
          <w:szCs w:val="21"/>
        </w:rPr>
        <w:t>α</w:t>
      </w:r>
      <w:r>
        <w:rPr>
          <w:rFonts w:ascii="Times New Roman" w:hAnsi="Times New Roman" w:cs="Times New Roman"/>
          <w:bCs/>
          <w:szCs w:val="21"/>
        </w:rPr>
        <w:t>). (a-b) Quantification of the total number of TH</w:t>
      </w:r>
      <w:r>
        <w:rPr>
          <w:rFonts w:ascii="Times New Roman" w:hAnsi="Times New Roman" w:cs="Times New Roman"/>
          <w:bCs/>
          <w:szCs w:val="21"/>
          <w:vertAlign w:val="superscript"/>
        </w:rPr>
        <w:t>+</w:t>
      </w:r>
      <w:r>
        <w:rPr>
          <w:rFonts w:ascii="Times New Roman" w:hAnsi="Times New Roman" w:cs="Times New Roman"/>
          <w:bCs/>
          <w:szCs w:val="21"/>
        </w:rPr>
        <w:t xml:space="preserve"> cells in the SNpc (n = 6 sections/3 mice per group). Scale bars: 200 µm for the overview. (c-h) Western blot analysis for IL-1β, IL-6, and TNF-α in the SNpc of the WT and TREM-1-deficient mice (n = 3). 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w:t>
      </w:r>
      <w:r>
        <w:rPr>
          <w:rFonts w:ascii="Times New Roman" w:hAnsi="Times New Roman" w:cs="Times New Roman"/>
          <w:bCs/>
          <w:szCs w:val="21"/>
        </w:rPr>
        <w:t> &lt; 0.01, or ***</w:t>
      </w:r>
      <w:r>
        <w:rPr>
          <w:rFonts w:ascii="Times New Roman" w:hAnsi="Times New Roman" w:cs="Times New Roman"/>
          <w:bCs/>
          <w:i/>
          <w:iCs/>
          <w:szCs w:val="21"/>
        </w:rPr>
        <w:t>P </w:t>
      </w:r>
      <w:r>
        <w:rPr>
          <w:rFonts w:ascii="Times New Roman" w:hAnsi="Times New Roman" w:cs="Times New Roman"/>
          <w:bCs/>
          <w:szCs w:val="21"/>
        </w:rPr>
        <w:t xml:space="preserve">&lt; 0.001 by Student’s t test) </w:t>
      </w:r>
    </w:p>
    <w:p w14:paraId="2AFAB937"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bCs/>
          <w:noProof/>
          <w:szCs w:val="21"/>
        </w:rPr>
        <w:drawing>
          <wp:inline distT="0" distB="0" distL="0" distR="0" wp14:anchorId="358261DB" wp14:editId="65F0CD1F">
            <wp:extent cx="3298825" cy="1752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rcRect t="14478" r="4905" b="6848"/>
                    <a:stretch>
                      <a:fillRect/>
                    </a:stretch>
                  </pic:blipFill>
                  <pic:spPr>
                    <a:xfrm>
                      <a:off x="0" y="0"/>
                      <a:ext cx="3317977" cy="1762553"/>
                    </a:xfrm>
                    <a:prstGeom prst="rect">
                      <a:avLst/>
                    </a:prstGeom>
                    <a:ln>
                      <a:noFill/>
                    </a:ln>
                  </pic:spPr>
                </pic:pic>
              </a:graphicData>
            </a:graphic>
          </wp:inline>
        </w:drawing>
      </w:r>
    </w:p>
    <w:p w14:paraId="6FA04AA5" w14:textId="77777777" w:rsidR="00F56ADB" w:rsidRDefault="00F56ADB" w:rsidP="00F56ADB">
      <w:pPr>
        <w:contextualSpacing/>
        <w:jc w:val="left"/>
        <w:rPr>
          <w:rFonts w:ascii="Times New Roman" w:hAnsi="Times New Roman" w:cs="Times New Roman"/>
          <w:bCs/>
          <w:szCs w:val="21"/>
        </w:rPr>
      </w:pPr>
      <w:r>
        <w:rPr>
          <w:rFonts w:ascii="Times New Roman" w:hAnsi="Times New Roman" w:cs="Times New Roman"/>
          <w:bCs/>
          <w:szCs w:val="21"/>
        </w:rPr>
        <w:t>Fig. S6 Inflammatory cytokines (IL-6, IL-1</w:t>
      </w:r>
      <w:r>
        <w:rPr>
          <w:rFonts w:ascii="Times New Roman" w:hAnsi="Times New Roman" w:cs="Times New Roman" w:hint="eastAsia"/>
          <w:bCs/>
          <w:szCs w:val="21"/>
        </w:rPr>
        <w:t>β,</w:t>
      </w:r>
      <w:r>
        <w:rPr>
          <w:rFonts w:ascii="Times New Roman" w:hAnsi="Times New Roman" w:cs="Times New Roman"/>
          <w:bCs/>
          <w:szCs w:val="21"/>
        </w:rPr>
        <w:t xml:space="preserve"> </w:t>
      </w:r>
      <w:r>
        <w:rPr>
          <w:rFonts w:ascii="Times New Roman" w:hAnsi="Times New Roman" w:cs="Times New Roman" w:hint="eastAsia"/>
          <w:bCs/>
          <w:szCs w:val="21"/>
        </w:rPr>
        <w:t>and</w:t>
      </w:r>
      <w:r>
        <w:rPr>
          <w:rFonts w:ascii="Times New Roman" w:hAnsi="Times New Roman" w:cs="Times New Roman"/>
          <w:bCs/>
          <w:szCs w:val="21"/>
        </w:rPr>
        <w:t xml:space="preserve"> </w:t>
      </w:r>
      <w:r>
        <w:rPr>
          <w:rFonts w:ascii="Times New Roman" w:hAnsi="Times New Roman" w:cs="Times New Roman" w:hint="eastAsia"/>
          <w:bCs/>
          <w:szCs w:val="21"/>
        </w:rPr>
        <w:t>TNF</w:t>
      </w:r>
      <w:r>
        <w:rPr>
          <w:rFonts w:ascii="Times New Roman" w:hAnsi="Times New Roman" w:cs="Times New Roman"/>
          <w:bCs/>
          <w:szCs w:val="21"/>
        </w:rPr>
        <w:t>-</w:t>
      </w:r>
      <w:r>
        <w:rPr>
          <w:rFonts w:ascii="Times New Roman" w:hAnsi="Times New Roman" w:cs="Times New Roman" w:hint="eastAsia"/>
          <w:bCs/>
          <w:szCs w:val="21"/>
        </w:rPr>
        <w:t>α</w:t>
      </w:r>
      <w:r>
        <w:rPr>
          <w:rFonts w:ascii="Times New Roman" w:hAnsi="Times New Roman" w:cs="Times New Roman"/>
          <w:bCs/>
          <w:szCs w:val="21"/>
        </w:rPr>
        <w:t>) in serum after adoptive transfer of Ly6C</w:t>
      </w:r>
      <w:r>
        <w:rPr>
          <w:rFonts w:ascii="Times New Roman" w:hAnsi="Times New Roman" w:cs="Times New Roman"/>
          <w:bCs/>
          <w:szCs w:val="21"/>
          <w:vertAlign w:val="superscript"/>
        </w:rPr>
        <w:t>+</w:t>
      </w:r>
      <w:r>
        <w:rPr>
          <w:rFonts w:ascii="Times New Roman" w:hAnsi="Times New Roman" w:cs="Times New Roman"/>
          <w:bCs/>
          <w:szCs w:val="21"/>
        </w:rPr>
        <w:t xml:space="preserve"> monocytes. (a-c) IL-6, IL-1β, and TNF-α were detected in serum by ELISA (n = 5). 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w:t>
      </w:r>
      <w:r>
        <w:rPr>
          <w:rFonts w:ascii="Times New Roman" w:hAnsi="Times New Roman" w:cs="Times New Roman"/>
          <w:bCs/>
          <w:szCs w:val="21"/>
        </w:rPr>
        <w:t> &lt; 0.01, or ***</w:t>
      </w:r>
      <w:r>
        <w:rPr>
          <w:rFonts w:ascii="Times New Roman" w:hAnsi="Times New Roman" w:cs="Times New Roman"/>
          <w:bCs/>
          <w:i/>
          <w:iCs/>
          <w:szCs w:val="21"/>
        </w:rPr>
        <w:t>P</w:t>
      </w:r>
      <w:r>
        <w:rPr>
          <w:rFonts w:ascii="Times New Roman" w:hAnsi="Times New Roman" w:cs="Times New Roman"/>
          <w:bCs/>
          <w:szCs w:val="21"/>
        </w:rPr>
        <w:t> &lt; 0.001 by one-way ANOVA).</w:t>
      </w:r>
    </w:p>
    <w:p w14:paraId="735C89B5"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bCs/>
          <w:noProof/>
          <w:szCs w:val="21"/>
        </w:rPr>
        <w:lastRenderedPageBreak/>
        <w:drawing>
          <wp:inline distT="0" distB="0" distL="0" distR="0" wp14:anchorId="61FA11CD" wp14:editId="3FE0A71C">
            <wp:extent cx="3895090" cy="26949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cstate="print">
                      <a:extLst>
                        <a:ext uri="{28A0092B-C50C-407E-A947-70E740481C1C}">
                          <a14:useLocalDpi xmlns:a14="http://schemas.microsoft.com/office/drawing/2010/main" val="0"/>
                        </a:ext>
                      </a:extLst>
                    </a:blip>
                    <a:srcRect t="4054" b="3728"/>
                    <a:stretch>
                      <a:fillRect/>
                    </a:stretch>
                  </pic:blipFill>
                  <pic:spPr>
                    <a:xfrm>
                      <a:off x="0" y="0"/>
                      <a:ext cx="3904244" cy="2701241"/>
                    </a:xfrm>
                    <a:prstGeom prst="rect">
                      <a:avLst/>
                    </a:prstGeom>
                    <a:ln>
                      <a:noFill/>
                    </a:ln>
                  </pic:spPr>
                </pic:pic>
              </a:graphicData>
            </a:graphic>
          </wp:inline>
        </w:drawing>
      </w:r>
    </w:p>
    <w:p w14:paraId="401BE901" w14:textId="77777777" w:rsidR="00F56ADB" w:rsidRDefault="00F56ADB" w:rsidP="00F56ADB">
      <w:pPr>
        <w:contextualSpacing/>
        <w:jc w:val="left"/>
        <w:rPr>
          <w:rFonts w:ascii="Times New Roman" w:hAnsi="Times New Roman" w:cs="Times New Roman"/>
          <w:szCs w:val="21"/>
        </w:rPr>
      </w:pPr>
      <w:bookmarkStart w:id="7" w:name="_Hlk153812069"/>
      <w:r>
        <w:rPr>
          <w:rFonts w:ascii="Times New Roman" w:hAnsi="Times New Roman" w:cs="Times New Roman"/>
          <w:bCs/>
          <w:szCs w:val="21"/>
        </w:rPr>
        <w:t>Fig. S7 CD4</w:t>
      </w:r>
      <w:r>
        <w:rPr>
          <w:rFonts w:ascii="Times New Roman" w:hAnsi="Times New Roman" w:cs="Times New Roman"/>
          <w:bCs/>
          <w:szCs w:val="21"/>
          <w:vertAlign w:val="superscript"/>
        </w:rPr>
        <w:t>+</w:t>
      </w:r>
      <w:r>
        <w:rPr>
          <w:rFonts w:ascii="Times New Roman" w:hAnsi="Times New Roman" w:cs="Times New Roman"/>
          <w:bCs/>
          <w:szCs w:val="21"/>
        </w:rPr>
        <w:t xml:space="preserve"> T-lymphocyte infiltration in SNpc. (a) Plots identify CD4</w:t>
      </w:r>
      <w:r>
        <w:rPr>
          <w:rFonts w:ascii="Times New Roman" w:hAnsi="Times New Roman" w:cs="Times New Roman"/>
          <w:bCs/>
          <w:szCs w:val="21"/>
          <w:vertAlign w:val="superscript"/>
        </w:rPr>
        <w:t>+</w:t>
      </w:r>
      <w:r>
        <w:rPr>
          <w:rFonts w:ascii="Times New Roman" w:hAnsi="Times New Roman" w:cs="Times New Roman"/>
          <w:bCs/>
          <w:szCs w:val="21"/>
        </w:rPr>
        <w:t xml:space="preserve"> T-lymphocyte. (b) Percentages of CD4</w:t>
      </w:r>
      <w:r>
        <w:rPr>
          <w:rFonts w:ascii="Times New Roman" w:hAnsi="Times New Roman" w:cs="Times New Roman"/>
          <w:bCs/>
          <w:szCs w:val="21"/>
          <w:vertAlign w:val="superscript"/>
        </w:rPr>
        <w:t>+</w:t>
      </w:r>
      <w:r>
        <w:rPr>
          <w:rFonts w:ascii="Times New Roman" w:hAnsi="Times New Roman" w:cs="Times New Roman"/>
          <w:bCs/>
          <w:szCs w:val="21"/>
        </w:rPr>
        <w:t xml:space="preserve"> T-lymphocyte detected in SNpc by flow cytometry (n = 4) (c) Representative histograms of TREM1 expression on CD4</w:t>
      </w:r>
      <w:r>
        <w:rPr>
          <w:rFonts w:ascii="Times New Roman" w:hAnsi="Times New Roman" w:cs="Times New Roman"/>
          <w:bCs/>
          <w:szCs w:val="21"/>
          <w:vertAlign w:val="superscript"/>
        </w:rPr>
        <w:t>+</w:t>
      </w:r>
      <w:r>
        <w:rPr>
          <w:rFonts w:ascii="Times New Roman" w:hAnsi="Times New Roman" w:cs="Times New Roman"/>
          <w:bCs/>
          <w:szCs w:val="21"/>
        </w:rPr>
        <w:t xml:space="preserve"> T-lymphocyte. (e) CD4</w:t>
      </w:r>
      <w:r>
        <w:rPr>
          <w:rFonts w:ascii="Times New Roman" w:hAnsi="Times New Roman" w:cs="Times New Roman"/>
          <w:bCs/>
          <w:szCs w:val="21"/>
          <w:vertAlign w:val="superscript"/>
        </w:rPr>
        <w:t>+</w:t>
      </w:r>
      <w:r>
        <w:rPr>
          <w:rFonts w:ascii="Times New Roman" w:hAnsi="Times New Roman" w:cs="Times New Roman"/>
          <w:bCs/>
          <w:szCs w:val="21"/>
        </w:rPr>
        <w:t xml:space="preserve"> T-lymphocyte TREM-1 MFI in the SNpc (n = 4).</w:t>
      </w:r>
      <w:r>
        <w:rPr>
          <w:rFonts w:ascii="Times New Roman" w:hAnsi="Times New Roman" w:cs="Times New Roman"/>
          <w:szCs w:val="21"/>
        </w:rPr>
        <w:t xml:space="preserve"> </w:t>
      </w:r>
      <w:bookmarkEnd w:id="0"/>
      <w:r>
        <w:rPr>
          <w:rFonts w:ascii="Times New Roman" w:hAnsi="Times New Roman" w:cs="Times New Roman"/>
          <w:bCs/>
          <w:szCs w:val="21"/>
        </w:rPr>
        <w:t>The data are presented as the mean ± SEM. (*</w:t>
      </w:r>
      <w:r>
        <w:rPr>
          <w:rFonts w:ascii="Times New Roman" w:hAnsi="Times New Roman" w:cs="Times New Roman"/>
          <w:bCs/>
          <w:i/>
          <w:iCs/>
          <w:szCs w:val="21"/>
        </w:rPr>
        <w:t>P</w:t>
      </w:r>
      <w:r>
        <w:rPr>
          <w:rFonts w:ascii="Times New Roman" w:hAnsi="Times New Roman" w:cs="Times New Roman"/>
          <w:bCs/>
          <w:szCs w:val="21"/>
        </w:rPr>
        <w:t> &lt; 0.05, **</w:t>
      </w:r>
      <w:r>
        <w:rPr>
          <w:rFonts w:ascii="Times New Roman" w:hAnsi="Times New Roman" w:cs="Times New Roman"/>
          <w:bCs/>
          <w:i/>
          <w:iCs/>
          <w:szCs w:val="21"/>
        </w:rPr>
        <w:t>P</w:t>
      </w:r>
      <w:r>
        <w:rPr>
          <w:rFonts w:ascii="Times New Roman" w:hAnsi="Times New Roman" w:cs="Times New Roman"/>
          <w:bCs/>
          <w:szCs w:val="21"/>
        </w:rPr>
        <w:t> &lt; 0.01, or ***</w:t>
      </w:r>
      <w:r>
        <w:rPr>
          <w:rFonts w:ascii="Times New Roman" w:hAnsi="Times New Roman" w:cs="Times New Roman"/>
          <w:bCs/>
          <w:i/>
          <w:iCs/>
          <w:szCs w:val="21"/>
        </w:rPr>
        <w:t>P</w:t>
      </w:r>
      <w:r>
        <w:rPr>
          <w:rFonts w:ascii="Times New Roman" w:hAnsi="Times New Roman" w:cs="Times New Roman"/>
          <w:bCs/>
          <w:szCs w:val="21"/>
        </w:rPr>
        <w:t> &lt; 0.001 by Student’s t test).</w:t>
      </w:r>
    </w:p>
    <w:bookmarkEnd w:id="7"/>
    <w:p w14:paraId="09C695C5" w14:textId="77777777" w:rsidR="00F56ADB" w:rsidRDefault="00F56ADB" w:rsidP="00F56ADB">
      <w:pPr>
        <w:contextualSpacing/>
        <w:jc w:val="center"/>
        <w:rPr>
          <w:rFonts w:ascii="Times New Roman" w:hAnsi="Times New Roman" w:cs="Times New Roman"/>
          <w:bCs/>
          <w:szCs w:val="21"/>
        </w:rPr>
      </w:pPr>
      <w:r>
        <w:rPr>
          <w:rFonts w:ascii="Times New Roman" w:hAnsi="Times New Roman" w:cs="Times New Roman"/>
          <w:bCs/>
          <w:noProof/>
          <w:szCs w:val="21"/>
        </w:rPr>
        <w:drawing>
          <wp:inline distT="0" distB="0" distL="0" distR="0" wp14:anchorId="2D016BC9" wp14:editId="2A90D9A9">
            <wp:extent cx="2901950" cy="1475740"/>
            <wp:effectExtent l="0" t="0" r="6350" b="1016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a:extLst>
                        <a:ext uri="{28A0092B-C50C-407E-A947-70E740481C1C}">
                          <a14:useLocalDpi xmlns:a14="http://schemas.microsoft.com/office/drawing/2010/main" val="0"/>
                        </a:ext>
                      </a:extLst>
                    </a:blip>
                    <a:srcRect l="13044" t="23805" r="18617" b="29851"/>
                    <a:stretch>
                      <a:fillRect/>
                    </a:stretch>
                  </pic:blipFill>
                  <pic:spPr>
                    <a:xfrm>
                      <a:off x="0" y="0"/>
                      <a:ext cx="2906984" cy="1478512"/>
                    </a:xfrm>
                    <a:prstGeom prst="rect">
                      <a:avLst/>
                    </a:prstGeom>
                    <a:ln>
                      <a:noFill/>
                    </a:ln>
                  </pic:spPr>
                </pic:pic>
              </a:graphicData>
            </a:graphic>
          </wp:inline>
        </w:drawing>
      </w:r>
    </w:p>
    <w:p w14:paraId="226C6835" w14:textId="77777777" w:rsidR="00F56ADB" w:rsidRDefault="00F56ADB" w:rsidP="00F56ADB">
      <w:pPr>
        <w:contextualSpacing/>
        <w:jc w:val="left"/>
        <w:rPr>
          <w:rFonts w:ascii="Times New Roman" w:hAnsi="Times New Roman" w:cs="Times New Roman"/>
          <w:bCs/>
          <w:szCs w:val="21"/>
        </w:rPr>
      </w:pPr>
      <w:r>
        <w:rPr>
          <w:rFonts w:ascii="Times New Roman" w:hAnsi="Times New Roman" w:cs="Times New Roman"/>
          <w:bCs/>
          <w:szCs w:val="21"/>
        </w:rPr>
        <w:t>Fig. S</w:t>
      </w:r>
      <w:r>
        <w:rPr>
          <w:rFonts w:ascii="Times New Roman" w:hAnsi="Times New Roman" w:cs="Times New Roman" w:hint="eastAsia"/>
          <w:bCs/>
          <w:szCs w:val="21"/>
        </w:rPr>
        <w:t>8</w:t>
      </w:r>
      <w:r>
        <w:rPr>
          <w:rFonts w:ascii="Times New Roman" w:hAnsi="Times New Roman" w:cs="Times New Roman"/>
          <w:bCs/>
          <w:szCs w:val="21"/>
        </w:rPr>
        <w:t xml:space="preserve"> </w:t>
      </w:r>
      <w:r>
        <w:rPr>
          <w:rFonts w:ascii="Times New Roman" w:hAnsi="Times New Roman" w:cs="Times New Roman" w:hint="eastAsia"/>
          <w:bCs/>
          <w:szCs w:val="21"/>
        </w:rPr>
        <w:t>Cells population of CX3CR1</w:t>
      </w:r>
      <w:r>
        <w:rPr>
          <w:rFonts w:ascii="Times New Roman" w:hAnsi="Times New Roman" w:cs="Times New Roman" w:hint="eastAsia"/>
          <w:bCs/>
          <w:szCs w:val="21"/>
          <w:vertAlign w:val="superscript"/>
        </w:rPr>
        <w:t>+</w:t>
      </w:r>
      <w:r>
        <w:rPr>
          <w:rFonts w:ascii="Times New Roman" w:hAnsi="Times New Roman" w:cs="Times New Roman" w:hint="eastAsia"/>
          <w:bCs/>
          <w:szCs w:val="21"/>
        </w:rPr>
        <w:t>/Ly6C low monocytes that appear in the TREM1</w:t>
      </w:r>
      <w:r>
        <w:rPr>
          <w:rFonts w:ascii="Times New Roman" w:hAnsi="Times New Roman" w:cs="Times New Roman" w:hint="eastAsia"/>
          <w:bCs/>
          <w:szCs w:val="21"/>
          <w:vertAlign w:val="superscript"/>
        </w:rPr>
        <w:t xml:space="preserve">-/- </w:t>
      </w:r>
      <w:r>
        <w:rPr>
          <w:rFonts w:ascii="Times New Roman" w:hAnsi="Times New Roman" w:cs="Times New Roman" w:hint="eastAsia"/>
          <w:bCs/>
          <w:szCs w:val="21"/>
        </w:rPr>
        <w:t>+ MPTP condition and in the LP17 + MPTP condition.</w:t>
      </w:r>
    </w:p>
    <w:p w14:paraId="33E6713A" w14:textId="77777777" w:rsidR="00F56ADB" w:rsidRDefault="00F56ADB" w:rsidP="00F56ADB">
      <w:pPr>
        <w:contextualSpacing/>
        <w:rPr>
          <w:rFonts w:ascii="Times New Roman" w:hAnsi="Times New Roman" w:cs="Times New Roman"/>
          <w:bCs/>
          <w:szCs w:val="21"/>
        </w:rPr>
      </w:pPr>
      <w:r>
        <w:rPr>
          <w:rFonts w:ascii="Times New Roman" w:hAnsi="Times New Roman" w:cs="Times New Roman"/>
          <w:bCs/>
          <w:noProof/>
          <w:szCs w:val="21"/>
        </w:rPr>
        <w:lastRenderedPageBreak/>
        <w:drawing>
          <wp:inline distT="0" distB="0" distL="0" distR="0" wp14:anchorId="11FAE17E" wp14:editId="60A961FC">
            <wp:extent cx="5273675" cy="6392545"/>
            <wp:effectExtent l="0" t="0" r="3175"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a:extLst>
                        <a:ext uri="{28A0092B-C50C-407E-A947-70E740481C1C}">
                          <a14:useLocalDpi xmlns:a14="http://schemas.microsoft.com/office/drawing/2010/main" val="0"/>
                        </a:ext>
                      </a:extLst>
                    </a:blip>
                    <a:srcRect l="78" t="3517" r="-78" b="10808"/>
                    <a:stretch>
                      <a:fillRect/>
                    </a:stretch>
                  </pic:blipFill>
                  <pic:spPr>
                    <a:xfrm>
                      <a:off x="0" y="0"/>
                      <a:ext cx="5274310" cy="6392949"/>
                    </a:xfrm>
                    <a:prstGeom prst="rect">
                      <a:avLst/>
                    </a:prstGeom>
                    <a:ln>
                      <a:noFill/>
                    </a:ln>
                  </pic:spPr>
                </pic:pic>
              </a:graphicData>
            </a:graphic>
          </wp:inline>
        </w:drawing>
      </w:r>
    </w:p>
    <w:p w14:paraId="24315195" w14:textId="06297614" w:rsidR="001C76BA" w:rsidRDefault="00F56ADB" w:rsidP="00F56ADB">
      <w:r>
        <w:rPr>
          <w:rFonts w:ascii="Times New Roman" w:hAnsi="Times New Roman" w:cs="Times New Roman"/>
          <w:bCs/>
          <w:szCs w:val="21"/>
        </w:rPr>
        <w:t>Fig. S</w:t>
      </w:r>
      <w:r>
        <w:rPr>
          <w:rFonts w:ascii="Times New Roman" w:hAnsi="Times New Roman" w:cs="Times New Roman" w:hint="eastAsia"/>
          <w:bCs/>
          <w:szCs w:val="21"/>
        </w:rPr>
        <w:t>9</w:t>
      </w:r>
      <w:r>
        <w:rPr>
          <w:rFonts w:ascii="Times New Roman" w:hAnsi="Times New Roman" w:cs="Times New Roman"/>
          <w:bCs/>
          <w:szCs w:val="21"/>
        </w:rPr>
        <w:t xml:space="preserve"> </w:t>
      </w:r>
      <w:r>
        <w:rPr>
          <w:rFonts w:ascii="Times New Roman" w:hAnsi="Times New Roman" w:cs="Times New Roman" w:hint="eastAsia"/>
          <w:bCs/>
          <w:szCs w:val="21"/>
        </w:rPr>
        <w:t>Flow cytometry gating strategy and representative raw flow cytometry data in the blood (a) and i</w:t>
      </w:r>
      <w:r>
        <w:rPr>
          <w:rFonts w:ascii="Times New Roman" w:hAnsi="Times New Roman" w:cs="Times New Roman"/>
          <w:bCs/>
          <w:szCs w:val="21"/>
        </w:rPr>
        <w:t xml:space="preserve">n the </w:t>
      </w:r>
      <w:r>
        <w:rPr>
          <w:rFonts w:ascii="Times New Roman" w:hAnsi="Times New Roman" w:cs="Times New Roman" w:hint="eastAsia"/>
          <w:bCs/>
          <w:szCs w:val="21"/>
        </w:rPr>
        <w:t>SNpc</w:t>
      </w:r>
      <w:r>
        <w:rPr>
          <w:rFonts w:ascii="Times New Roman" w:hAnsi="Times New Roman" w:cs="Times New Roman"/>
          <w:bCs/>
          <w:szCs w:val="21"/>
        </w:rPr>
        <w:t xml:space="preserve"> </w:t>
      </w:r>
      <w:r>
        <w:rPr>
          <w:rFonts w:ascii="Times New Roman" w:hAnsi="Times New Roman" w:cs="Times New Roman" w:hint="eastAsia"/>
          <w:bCs/>
          <w:szCs w:val="21"/>
        </w:rPr>
        <w:t>(b).</w:t>
      </w:r>
    </w:p>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ADB"/>
    <w:rsid w:val="001C76BA"/>
    <w:rsid w:val="00F56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D27D4"/>
  <w15:chartTrackingRefBased/>
  <w15:docId w15:val="{4E1B0889-FC41-47CB-8091-372B1A136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F56ADB"/>
    <w:pPr>
      <w:widowControl w:val="0"/>
      <w:spacing w:line="48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490</Words>
  <Characters>2798</Characters>
  <Application>Microsoft Office Word</Application>
  <DocSecurity>0</DocSecurity>
  <Lines>23</Lines>
  <Paragraphs>6</Paragraphs>
  <ScaleCrop>false</ScaleCrop>
  <Company>SpringerNature</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2024-04-16T12:13:00Z</dcterms:created>
  <dcterms:modified xsi:type="dcterms:W3CDTF">2024-04-16T12:14:00Z</dcterms:modified>
</cp:coreProperties>
</file>