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07762" w14:textId="5429D490" w:rsidR="00A45BE3" w:rsidRDefault="00D61046" w:rsidP="00987008">
      <w:pPr>
        <w:spacing w:line="480" w:lineRule="auto"/>
        <w:jc w:val="both"/>
        <w:rPr>
          <w:rFonts w:ascii="Times New Roman" w:hAnsi="Times New Roman" w:cs="Times New Roman"/>
        </w:rPr>
      </w:pPr>
      <w:r>
        <w:rPr>
          <w:rFonts w:ascii="Times New Roman" w:hAnsi="Times New Roman" w:cs="Times New Roman"/>
        </w:rPr>
        <w:t xml:space="preserve">Supplementary </w:t>
      </w:r>
      <w:r w:rsidR="00EC00A5">
        <w:rPr>
          <w:rFonts w:ascii="Times New Roman" w:hAnsi="Times New Roman" w:cs="Times New Roman"/>
        </w:rPr>
        <w:t>F</w:t>
      </w:r>
      <w:r w:rsidR="00987008" w:rsidRPr="00987008">
        <w:rPr>
          <w:rFonts w:ascii="Times New Roman" w:hAnsi="Times New Roman" w:cs="Times New Roman"/>
        </w:rPr>
        <w:t>igure 1: Uncertainty of the states: (</w:t>
      </w:r>
      <w:r w:rsidR="00987008" w:rsidRPr="00EC00A5">
        <w:rPr>
          <w:rFonts w:ascii="Times New Roman" w:hAnsi="Times New Roman" w:cs="Times New Roman"/>
          <w:b/>
          <w:bCs/>
        </w:rPr>
        <w:t>a</w:t>
      </w:r>
      <w:r w:rsidR="00987008" w:rsidRPr="00987008">
        <w:rPr>
          <w:rFonts w:ascii="Times New Roman" w:hAnsi="Times New Roman" w:cs="Times New Roman"/>
        </w:rPr>
        <w:t xml:space="preserve">) susceptible of </w:t>
      </w:r>
      <w:r w:rsidR="00987008" w:rsidRPr="00987008">
        <w:rPr>
          <w:rFonts w:ascii="Times New Roman" w:hAnsi="Times New Roman" w:cs="Times New Roman"/>
          <w:i/>
          <w:iCs/>
        </w:rPr>
        <w:t>E. coli</w:t>
      </w:r>
      <w:r w:rsidR="00987008" w:rsidRPr="00987008">
        <w:rPr>
          <w:rFonts w:ascii="Times New Roman" w:hAnsi="Times New Roman" w:cs="Times New Roman"/>
        </w:rPr>
        <w:t xml:space="preserve"> </w:t>
      </w:r>
      <w:r w:rsidR="00987008" w:rsidRPr="00987008">
        <w:rPr>
          <w:rFonts w:ascii="Times New Roman" w:hAnsi="Times New Roman" w:cs="Times New Roman"/>
          <w:shd w:val="clear" w:color="auto" w:fill="FFFFFF"/>
        </w:rPr>
        <w:t>(</w:t>
      </w:r>
      <m:oMath>
        <m:sSub>
          <m:sSubPr>
            <m:ctrlPr>
              <w:rPr>
                <w:rFonts w:ascii="Cambria Math" w:eastAsiaTheme="minorEastAsia" w:hAnsi="Cambria Math" w:cs="Times New Roman"/>
                <w:i/>
              </w:rPr>
            </m:ctrlPr>
          </m:sSubPr>
          <m:e>
            <m:r>
              <w:rPr>
                <w:rFonts w:ascii="Cambria Math" w:eastAsiaTheme="minorEastAsia" w:hAnsi="Cambria Math" w:cs="Times New Roman"/>
              </w:rPr>
              <m:t>S</m:t>
            </m:r>
          </m:e>
          <m:sub>
            <m:r>
              <w:rPr>
                <w:rFonts w:ascii="Cambria Math" w:eastAsiaTheme="minorEastAsia" w:hAnsi="Cambria Math" w:cs="Times New Roman"/>
              </w:rPr>
              <m:t>e</m:t>
            </m:r>
          </m:sub>
        </m:sSub>
      </m:oMath>
      <w:r w:rsidR="00987008" w:rsidRPr="00987008">
        <w:rPr>
          <w:rFonts w:ascii="Times New Roman" w:hAnsi="Times New Roman" w:cs="Times New Roman"/>
          <w:shd w:val="clear" w:color="auto" w:fill="FFFFFF"/>
        </w:rPr>
        <w:t>)</w:t>
      </w:r>
      <w:r w:rsidR="00987008" w:rsidRPr="00987008">
        <w:rPr>
          <w:rFonts w:ascii="Times New Roman" w:hAnsi="Times New Roman" w:cs="Times New Roman"/>
        </w:rPr>
        <w:t>, (</w:t>
      </w:r>
      <w:r w:rsidR="00987008" w:rsidRPr="00EC00A5">
        <w:rPr>
          <w:rFonts w:ascii="Times New Roman" w:hAnsi="Times New Roman" w:cs="Times New Roman"/>
          <w:b/>
          <w:bCs/>
        </w:rPr>
        <w:t>b</w:t>
      </w:r>
      <w:r w:rsidR="00987008" w:rsidRPr="00987008">
        <w:rPr>
          <w:rFonts w:ascii="Times New Roman" w:hAnsi="Times New Roman" w:cs="Times New Roman"/>
        </w:rPr>
        <w:t xml:space="preserve">) susceptible of </w:t>
      </w:r>
      <w:r w:rsidR="00987008" w:rsidRPr="00987008">
        <w:rPr>
          <w:rFonts w:ascii="Times New Roman" w:hAnsi="Times New Roman" w:cs="Times New Roman"/>
          <w:i/>
          <w:iCs/>
        </w:rPr>
        <w:t>P. multocida</w:t>
      </w:r>
      <w:r w:rsidR="00987008" w:rsidRPr="00987008">
        <w:rPr>
          <w:rFonts w:ascii="Times New Roman" w:hAnsi="Times New Roman" w:cs="Times New Roman"/>
        </w:rPr>
        <w:t xml:space="preserve"> </w:t>
      </w:r>
      <w:r w:rsidR="00987008" w:rsidRPr="00987008">
        <w:rPr>
          <w:rFonts w:ascii="Times New Roman" w:hAnsi="Times New Roman" w:cs="Times New Roman"/>
          <w:shd w:val="clear" w:color="auto" w:fill="FFFFFF"/>
        </w:rPr>
        <w:t>(</w:t>
      </w:r>
      <m:oMath>
        <m:sSub>
          <m:sSubPr>
            <m:ctrlPr>
              <w:rPr>
                <w:rFonts w:ascii="Cambria Math" w:eastAsiaTheme="minorEastAsia" w:hAnsi="Cambria Math" w:cs="Times New Roman"/>
                <w:i/>
              </w:rPr>
            </m:ctrlPr>
          </m:sSubPr>
          <m:e>
            <m:r>
              <w:rPr>
                <w:rFonts w:ascii="Cambria Math" w:eastAsiaTheme="minorEastAsia" w:hAnsi="Cambria Math" w:cs="Times New Roman"/>
              </w:rPr>
              <m:t>S</m:t>
            </m:r>
          </m:e>
          <m:sub>
            <m:r>
              <w:rPr>
                <w:rFonts w:ascii="Cambria Math" w:eastAsiaTheme="minorEastAsia" w:hAnsi="Cambria Math" w:cs="Times New Roman"/>
              </w:rPr>
              <m:t>m</m:t>
            </m:r>
          </m:sub>
        </m:sSub>
      </m:oMath>
      <w:r w:rsidR="00987008" w:rsidRPr="00987008">
        <w:rPr>
          <w:rFonts w:ascii="Times New Roman" w:hAnsi="Times New Roman" w:cs="Times New Roman"/>
          <w:shd w:val="clear" w:color="auto" w:fill="FFFFFF"/>
        </w:rPr>
        <w:t xml:space="preserve">), </w:t>
      </w:r>
      <w:r w:rsidR="00987008" w:rsidRPr="00987008">
        <w:rPr>
          <w:rFonts w:ascii="Times New Roman" w:hAnsi="Times New Roman" w:cs="Times New Roman"/>
        </w:rPr>
        <w:t>(</w:t>
      </w:r>
      <w:r w:rsidR="00987008" w:rsidRPr="00EC00A5">
        <w:rPr>
          <w:rFonts w:ascii="Times New Roman" w:hAnsi="Times New Roman" w:cs="Times New Roman"/>
          <w:b/>
          <w:bCs/>
        </w:rPr>
        <w:t>c</w:t>
      </w:r>
      <w:r w:rsidR="00987008" w:rsidRPr="00987008">
        <w:rPr>
          <w:rFonts w:ascii="Times New Roman" w:hAnsi="Times New Roman" w:cs="Times New Roman"/>
        </w:rPr>
        <w:t xml:space="preserve">) resistant of </w:t>
      </w:r>
      <w:r w:rsidR="00987008" w:rsidRPr="00987008">
        <w:rPr>
          <w:rFonts w:ascii="Times New Roman" w:hAnsi="Times New Roman" w:cs="Times New Roman"/>
          <w:i/>
          <w:iCs/>
        </w:rPr>
        <w:t>E. coli</w:t>
      </w:r>
      <w:r w:rsidR="00987008" w:rsidRPr="00987008">
        <w:rPr>
          <w:rFonts w:ascii="Times New Roman" w:hAnsi="Times New Roman" w:cs="Times New Roman"/>
        </w:rPr>
        <w:t xml:space="preserve"> </w:t>
      </w:r>
      <w:r w:rsidR="00987008" w:rsidRPr="00987008">
        <w:rPr>
          <w:rFonts w:ascii="Times New Roman" w:hAnsi="Times New Roman" w:cs="Times New Roman"/>
          <w:shd w:val="clear" w:color="auto" w:fill="FFFFFF"/>
        </w:rPr>
        <w:t>(</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e</m:t>
            </m:r>
          </m:sub>
        </m:sSub>
      </m:oMath>
      <w:r w:rsidR="00987008" w:rsidRPr="00987008">
        <w:rPr>
          <w:rFonts w:ascii="Times New Roman" w:hAnsi="Times New Roman" w:cs="Times New Roman"/>
          <w:shd w:val="clear" w:color="auto" w:fill="FFFFFF"/>
        </w:rPr>
        <w:t>)</w:t>
      </w:r>
      <w:r w:rsidR="00987008" w:rsidRPr="00987008">
        <w:rPr>
          <w:rFonts w:ascii="Times New Roman" w:hAnsi="Times New Roman" w:cs="Times New Roman"/>
        </w:rPr>
        <w:t>, and (</w:t>
      </w:r>
      <w:r w:rsidR="00987008" w:rsidRPr="00EC00A5">
        <w:rPr>
          <w:rFonts w:ascii="Times New Roman" w:hAnsi="Times New Roman" w:cs="Times New Roman"/>
          <w:b/>
          <w:bCs/>
        </w:rPr>
        <w:t>d</w:t>
      </w:r>
      <w:r w:rsidR="00987008" w:rsidRPr="00987008">
        <w:rPr>
          <w:rFonts w:ascii="Times New Roman" w:hAnsi="Times New Roman" w:cs="Times New Roman"/>
        </w:rPr>
        <w:t xml:space="preserve">) resistant of </w:t>
      </w:r>
      <w:r w:rsidR="00987008" w:rsidRPr="00987008">
        <w:rPr>
          <w:rFonts w:ascii="Times New Roman" w:hAnsi="Times New Roman" w:cs="Times New Roman"/>
          <w:i/>
          <w:iCs/>
        </w:rPr>
        <w:t>P. multocida</w:t>
      </w:r>
      <w:r w:rsidR="00987008" w:rsidRPr="00987008">
        <w:rPr>
          <w:rFonts w:ascii="Times New Roman" w:hAnsi="Times New Roman" w:cs="Times New Roman"/>
        </w:rPr>
        <w:t xml:space="preserve"> </w:t>
      </w:r>
      <w:r w:rsidR="00987008" w:rsidRPr="00987008">
        <w:rPr>
          <w:rFonts w:ascii="Times New Roman" w:hAnsi="Times New Roman" w:cs="Times New Roman"/>
          <w:shd w:val="clear" w:color="auto" w:fill="FFFFFF"/>
        </w:rPr>
        <w:t>(</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m</m:t>
            </m:r>
          </m:sub>
        </m:sSub>
      </m:oMath>
      <w:r w:rsidR="00987008" w:rsidRPr="00987008">
        <w:rPr>
          <w:rFonts w:ascii="Times New Roman" w:hAnsi="Times New Roman" w:cs="Times New Roman"/>
          <w:shd w:val="clear" w:color="auto" w:fill="FFFFFF"/>
        </w:rPr>
        <w:t>)</w:t>
      </w:r>
      <w:r w:rsidR="00987008" w:rsidRPr="00987008">
        <w:rPr>
          <w:rFonts w:ascii="Times New Roman" w:hAnsi="Times New Roman" w:cs="Times New Roman"/>
        </w:rPr>
        <w:t>. These distributions for the ODE solutions of model (1) when the parameter set is varied according to the uniform distributions given in Table 2. In this case, the treatment is 7.5 mg/kg single dose. The dark red curves represent the average solution curves of the states obtained from the uncertainty distribution. Other light pink, pink, and dark pink ribbons represent the solutions in 25-75 quantiles of the uncertainty distribution of states</w:t>
      </w:r>
      <w:r w:rsidR="00A45BE3">
        <w:rPr>
          <w:rFonts w:ascii="Times New Roman" w:hAnsi="Times New Roman" w:cs="Times New Roman"/>
        </w:rPr>
        <w:t>.</w:t>
      </w:r>
    </w:p>
    <w:p w14:paraId="4400E197" w14:textId="77777777" w:rsidR="00A45BE3" w:rsidRDefault="00A45BE3" w:rsidP="00987008">
      <w:pPr>
        <w:spacing w:line="480" w:lineRule="auto"/>
        <w:jc w:val="both"/>
        <w:rPr>
          <w:rFonts w:ascii="Times New Roman" w:hAnsi="Times New Roman" w:cs="Times New Roman"/>
        </w:rPr>
      </w:pPr>
    </w:p>
    <w:p w14:paraId="70DB396A" w14:textId="77777777" w:rsidR="00E56BF8" w:rsidRPr="00987008" w:rsidRDefault="00A45BE3" w:rsidP="00987008">
      <w:pPr>
        <w:spacing w:line="480" w:lineRule="auto"/>
        <w:jc w:val="both"/>
        <w:rPr>
          <w:rFonts w:ascii="Times New Roman" w:hAnsi="Times New Roman" w:cs="Times New Roman"/>
        </w:rPr>
      </w:pPr>
      <w:r>
        <w:rPr>
          <w:rFonts w:ascii="Times New Roman" w:hAnsi="Times New Roman" w:cs="Times New Roman"/>
          <w:noProof/>
        </w:rPr>
        <w:drawing>
          <wp:inline distT="0" distB="0" distL="0" distR="0" wp14:anchorId="2536965D" wp14:editId="3A333531">
            <wp:extent cx="5217584" cy="4174067"/>
            <wp:effectExtent l="0" t="0" r="2540" b="4445"/>
            <wp:docPr id="623337413" name="Picture 1" descr="A group of pink and white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37413" name="Picture 1" descr="A group of pink and white graph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31972" cy="4185578"/>
                    </a:xfrm>
                    <a:prstGeom prst="rect">
                      <a:avLst/>
                    </a:prstGeom>
                  </pic:spPr>
                </pic:pic>
              </a:graphicData>
            </a:graphic>
          </wp:inline>
        </w:drawing>
      </w:r>
      <w:r w:rsidR="00987008" w:rsidRPr="00987008">
        <w:rPr>
          <w:rFonts w:ascii="Times New Roman" w:hAnsi="Times New Roman" w:cs="Times New Roman"/>
        </w:rPr>
        <w:t>.</w:t>
      </w:r>
    </w:p>
    <w:sectPr w:rsidR="00E56BF8" w:rsidRPr="009870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008"/>
    <w:rsid w:val="00233F72"/>
    <w:rsid w:val="004C4F09"/>
    <w:rsid w:val="00561E44"/>
    <w:rsid w:val="00987008"/>
    <w:rsid w:val="00A45BE3"/>
    <w:rsid w:val="00A70229"/>
    <w:rsid w:val="00BD1C06"/>
    <w:rsid w:val="00D61046"/>
    <w:rsid w:val="00E56BF8"/>
    <w:rsid w:val="00EC0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AD8FD8"/>
  <w15:chartTrackingRefBased/>
  <w15:docId w15:val="{A1E3CABF-C066-8744-B078-2D058493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0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0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0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0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0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0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0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0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0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0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0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0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0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0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0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0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0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008"/>
    <w:rPr>
      <w:rFonts w:eastAsiaTheme="majorEastAsia" w:cstheme="majorBidi"/>
      <w:color w:val="272727" w:themeColor="text1" w:themeTint="D8"/>
    </w:rPr>
  </w:style>
  <w:style w:type="paragraph" w:styleId="Title">
    <w:name w:val="Title"/>
    <w:basedOn w:val="Normal"/>
    <w:next w:val="Normal"/>
    <w:link w:val="TitleChar"/>
    <w:uiPriority w:val="10"/>
    <w:qFormat/>
    <w:rsid w:val="009870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0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00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0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00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7008"/>
    <w:rPr>
      <w:i/>
      <w:iCs/>
      <w:color w:val="404040" w:themeColor="text1" w:themeTint="BF"/>
    </w:rPr>
  </w:style>
  <w:style w:type="paragraph" w:styleId="ListParagraph">
    <w:name w:val="List Paragraph"/>
    <w:basedOn w:val="Normal"/>
    <w:uiPriority w:val="34"/>
    <w:qFormat/>
    <w:rsid w:val="00987008"/>
    <w:pPr>
      <w:ind w:left="720"/>
      <w:contextualSpacing/>
    </w:pPr>
  </w:style>
  <w:style w:type="character" w:styleId="IntenseEmphasis">
    <w:name w:val="Intense Emphasis"/>
    <w:basedOn w:val="DefaultParagraphFont"/>
    <w:uiPriority w:val="21"/>
    <w:qFormat/>
    <w:rsid w:val="00987008"/>
    <w:rPr>
      <w:i/>
      <w:iCs/>
      <w:color w:val="0F4761" w:themeColor="accent1" w:themeShade="BF"/>
    </w:rPr>
  </w:style>
  <w:style w:type="paragraph" w:styleId="IntenseQuote">
    <w:name w:val="Intense Quote"/>
    <w:basedOn w:val="Normal"/>
    <w:next w:val="Normal"/>
    <w:link w:val="IntenseQuoteChar"/>
    <w:uiPriority w:val="30"/>
    <w:qFormat/>
    <w:rsid w:val="00987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008"/>
    <w:rPr>
      <w:i/>
      <w:iCs/>
      <w:color w:val="0F4761" w:themeColor="accent1" w:themeShade="BF"/>
    </w:rPr>
  </w:style>
  <w:style w:type="character" w:styleId="IntenseReference">
    <w:name w:val="Intense Reference"/>
    <w:basedOn w:val="DefaultParagraphFont"/>
    <w:uiPriority w:val="32"/>
    <w:qFormat/>
    <w:rsid w:val="009870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99</Words>
  <Characters>565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Liton Chandra Deb</dc:creator>
  <cp:keywords/>
  <dc:description/>
  <cp:lastModifiedBy>Liton Chandra Deb</cp:lastModifiedBy>
  <cp:revision>3</cp:revision>
  <dcterms:created xsi:type="dcterms:W3CDTF">2024-03-16T18:09:00Z</dcterms:created>
  <dcterms:modified xsi:type="dcterms:W3CDTF">2024-03-26T03:40:00Z</dcterms:modified>
</cp:coreProperties>
</file>