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A3DB0" w14:textId="6263D0BB" w:rsidR="004D18CA" w:rsidRDefault="004D18CA" w:rsidP="004D18CA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4D18CA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Supplementary Information </w:t>
      </w:r>
    </w:p>
    <w:p w14:paraId="35CA834F" w14:textId="77777777" w:rsidR="004D18CA" w:rsidRPr="004D18CA" w:rsidRDefault="004D18CA" w:rsidP="004D18CA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5B452030" w14:textId="4F16B7E1" w:rsidR="004D18CA" w:rsidRDefault="004D18CA" w:rsidP="004D18CA">
      <w:pPr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proofErr w:type="spellStart"/>
      <w:r w:rsidRPr="00CD1E2A">
        <w:rPr>
          <w:rFonts w:ascii="Times New Roman" w:hAnsi="Times New Roman" w:cs="Times New Roman"/>
          <w:b/>
          <w:bCs/>
          <w:color w:val="000000" w:themeColor="text1"/>
        </w:rPr>
        <w:t>CatPred</w:t>
      </w:r>
      <w:proofErr w:type="spellEnd"/>
      <w:r w:rsidRPr="00CD1E2A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A comprehensive framework for deep learning in vitro enzyme kinetic parameters </w:t>
      </w:r>
      <w:proofErr w:type="spellStart"/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</w:rPr>
        <w:t>k</w:t>
      </w:r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  <w:vertAlign w:val="subscript"/>
        </w:rPr>
        <w:t>cat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</w:rPr>
        <w:t>K</w:t>
      </w:r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  <w:vertAlign w:val="subscript"/>
        </w:rPr>
        <w:t>m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and </w:t>
      </w:r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</w:rPr>
        <w:t>K</w:t>
      </w:r>
      <w:r w:rsidRPr="00F66279">
        <w:rPr>
          <w:rFonts w:ascii="Times New Roman" w:hAnsi="Times New Roman" w:cs="Times New Roman"/>
          <w:b/>
          <w:bCs/>
          <w:i/>
          <w:iCs/>
          <w:color w:val="000000" w:themeColor="text1"/>
          <w:vertAlign w:val="subscript"/>
        </w:rPr>
        <w:t>i</w:t>
      </w:r>
    </w:p>
    <w:p w14:paraId="05F0B5D8" w14:textId="77777777" w:rsidR="004D18CA" w:rsidRPr="004D18CA" w:rsidRDefault="004D18CA" w:rsidP="004D18CA">
      <w:pPr>
        <w:spacing w:line="276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  <w:lang w:val="en"/>
        </w:rPr>
      </w:pPr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u w:val="single"/>
          <w:lang w:val="en"/>
        </w:rPr>
        <w:t xml:space="preserve">Veda </w:t>
      </w:r>
      <w:proofErr w:type="spellStart"/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u w:val="single"/>
          <w:lang w:val="en"/>
        </w:rPr>
        <w:t>Sheersh</w:t>
      </w:r>
      <w:proofErr w:type="spellEnd"/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u w:val="single"/>
          <w:lang w:val="en"/>
        </w:rPr>
        <w:t xml:space="preserve"> Boorla</w:t>
      </w:r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u w:val="single"/>
          <w:vertAlign w:val="superscript"/>
          <w:lang w:val="en"/>
        </w:rPr>
        <w:t>1</w:t>
      </w:r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lang w:val="en"/>
        </w:rPr>
        <w:t>, Costas D. Maranas</w:t>
      </w:r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  <w:lang w:val="en"/>
        </w:rPr>
        <w:t>1*</w:t>
      </w:r>
    </w:p>
    <w:p w14:paraId="7E7CE23A" w14:textId="77777777" w:rsidR="004D18CA" w:rsidRPr="004D18CA" w:rsidRDefault="004D18CA" w:rsidP="004D18CA">
      <w:pPr>
        <w:spacing w:line="276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lang w:val="en"/>
        </w:rPr>
      </w:pPr>
      <w:r w:rsidRPr="004D18CA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lang w:val="en"/>
        </w:rPr>
        <w:t>* Corresponding author: cdm8@psu.edu</w:t>
      </w:r>
    </w:p>
    <w:p w14:paraId="17FFC535" w14:textId="77777777" w:rsidR="004D18CA" w:rsidRPr="004D18CA" w:rsidRDefault="004D18CA" w:rsidP="004D18CA">
      <w:pPr>
        <w:pStyle w:val="c2Affiliation"/>
        <w:spacing w:line="276" w:lineRule="auto"/>
        <w:rPr>
          <w:rFonts w:cs="Times New Roman"/>
          <w:i/>
          <w:iCs/>
          <w:color w:val="000000" w:themeColor="text1"/>
          <w:sz w:val="21"/>
          <w:szCs w:val="21"/>
        </w:rPr>
      </w:pPr>
      <w:r w:rsidRPr="004D18CA">
        <w:rPr>
          <w:rFonts w:cs="Times New Roman"/>
          <w:i/>
          <w:iCs/>
          <w:color w:val="000000" w:themeColor="text1"/>
          <w:sz w:val="21"/>
          <w:szCs w:val="21"/>
          <w:vertAlign w:val="superscript"/>
        </w:rPr>
        <w:t xml:space="preserve">1 </w:t>
      </w:r>
      <w:r w:rsidRPr="004D18CA">
        <w:rPr>
          <w:rFonts w:cs="Times New Roman"/>
          <w:i/>
          <w:iCs/>
          <w:color w:val="000000" w:themeColor="text1"/>
          <w:sz w:val="21"/>
          <w:szCs w:val="21"/>
        </w:rPr>
        <w:t>Department of Chemical Engineering, The Pennsylvania State University, University Park, PA 16802, USA</w:t>
      </w:r>
    </w:p>
    <w:p w14:paraId="0BA8BCDC" w14:textId="4A3D38BA" w:rsidR="004D18CA" w:rsidRDefault="004D18CA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42485F9D" w14:textId="77777777" w:rsidR="004D18CA" w:rsidRDefault="004D18CA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4D43575D" w14:textId="77777777" w:rsidR="004D18CA" w:rsidRDefault="004D18CA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50198DE8" w14:textId="3599183B" w:rsidR="009B7DEE" w:rsidRDefault="001C6713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A1DD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S1. Statistics of </w:t>
      </w:r>
      <w:r w:rsidRPr="009A1DD2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in vitro 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>kinetic measurements in BRENDA</w:t>
      </w:r>
      <w:r w:rsidR="008544F8"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 (v2022_2)</w:t>
      </w:r>
      <w:r w:rsidRPr="009A1DD2">
        <w:rPr>
          <w:rFonts w:ascii="Times New Roman" w:hAnsi="Times New Roman" w:cs="Times New Roman"/>
          <w:b/>
          <w:bCs/>
          <w:color w:val="000000"/>
          <w:vertAlign w:val="superscript"/>
        </w:rPr>
        <w:t xml:space="preserve"> 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and SABIO-RK </w:t>
      </w:r>
      <w:r w:rsidR="008544F8" w:rsidRPr="009A1DD2">
        <w:rPr>
          <w:rFonts w:ascii="Times New Roman" w:hAnsi="Times New Roman" w:cs="Times New Roman"/>
          <w:b/>
          <w:bCs/>
          <w:color w:val="000000" w:themeColor="text1"/>
        </w:rPr>
        <w:t>(as of Nov. 2023)</w:t>
      </w:r>
    </w:p>
    <w:p w14:paraId="4A94F1F9" w14:textId="77777777" w:rsidR="009B7DEE" w:rsidRPr="009A1DD2" w:rsidRDefault="009B7DEE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Style w:val="TableGrid"/>
        <w:tblW w:w="86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2170"/>
        <w:gridCol w:w="2170"/>
        <w:gridCol w:w="2170"/>
      </w:tblGrid>
      <w:tr w:rsidR="008544F8" w14:paraId="1880BEC9" w14:textId="77777777" w:rsidTr="009B7DEE">
        <w:trPr>
          <w:trHeight w:val="347"/>
          <w:jc w:val="center"/>
        </w:trPr>
        <w:tc>
          <w:tcPr>
            <w:tcW w:w="2170" w:type="dxa"/>
            <w:vAlign w:val="center"/>
          </w:tcPr>
          <w:p w14:paraId="0AA29C43" w14:textId="77777777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170" w:type="dxa"/>
            <w:vAlign w:val="center"/>
          </w:tcPr>
          <w:p w14:paraId="1B5161BA" w14:textId="4FD31DC8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cat</w:t>
            </w:r>
            <w:proofErr w:type="spellEnd"/>
          </w:p>
        </w:tc>
        <w:tc>
          <w:tcPr>
            <w:tcW w:w="2170" w:type="dxa"/>
            <w:vAlign w:val="center"/>
          </w:tcPr>
          <w:p w14:paraId="1C1ED691" w14:textId="1F657DA8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m</w:t>
            </w:r>
          </w:p>
        </w:tc>
        <w:tc>
          <w:tcPr>
            <w:tcW w:w="2170" w:type="dxa"/>
            <w:vAlign w:val="center"/>
          </w:tcPr>
          <w:p w14:paraId="661A42C7" w14:textId="70FD90A9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i</w:t>
            </w:r>
          </w:p>
        </w:tc>
      </w:tr>
      <w:tr w:rsidR="008544F8" w14:paraId="1EFEB6B4" w14:textId="77777777" w:rsidTr="009B7DEE">
        <w:trPr>
          <w:trHeight w:val="362"/>
          <w:jc w:val="center"/>
        </w:trPr>
        <w:tc>
          <w:tcPr>
            <w:tcW w:w="2170" w:type="dxa"/>
            <w:vAlign w:val="center"/>
          </w:tcPr>
          <w:p w14:paraId="1E23ED7A" w14:textId="37068EA7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BRENDA</w:t>
            </w:r>
          </w:p>
        </w:tc>
        <w:tc>
          <w:tcPr>
            <w:tcW w:w="2170" w:type="dxa"/>
            <w:vAlign w:val="center"/>
          </w:tcPr>
          <w:p w14:paraId="635A2D98" w14:textId="2FAF3960" w:rsidR="008544F8" w:rsidRDefault="008544F8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83,662</w:t>
            </w:r>
          </w:p>
        </w:tc>
        <w:tc>
          <w:tcPr>
            <w:tcW w:w="2170" w:type="dxa"/>
            <w:vAlign w:val="center"/>
          </w:tcPr>
          <w:p w14:paraId="15941CFA" w14:textId="5FDA1A5B" w:rsidR="008544F8" w:rsidRDefault="008544F8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172,917</w:t>
            </w:r>
          </w:p>
        </w:tc>
        <w:tc>
          <w:tcPr>
            <w:tcW w:w="2170" w:type="dxa"/>
            <w:vAlign w:val="center"/>
          </w:tcPr>
          <w:p w14:paraId="6E2866DA" w14:textId="41B940CC" w:rsidR="008544F8" w:rsidRDefault="008544F8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45,684</w:t>
            </w:r>
          </w:p>
        </w:tc>
      </w:tr>
      <w:tr w:rsidR="008544F8" w14:paraId="60E7EF2C" w14:textId="77777777" w:rsidTr="009B7DEE">
        <w:trPr>
          <w:trHeight w:val="347"/>
          <w:jc w:val="center"/>
        </w:trPr>
        <w:tc>
          <w:tcPr>
            <w:tcW w:w="2170" w:type="dxa"/>
            <w:vAlign w:val="center"/>
          </w:tcPr>
          <w:p w14:paraId="2CB3D475" w14:textId="567411A5" w:rsidR="008544F8" w:rsidRPr="009A1DD2" w:rsidRDefault="008544F8" w:rsidP="008544F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SABIO-RK</w:t>
            </w:r>
          </w:p>
        </w:tc>
        <w:tc>
          <w:tcPr>
            <w:tcW w:w="2170" w:type="dxa"/>
            <w:vAlign w:val="center"/>
          </w:tcPr>
          <w:p w14:paraId="09EA67C5" w14:textId="6D5979E2" w:rsidR="008544F8" w:rsidRDefault="008544F8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8544F8">
              <w:rPr>
                <w:rFonts w:ascii="Times New Roman" w:hAnsi="Times New Roman" w:cs="Times New Roman"/>
                <w:color w:val="000000" w:themeColor="text1"/>
              </w:rPr>
              <w:t>16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8544F8">
              <w:rPr>
                <w:rFonts w:ascii="Times New Roman" w:hAnsi="Times New Roman" w:cs="Times New Roman"/>
                <w:color w:val="000000" w:themeColor="text1"/>
              </w:rPr>
              <w:t>956</w:t>
            </w:r>
          </w:p>
        </w:tc>
        <w:tc>
          <w:tcPr>
            <w:tcW w:w="2170" w:type="dxa"/>
            <w:vAlign w:val="center"/>
          </w:tcPr>
          <w:p w14:paraId="009BAD30" w14:textId="074256A9" w:rsidR="008544F8" w:rsidRDefault="00643CB2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="009A1DD2" w:rsidRPr="009A1DD2">
              <w:rPr>
                <w:rFonts w:ascii="Times New Roman" w:hAnsi="Times New Roman" w:cs="Times New Roman"/>
                <w:color w:val="000000" w:themeColor="text1"/>
              </w:rPr>
              <w:t>37</w:t>
            </w:r>
            <w:r w:rsidR="009A1DD2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9A1DD2" w:rsidRPr="009A1DD2">
              <w:rPr>
                <w:rFonts w:ascii="Times New Roman" w:hAnsi="Times New Roman" w:cs="Times New Roman"/>
                <w:color w:val="000000" w:themeColor="text1"/>
              </w:rPr>
              <w:t>447</w:t>
            </w:r>
          </w:p>
        </w:tc>
        <w:tc>
          <w:tcPr>
            <w:tcW w:w="2170" w:type="dxa"/>
            <w:vAlign w:val="center"/>
          </w:tcPr>
          <w:p w14:paraId="6F4FBBE3" w14:textId="71CA321C" w:rsidR="008544F8" w:rsidRDefault="00643CB2" w:rsidP="008544F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</w:t>
            </w:r>
            <w:r w:rsidR="009A1DD2" w:rsidRPr="009A1DD2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="009A1DD2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9A1DD2" w:rsidRPr="009A1DD2">
              <w:rPr>
                <w:rFonts w:ascii="Times New Roman" w:hAnsi="Times New Roman" w:cs="Times New Roman"/>
                <w:color w:val="000000" w:themeColor="text1"/>
              </w:rPr>
              <w:t>179</w:t>
            </w:r>
          </w:p>
        </w:tc>
      </w:tr>
    </w:tbl>
    <w:p w14:paraId="0B90536B" w14:textId="77777777" w:rsidR="008544F8" w:rsidRDefault="008544F8">
      <w:pPr>
        <w:rPr>
          <w:rFonts w:ascii="Times New Roman" w:hAnsi="Times New Roman" w:cs="Times New Roman"/>
          <w:color w:val="000000" w:themeColor="text1"/>
        </w:rPr>
      </w:pPr>
    </w:p>
    <w:p w14:paraId="2FF0C34D" w14:textId="6E7865E5" w:rsidR="004E26B6" w:rsidRDefault="004E26B6" w:rsidP="004E26B6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A1DD2">
        <w:rPr>
          <w:rFonts w:ascii="Times New Roman" w:hAnsi="Times New Roman" w:cs="Times New Roman"/>
          <w:b/>
          <w:bCs/>
          <w:color w:val="000000" w:themeColor="text1"/>
        </w:rPr>
        <w:t>Table S</w:t>
      </w:r>
      <w:r w:rsidR="00FF560B"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</w:rPr>
        <w:t>Number of unique Enzyme Commission (EC) for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 BRENDA (v2022_2)</w:t>
      </w:r>
      <w:r w:rsidRPr="009A1DD2">
        <w:rPr>
          <w:rFonts w:ascii="Times New Roman" w:hAnsi="Times New Roman" w:cs="Times New Roman"/>
          <w:b/>
          <w:bCs/>
          <w:color w:val="000000"/>
          <w:vertAlign w:val="superscript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>entries with kinetic parameters</w:t>
      </w:r>
    </w:p>
    <w:tbl>
      <w:tblPr>
        <w:tblStyle w:val="TableGrid"/>
        <w:tblW w:w="86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2170"/>
        <w:gridCol w:w="2170"/>
        <w:gridCol w:w="2170"/>
      </w:tblGrid>
      <w:tr w:rsidR="004E26B6" w14:paraId="24A894AF" w14:textId="77777777" w:rsidTr="002E525D">
        <w:trPr>
          <w:trHeight w:val="347"/>
          <w:jc w:val="center"/>
        </w:trPr>
        <w:tc>
          <w:tcPr>
            <w:tcW w:w="2170" w:type="dxa"/>
            <w:vAlign w:val="center"/>
          </w:tcPr>
          <w:p w14:paraId="7A618CD1" w14:textId="77777777" w:rsidR="004E26B6" w:rsidRPr="009A1DD2" w:rsidRDefault="004E26B6" w:rsidP="002E525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170" w:type="dxa"/>
            <w:vAlign w:val="center"/>
          </w:tcPr>
          <w:p w14:paraId="0B6424C4" w14:textId="77777777" w:rsidR="004E26B6" w:rsidRPr="009A1DD2" w:rsidRDefault="004E26B6" w:rsidP="002E525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cat</w:t>
            </w:r>
            <w:proofErr w:type="spellEnd"/>
          </w:p>
        </w:tc>
        <w:tc>
          <w:tcPr>
            <w:tcW w:w="2170" w:type="dxa"/>
            <w:vAlign w:val="center"/>
          </w:tcPr>
          <w:p w14:paraId="1BE329FA" w14:textId="77777777" w:rsidR="004E26B6" w:rsidRPr="009A1DD2" w:rsidRDefault="004E26B6" w:rsidP="002E525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m</w:t>
            </w:r>
          </w:p>
        </w:tc>
        <w:tc>
          <w:tcPr>
            <w:tcW w:w="2170" w:type="dxa"/>
            <w:vAlign w:val="center"/>
          </w:tcPr>
          <w:p w14:paraId="74CE2D31" w14:textId="77777777" w:rsidR="004E26B6" w:rsidRPr="009A1DD2" w:rsidRDefault="004E26B6" w:rsidP="002E525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i</w:t>
            </w:r>
          </w:p>
        </w:tc>
      </w:tr>
      <w:tr w:rsidR="004E26B6" w14:paraId="5ED49BAA" w14:textId="77777777" w:rsidTr="002E525D">
        <w:trPr>
          <w:trHeight w:val="362"/>
          <w:jc w:val="center"/>
        </w:trPr>
        <w:tc>
          <w:tcPr>
            <w:tcW w:w="2170" w:type="dxa"/>
            <w:vAlign w:val="center"/>
          </w:tcPr>
          <w:p w14:paraId="725CB5FE" w14:textId="2B58B44A" w:rsidR="004E26B6" w:rsidRPr="009A1DD2" w:rsidRDefault="004E26B6" w:rsidP="002E525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Unique EC numbers</w:t>
            </w:r>
          </w:p>
        </w:tc>
        <w:tc>
          <w:tcPr>
            <w:tcW w:w="2170" w:type="dxa"/>
            <w:vAlign w:val="center"/>
          </w:tcPr>
          <w:p w14:paraId="69BEC8DB" w14:textId="77FD91F6" w:rsidR="004E26B6" w:rsidRDefault="004E26B6" w:rsidP="002E525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3,336</w:t>
            </w:r>
          </w:p>
        </w:tc>
        <w:tc>
          <w:tcPr>
            <w:tcW w:w="2170" w:type="dxa"/>
            <w:vAlign w:val="center"/>
          </w:tcPr>
          <w:p w14:paraId="572C75DD" w14:textId="1DD54FBA" w:rsidR="004E26B6" w:rsidRDefault="00FF560B" w:rsidP="002E525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4,885</w:t>
            </w:r>
          </w:p>
        </w:tc>
        <w:tc>
          <w:tcPr>
            <w:tcW w:w="2170" w:type="dxa"/>
            <w:vAlign w:val="center"/>
          </w:tcPr>
          <w:p w14:paraId="5FB2863C" w14:textId="67E86123" w:rsidR="004E26B6" w:rsidRDefault="00FF560B" w:rsidP="002E525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1,986</w:t>
            </w:r>
          </w:p>
        </w:tc>
      </w:tr>
    </w:tbl>
    <w:p w14:paraId="6ACD9C7B" w14:textId="77777777" w:rsidR="00643CB2" w:rsidRDefault="00643CB2">
      <w:pPr>
        <w:rPr>
          <w:rFonts w:ascii="Times New Roman" w:hAnsi="Times New Roman" w:cs="Times New Roman"/>
          <w:color w:val="000000" w:themeColor="text1"/>
        </w:rPr>
      </w:pPr>
    </w:p>
    <w:p w14:paraId="0C284F40" w14:textId="4ECF77CD" w:rsidR="00A23E69" w:rsidRDefault="00A23E69" w:rsidP="00A23E69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A1DD2">
        <w:rPr>
          <w:rFonts w:ascii="Times New Roman" w:hAnsi="Times New Roman" w:cs="Times New Roman"/>
          <w:b/>
          <w:bCs/>
          <w:color w:val="000000" w:themeColor="text1"/>
        </w:rPr>
        <w:t>Table S</w:t>
      </w:r>
      <w:r w:rsidR="004E26B6"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proofErr w:type="spellStart"/>
      <w:r w:rsidRPr="009A1DD2">
        <w:rPr>
          <w:rFonts w:ascii="Times New Roman" w:hAnsi="Times New Roman" w:cs="Times New Roman"/>
          <w:b/>
          <w:bCs/>
          <w:color w:val="000000" w:themeColor="text1"/>
        </w:rPr>
        <w:t>CatPred</w:t>
      </w:r>
      <w:proofErr w:type="spellEnd"/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-DB dataset proportions </w:t>
      </w:r>
      <w:r w:rsidR="004E26B6">
        <w:rPr>
          <w:rFonts w:ascii="Times New Roman" w:hAnsi="Times New Roman" w:cs="Times New Roman"/>
          <w:b/>
          <w:bCs/>
          <w:color w:val="000000" w:themeColor="text1"/>
        </w:rPr>
        <w:t>with annotations of ‘natural</w:t>
      </w:r>
      <w:r w:rsidRPr="009A1DD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AA6089">
        <w:rPr>
          <w:rFonts w:ascii="Times New Roman" w:hAnsi="Times New Roman" w:cs="Times New Roman"/>
          <w:b/>
          <w:bCs/>
          <w:color w:val="000000" w:themeColor="text1"/>
        </w:rPr>
        <w:t>substrate</w:t>
      </w:r>
      <w:r w:rsidR="004E26B6">
        <w:rPr>
          <w:rFonts w:ascii="Times New Roman" w:hAnsi="Times New Roman" w:cs="Times New Roman"/>
          <w:b/>
          <w:bCs/>
          <w:color w:val="000000" w:themeColor="text1"/>
        </w:rPr>
        <w:t>’</w:t>
      </w:r>
    </w:p>
    <w:p w14:paraId="429C8E15" w14:textId="77777777" w:rsidR="009B7DEE" w:rsidRPr="009A1DD2" w:rsidRDefault="009B7DEE" w:rsidP="00A23E69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Style w:val="TableGrid"/>
        <w:tblW w:w="86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2170"/>
        <w:gridCol w:w="2170"/>
        <w:gridCol w:w="2170"/>
      </w:tblGrid>
      <w:tr w:rsidR="00F70653" w14:paraId="662A9C4D" w14:textId="77777777" w:rsidTr="009B7DEE">
        <w:trPr>
          <w:trHeight w:val="296"/>
          <w:jc w:val="center"/>
        </w:trPr>
        <w:tc>
          <w:tcPr>
            <w:tcW w:w="2170" w:type="dxa"/>
            <w:vAlign w:val="center"/>
          </w:tcPr>
          <w:p w14:paraId="46D104AE" w14:textId="77777777" w:rsidR="00F70653" w:rsidRPr="009A1DD2" w:rsidRDefault="00F70653" w:rsidP="003922B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170" w:type="dxa"/>
            <w:vAlign w:val="center"/>
          </w:tcPr>
          <w:p w14:paraId="5BAD6253" w14:textId="102C45A7" w:rsidR="00F70653" w:rsidRPr="009A1DD2" w:rsidRDefault="00421206" w:rsidP="003922B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CatPred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-DB-</w:t>
            </w:r>
            <w:proofErr w:type="spellStart"/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cat</w:t>
            </w:r>
            <w:proofErr w:type="spellEnd"/>
          </w:p>
        </w:tc>
        <w:tc>
          <w:tcPr>
            <w:tcW w:w="2170" w:type="dxa"/>
            <w:vAlign w:val="center"/>
          </w:tcPr>
          <w:p w14:paraId="25A1DF33" w14:textId="6E07BCC2" w:rsidR="00F70653" w:rsidRPr="009A1DD2" w:rsidRDefault="00421206" w:rsidP="003922B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CatPred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-DB-</w:t>
            </w:r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m</w:t>
            </w:r>
          </w:p>
        </w:tc>
        <w:tc>
          <w:tcPr>
            <w:tcW w:w="2170" w:type="dxa"/>
            <w:vAlign w:val="center"/>
          </w:tcPr>
          <w:p w14:paraId="4DFC6139" w14:textId="39E14C79" w:rsidR="00F70653" w:rsidRPr="009A1DD2" w:rsidRDefault="00421206" w:rsidP="003922B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CatPred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-DB-</w:t>
            </w:r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K</w:t>
            </w:r>
            <w:r w:rsidR="00F70653" w:rsidRPr="009A1DD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vertAlign w:val="subscript"/>
              </w:rPr>
              <w:t>i</w:t>
            </w:r>
          </w:p>
        </w:tc>
      </w:tr>
      <w:tr w:rsidR="00F70653" w14:paraId="4EA8083D" w14:textId="77777777" w:rsidTr="009B7DEE">
        <w:trPr>
          <w:trHeight w:val="309"/>
          <w:jc w:val="center"/>
        </w:trPr>
        <w:tc>
          <w:tcPr>
            <w:tcW w:w="2170" w:type="dxa"/>
            <w:vAlign w:val="center"/>
          </w:tcPr>
          <w:p w14:paraId="0BBB1296" w14:textId="30C28243" w:rsidR="00F70653" w:rsidRPr="009A1DD2" w:rsidRDefault="00421206" w:rsidP="003922B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Natural </w:t>
            </w:r>
          </w:p>
        </w:tc>
        <w:tc>
          <w:tcPr>
            <w:tcW w:w="2170" w:type="dxa"/>
            <w:vAlign w:val="center"/>
          </w:tcPr>
          <w:p w14:paraId="22C4CB74" w14:textId="71444C29" w:rsidR="00F70653" w:rsidRDefault="00AA6089" w:rsidP="003922B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A6089">
              <w:rPr>
                <w:rFonts w:ascii="Times New Roman" w:hAnsi="Times New Roman" w:cs="Times New Roman"/>
                <w:color w:val="000000" w:themeColor="text1"/>
              </w:rPr>
              <w:t>11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AA6089">
              <w:rPr>
                <w:rFonts w:ascii="Times New Roman" w:hAnsi="Times New Roman" w:cs="Times New Roman"/>
                <w:color w:val="000000" w:themeColor="text1"/>
              </w:rPr>
              <w:t>107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="006D7217">
              <w:rPr>
                <w:rFonts w:ascii="Times New Roman" w:hAnsi="Times New Roman" w:cs="Times New Roman"/>
                <w:color w:val="000000" w:themeColor="text1"/>
              </w:rPr>
              <w:t>47.8%</w:t>
            </w:r>
            <w:r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170" w:type="dxa"/>
            <w:vAlign w:val="center"/>
          </w:tcPr>
          <w:p w14:paraId="72BDD523" w14:textId="5E063F98" w:rsidR="00F70653" w:rsidRDefault="006D7217" w:rsidP="003922B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23,989 (58.3%)</w:t>
            </w:r>
          </w:p>
        </w:tc>
        <w:tc>
          <w:tcPr>
            <w:tcW w:w="2170" w:type="dxa"/>
            <w:vAlign w:val="center"/>
          </w:tcPr>
          <w:p w14:paraId="77A6A229" w14:textId="597BB857" w:rsidR="00F70653" w:rsidRDefault="006D7217" w:rsidP="003922B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D7217">
              <w:rPr>
                <w:rFonts w:ascii="Times New Roman" w:hAnsi="Times New Roman" w:cs="Times New Roman"/>
                <w:color w:val="000000" w:themeColor="text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006D7217">
              <w:rPr>
                <w:rFonts w:ascii="Times New Roman" w:hAnsi="Times New Roman" w:cs="Times New Roman"/>
                <w:color w:val="000000" w:themeColor="text1"/>
              </w:rPr>
              <w:t>304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(27.7%)</w:t>
            </w:r>
          </w:p>
        </w:tc>
      </w:tr>
      <w:tr w:rsidR="000E452A" w14:paraId="519714F9" w14:textId="77777777" w:rsidTr="009B7DEE">
        <w:trPr>
          <w:trHeight w:val="296"/>
          <w:jc w:val="center"/>
        </w:trPr>
        <w:tc>
          <w:tcPr>
            <w:tcW w:w="2170" w:type="dxa"/>
            <w:vAlign w:val="center"/>
          </w:tcPr>
          <w:p w14:paraId="1F50E40E" w14:textId="2B8A06A4" w:rsidR="000E452A" w:rsidRPr="009A1DD2" w:rsidRDefault="006D7217" w:rsidP="000E452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</w:t>
            </w:r>
          </w:p>
        </w:tc>
        <w:tc>
          <w:tcPr>
            <w:tcW w:w="2170" w:type="dxa"/>
            <w:vAlign w:val="center"/>
          </w:tcPr>
          <w:p w14:paraId="7D49A308" w14:textId="1E2E6433" w:rsidR="000E452A" w:rsidRPr="000E452A" w:rsidRDefault="000E452A" w:rsidP="000E452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E452A">
              <w:rPr>
                <w:rFonts w:ascii="Times New Roman" w:hAnsi="Times New Roman" w:cs="Times New Roman"/>
                <w:color w:val="000000" w:themeColor="text1"/>
              </w:rPr>
              <w:t>23,197</w:t>
            </w:r>
          </w:p>
        </w:tc>
        <w:tc>
          <w:tcPr>
            <w:tcW w:w="2170" w:type="dxa"/>
            <w:vAlign w:val="center"/>
          </w:tcPr>
          <w:p w14:paraId="0D0061B8" w14:textId="74C6B3F1" w:rsidR="000E452A" w:rsidRPr="000E452A" w:rsidRDefault="000E452A" w:rsidP="000E452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E452A">
              <w:rPr>
                <w:rFonts w:ascii="Times New Roman" w:hAnsi="Times New Roman" w:cs="Times New Roman"/>
                <w:color w:val="000000" w:themeColor="text1"/>
              </w:rPr>
              <w:t>41,174</w:t>
            </w:r>
          </w:p>
        </w:tc>
        <w:tc>
          <w:tcPr>
            <w:tcW w:w="2170" w:type="dxa"/>
            <w:vAlign w:val="center"/>
          </w:tcPr>
          <w:p w14:paraId="62B19467" w14:textId="05F22655" w:rsidR="000E452A" w:rsidRPr="000E452A" w:rsidRDefault="000E452A" w:rsidP="000E452A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E452A">
              <w:rPr>
                <w:rFonts w:ascii="Times New Roman" w:hAnsi="Times New Roman" w:cs="Times New Roman"/>
                <w:color w:val="000000" w:themeColor="text1"/>
              </w:rPr>
              <w:t>11,929</w:t>
            </w:r>
          </w:p>
        </w:tc>
      </w:tr>
    </w:tbl>
    <w:p w14:paraId="2BCE2551" w14:textId="77777777" w:rsidR="001C6713" w:rsidRPr="00751AC3" w:rsidRDefault="001C6713">
      <w:pPr>
        <w:rPr>
          <w:rFonts w:ascii="Times New Roman" w:hAnsi="Times New Roman" w:cs="Times New Roman"/>
        </w:rPr>
      </w:pPr>
    </w:p>
    <w:p w14:paraId="2A0259CD" w14:textId="724F050C" w:rsidR="00643CB2" w:rsidRDefault="007E2A8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S4. </w:t>
      </w:r>
      <w:proofErr w:type="spellStart"/>
      <w:r>
        <w:rPr>
          <w:rFonts w:ascii="Times New Roman" w:hAnsi="Times New Roman" w:cs="Times New Roman"/>
          <w:b/>
          <w:bCs/>
        </w:rPr>
        <w:t>CatPred</w:t>
      </w:r>
      <w:proofErr w:type="spellEnd"/>
      <w:r>
        <w:rPr>
          <w:rFonts w:ascii="Times New Roman" w:hAnsi="Times New Roman" w:cs="Times New Roman"/>
          <w:b/>
          <w:bCs/>
        </w:rPr>
        <w:t xml:space="preserve"> hyperparameter list – choices </w:t>
      </w:r>
      <w:r w:rsidR="009E611B">
        <w:rPr>
          <w:rFonts w:ascii="Times New Roman" w:hAnsi="Times New Roman" w:cs="Times New Roman"/>
          <w:b/>
          <w:bCs/>
        </w:rPr>
        <w:t>tested,</w:t>
      </w:r>
      <w:r>
        <w:rPr>
          <w:rFonts w:ascii="Times New Roman" w:hAnsi="Times New Roman" w:cs="Times New Roman"/>
          <w:b/>
          <w:bCs/>
        </w:rPr>
        <w:t xml:space="preserve"> and final values chosen</w:t>
      </w:r>
      <w:r w:rsidR="009E611B">
        <w:rPr>
          <w:rFonts w:ascii="Times New Roman" w:hAnsi="Times New Roman" w:cs="Times New Roman"/>
          <w:b/>
          <w:bCs/>
        </w:rPr>
        <w:t>. All other hyperparameters were not tuned and set to recommended values in chemprop</w:t>
      </w:r>
      <w:sdt>
        <w:sdtPr>
          <w:rPr>
            <w:rFonts w:ascii="Times New Roman" w:hAnsi="Times New Roman" w:cs="Times New Roman"/>
            <w:bCs/>
            <w:color w:val="000000"/>
            <w:vertAlign w:val="superscript"/>
          </w:rPr>
          <w:tag w:val="MENDELEY_CITATION_v3_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"/>
          <w:id w:val="-2147188819"/>
          <w:placeholder>
            <w:docPart w:val="DefaultPlaceholder_-1854013440"/>
          </w:placeholder>
        </w:sdtPr>
        <w:sdtContent>
          <w:r w:rsidR="009E611B" w:rsidRPr="009E611B">
            <w:rPr>
              <w:rFonts w:ascii="Times New Roman" w:hAnsi="Times New Roman" w:cs="Times New Roman"/>
              <w:bCs/>
              <w:color w:val="000000"/>
              <w:vertAlign w:val="superscript"/>
            </w:rPr>
            <w:t>1</w:t>
          </w:r>
        </w:sdtContent>
      </w:sdt>
      <w:r w:rsidR="009E611B">
        <w:rPr>
          <w:rFonts w:ascii="Times New Roman" w:hAnsi="Times New Roman" w:cs="Times New Roman"/>
          <w:b/>
          <w:bCs/>
        </w:rPr>
        <w:t xml:space="preserve"> and are available on our </w:t>
      </w:r>
      <w:proofErr w:type="spellStart"/>
      <w:r w:rsidR="009E611B">
        <w:rPr>
          <w:rFonts w:ascii="Times New Roman" w:hAnsi="Times New Roman" w:cs="Times New Roman"/>
          <w:b/>
          <w:bCs/>
        </w:rPr>
        <w:t>Github</w:t>
      </w:r>
      <w:proofErr w:type="spellEnd"/>
      <w:r w:rsidR="009E611B">
        <w:rPr>
          <w:rFonts w:ascii="Times New Roman" w:hAnsi="Times New Roman" w:cs="Times New Roman"/>
          <w:b/>
          <w:bCs/>
        </w:rPr>
        <w:t xml:space="preserve"> repository.</w:t>
      </w:r>
    </w:p>
    <w:tbl>
      <w:tblPr>
        <w:tblStyle w:val="TableGrid"/>
        <w:tblW w:w="65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2170"/>
        <w:gridCol w:w="2170"/>
      </w:tblGrid>
      <w:tr w:rsidR="007E2A8D" w14:paraId="735032F8" w14:textId="77777777" w:rsidTr="007E2A8D">
        <w:trPr>
          <w:trHeight w:val="296"/>
          <w:jc w:val="center"/>
        </w:trPr>
        <w:tc>
          <w:tcPr>
            <w:tcW w:w="2170" w:type="dxa"/>
            <w:vAlign w:val="center"/>
          </w:tcPr>
          <w:p w14:paraId="52D1877F" w14:textId="77777777" w:rsidR="007E2A8D" w:rsidRPr="009A1DD2" w:rsidRDefault="007E2A8D" w:rsidP="004F4C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2170" w:type="dxa"/>
            <w:vAlign w:val="center"/>
          </w:tcPr>
          <w:p w14:paraId="4B47EF60" w14:textId="7550B5C8" w:rsidR="007E2A8D" w:rsidRPr="009A1DD2" w:rsidRDefault="007E2A8D" w:rsidP="004F4C6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Choices tested</w:t>
            </w:r>
          </w:p>
        </w:tc>
        <w:tc>
          <w:tcPr>
            <w:tcW w:w="2170" w:type="dxa"/>
            <w:vAlign w:val="center"/>
          </w:tcPr>
          <w:p w14:paraId="21B7005B" w14:textId="36744F0E" w:rsidR="007E2A8D" w:rsidRPr="009A1DD2" w:rsidRDefault="007E2A8D" w:rsidP="004F4C6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</w:rPr>
              <w:t>Final value chosen</w:t>
            </w:r>
          </w:p>
        </w:tc>
      </w:tr>
      <w:tr w:rsidR="007E2A8D" w14:paraId="2E128720" w14:textId="77777777" w:rsidTr="007E2A8D">
        <w:trPr>
          <w:trHeight w:val="309"/>
          <w:jc w:val="center"/>
        </w:trPr>
        <w:tc>
          <w:tcPr>
            <w:tcW w:w="2170" w:type="dxa"/>
            <w:vAlign w:val="center"/>
          </w:tcPr>
          <w:p w14:paraId="66C0489B" w14:textId="7E1F3FE4" w:rsidR="007E2A8D" w:rsidRPr="009A1DD2" w:rsidRDefault="007E2A8D" w:rsidP="004F4C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Batch size</w:t>
            </w:r>
          </w:p>
        </w:tc>
        <w:tc>
          <w:tcPr>
            <w:tcW w:w="2170" w:type="dxa"/>
            <w:vAlign w:val="center"/>
          </w:tcPr>
          <w:p w14:paraId="79AE4D87" w14:textId="09798F12" w:rsidR="007E2A8D" w:rsidRDefault="007E2A8D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[32, 64, 128]</w:t>
            </w:r>
          </w:p>
        </w:tc>
        <w:tc>
          <w:tcPr>
            <w:tcW w:w="2170" w:type="dxa"/>
            <w:vAlign w:val="center"/>
          </w:tcPr>
          <w:p w14:paraId="2EE13179" w14:textId="60ED9826" w:rsidR="007E2A8D" w:rsidRDefault="007E2A8D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</w:tr>
      <w:tr w:rsidR="007E2A8D" w14:paraId="04EE69BB" w14:textId="77777777" w:rsidTr="007E2A8D">
        <w:trPr>
          <w:trHeight w:val="296"/>
          <w:jc w:val="center"/>
        </w:trPr>
        <w:tc>
          <w:tcPr>
            <w:tcW w:w="2170" w:type="dxa"/>
            <w:vAlign w:val="center"/>
          </w:tcPr>
          <w:p w14:paraId="17D6B51D" w14:textId="6C515227" w:rsidR="007E2A8D" w:rsidRPr="009A1DD2" w:rsidRDefault="007E2A8D" w:rsidP="004F4C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Sequence Embedding size</w:t>
            </w:r>
          </w:p>
        </w:tc>
        <w:tc>
          <w:tcPr>
            <w:tcW w:w="2170" w:type="dxa"/>
            <w:vAlign w:val="center"/>
          </w:tcPr>
          <w:p w14:paraId="22EECEE3" w14:textId="00E478EA" w:rsidR="007E2A8D" w:rsidRPr="000E452A" w:rsidRDefault="007E2A8D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[36, 64, 128, </w:t>
            </w:r>
            <w:r w:rsidR="009E611B">
              <w:rPr>
                <w:rFonts w:ascii="Times New Roman" w:hAnsi="Times New Roman" w:cs="Times New Roman"/>
                <w:color w:val="000000" w:themeColor="text1"/>
              </w:rPr>
              <w:t>360, 480]</w:t>
            </w:r>
          </w:p>
        </w:tc>
        <w:tc>
          <w:tcPr>
            <w:tcW w:w="2170" w:type="dxa"/>
            <w:vAlign w:val="center"/>
          </w:tcPr>
          <w:p w14:paraId="3E839A87" w14:textId="1DC8F72D" w:rsidR="007E2A8D" w:rsidRPr="000E452A" w:rsidRDefault="009E611B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</w:tr>
      <w:tr w:rsidR="009E611B" w14:paraId="6E490064" w14:textId="77777777" w:rsidTr="007E2A8D">
        <w:trPr>
          <w:trHeight w:val="296"/>
          <w:jc w:val="center"/>
        </w:trPr>
        <w:tc>
          <w:tcPr>
            <w:tcW w:w="2170" w:type="dxa"/>
            <w:vAlign w:val="center"/>
          </w:tcPr>
          <w:p w14:paraId="1C2727A2" w14:textId="5F6022F6" w:rsidR="009E611B" w:rsidRDefault="009E611B" w:rsidP="004F4C6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Attention heads</w:t>
            </w:r>
          </w:p>
        </w:tc>
        <w:tc>
          <w:tcPr>
            <w:tcW w:w="2170" w:type="dxa"/>
            <w:vAlign w:val="center"/>
          </w:tcPr>
          <w:p w14:paraId="25282A6D" w14:textId="037F3D94" w:rsidR="009E611B" w:rsidRDefault="009E611B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[</w:t>
            </w:r>
            <w:r w:rsidR="00432FC6">
              <w:rPr>
                <w:rFonts w:ascii="Times New Roman" w:hAnsi="Times New Roman" w:cs="Times New Roman"/>
                <w:color w:val="000000" w:themeColor="text1"/>
              </w:rPr>
              <w:t xml:space="preserve">3, </w:t>
            </w:r>
            <w:r>
              <w:rPr>
                <w:rFonts w:ascii="Times New Roman" w:hAnsi="Times New Roman" w:cs="Times New Roman"/>
                <w:color w:val="000000" w:themeColor="text1"/>
              </w:rPr>
              <w:t>6, 12]</w:t>
            </w:r>
          </w:p>
        </w:tc>
        <w:tc>
          <w:tcPr>
            <w:tcW w:w="2170" w:type="dxa"/>
            <w:vAlign w:val="center"/>
          </w:tcPr>
          <w:p w14:paraId="10F05066" w14:textId="70F774AF" w:rsidR="009E611B" w:rsidRDefault="009E611B" w:rsidP="004F4C6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</w:tbl>
    <w:p w14:paraId="35B99954" w14:textId="6CF910B1" w:rsidR="00D76A04" w:rsidRDefault="00D76A0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5C8C42E" w14:textId="0376CF00" w:rsidR="00D76A04" w:rsidRDefault="009821B2" w:rsidP="00D76A0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8F81A55" wp14:editId="0DD54B2E">
            <wp:simplePos x="0" y="0"/>
            <wp:positionH relativeFrom="column">
              <wp:posOffset>54610</wp:posOffset>
            </wp:positionH>
            <wp:positionV relativeFrom="paragraph">
              <wp:posOffset>54610</wp:posOffset>
            </wp:positionV>
            <wp:extent cx="5880100" cy="4525645"/>
            <wp:effectExtent l="0" t="0" r="0" b="0"/>
            <wp:wrapTopAndBottom/>
            <wp:docPr id="133703508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035081" name="Graphic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0100" cy="4525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20EC9C" w14:textId="13E07092" w:rsidR="007E3E5B" w:rsidRPr="00B36C61" w:rsidRDefault="00751AC3" w:rsidP="00D76A04">
      <w:pPr>
        <w:jc w:val="both"/>
        <w:rPr>
          <w:rFonts w:ascii="Times New Roman" w:hAnsi="Times New Roman" w:cs="Times New Roman"/>
          <w:noProof/>
          <w:color w:val="000000" w:themeColor="text1"/>
          <w:sz w:val="22"/>
          <w:szCs w:val="22"/>
        </w:rPr>
      </w:pPr>
      <w:r w:rsidRPr="00B36C61">
        <w:rPr>
          <w:rFonts w:ascii="Times New Roman" w:hAnsi="Times New Roman" w:cs="Times New Roman"/>
          <w:b/>
          <w:bCs/>
          <w:sz w:val="22"/>
          <w:szCs w:val="22"/>
        </w:rPr>
        <w:t>Figure S1.</w:t>
      </w:r>
      <w:r w:rsidRPr="00B36C61">
        <w:rPr>
          <w:rFonts w:ascii="Times New Roman" w:hAnsi="Times New Roman" w:cs="Times New Roman"/>
          <w:sz w:val="22"/>
          <w:szCs w:val="22"/>
        </w:rPr>
        <w:t xml:space="preserve"> 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The performance metrics achieved by </w:t>
      </w:r>
      <w:proofErr w:type="spellStart"/>
      <w:r w:rsidR="009821B2" w:rsidRPr="00B36C61">
        <w:rPr>
          <w:rFonts w:ascii="Times New Roman" w:hAnsi="Times New Roman" w:cs="Times New Roman"/>
          <w:sz w:val="22"/>
          <w:szCs w:val="22"/>
        </w:rPr>
        <w:t>CatPred-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</w:rPr>
        <w:t>k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cat</w:t>
      </w:r>
      <w:proofErr w:type="spellEnd"/>
      <w:r w:rsidR="009821B2" w:rsidRPr="00B36C61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="009821B2" w:rsidRPr="00B36C61">
        <w:rPr>
          <w:rFonts w:ascii="Times New Roman" w:hAnsi="Times New Roman" w:cs="Times New Roman"/>
          <w:sz w:val="22"/>
          <w:szCs w:val="22"/>
        </w:rPr>
        <w:t>CatPred</w:t>
      </w:r>
      <w:proofErr w:type="spellEnd"/>
      <w:r w:rsidR="009821B2" w:rsidRPr="00B36C61">
        <w:rPr>
          <w:rFonts w:ascii="Times New Roman" w:hAnsi="Times New Roman" w:cs="Times New Roman"/>
          <w:sz w:val="22"/>
          <w:szCs w:val="22"/>
        </w:rPr>
        <w:t>-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</w:rPr>
        <w:t>K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m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="009821B2" w:rsidRPr="00B36C61">
        <w:rPr>
          <w:rFonts w:ascii="Times New Roman" w:hAnsi="Times New Roman" w:cs="Times New Roman"/>
          <w:sz w:val="22"/>
          <w:szCs w:val="22"/>
        </w:rPr>
        <w:t>CatPred</w:t>
      </w:r>
      <w:proofErr w:type="spellEnd"/>
      <w:r w:rsidR="009821B2" w:rsidRPr="00B36C61">
        <w:rPr>
          <w:rFonts w:ascii="Times New Roman" w:hAnsi="Times New Roman" w:cs="Times New Roman"/>
          <w:sz w:val="22"/>
          <w:szCs w:val="22"/>
        </w:rPr>
        <w:t>-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</w:rPr>
        <w:t>K</w:t>
      </w:r>
      <w:r w:rsidR="009821B2" w:rsidRPr="00B36C61">
        <w:rPr>
          <w:rFonts w:ascii="Times New Roman" w:hAnsi="Times New Roman" w:cs="Times New Roman"/>
          <w:i/>
          <w:iCs/>
          <w:sz w:val="22"/>
          <w:szCs w:val="22"/>
          <w:vertAlign w:val="subscript"/>
        </w:rPr>
        <w:t>i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 models on </w:t>
      </w:r>
      <w:r w:rsidR="009821B2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hold-out test sets (solid bars) and on out-of-distribution samples (patterned bars). 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The (a) </w:t>
      </w:r>
      <w:r w:rsidR="000E452A">
        <w:rPr>
          <w:rFonts w:ascii="Times New Roman" w:hAnsi="Times New Roman" w:cs="Times New Roman"/>
          <w:sz w:val="22"/>
          <w:szCs w:val="22"/>
        </w:rPr>
        <w:t>P</w:t>
      </w:r>
      <w:r w:rsidR="009821B2" w:rsidRPr="00B36C61">
        <w:rPr>
          <w:rFonts w:ascii="Times New Roman" w:hAnsi="Times New Roman" w:cs="Times New Roman"/>
          <w:sz w:val="22"/>
          <w:szCs w:val="22"/>
        </w:rPr>
        <w:t>ercent of predictions within one order of magnitude error (p</w:t>
      </w:r>
      <w:r w:rsidR="009821B2" w:rsidRPr="00B36C61">
        <w:rPr>
          <w:rFonts w:ascii="Times New Roman" w:hAnsi="Times New Roman" w:cs="Times New Roman"/>
          <w:sz w:val="22"/>
          <w:szCs w:val="22"/>
          <w:vertAlign w:val="subscript"/>
        </w:rPr>
        <w:t>1mag</w:t>
      </w:r>
      <w:r w:rsidR="009821B2" w:rsidRPr="00B36C61">
        <w:rPr>
          <w:rFonts w:ascii="Times New Roman" w:hAnsi="Times New Roman" w:cs="Times New Roman"/>
          <w:sz w:val="22"/>
          <w:szCs w:val="22"/>
        </w:rPr>
        <w:t>) and (</w:t>
      </w:r>
      <w:r w:rsidR="000E452A">
        <w:rPr>
          <w:rFonts w:ascii="Times New Roman" w:hAnsi="Times New Roman" w:cs="Times New Roman"/>
          <w:sz w:val="22"/>
          <w:szCs w:val="22"/>
        </w:rPr>
        <w:t>b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) </w:t>
      </w:r>
      <w:r w:rsidR="000E452A">
        <w:rPr>
          <w:rFonts w:ascii="Times New Roman" w:hAnsi="Times New Roman" w:cs="Times New Roman"/>
          <w:sz w:val="22"/>
          <w:szCs w:val="22"/>
        </w:rPr>
        <w:t>M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ean </w:t>
      </w:r>
      <w:r w:rsidR="000E452A">
        <w:rPr>
          <w:rFonts w:ascii="Times New Roman" w:hAnsi="Times New Roman" w:cs="Times New Roman"/>
          <w:sz w:val="22"/>
          <w:szCs w:val="22"/>
        </w:rPr>
        <w:t>A</w:t>
      </w:r>
      <w:r w:rsidR="009821B2" w:rsidRPr="00B36C61">
        <w:rPr>
          <w:rFonts w:ascii="Times New Roman" w:hAnsi="Times New Roman" w:cs="Times New Roman"/>
          <w:sz w:val="22"/>
          <w:szCs w:val="22"/>
        </w:rPr>
        <w:t xml:space="preserve">bsolute </w:t>
      </w:r>
      <w:r w:rsidR="000E452A">
        <w:rPr>
          <w:rFonts w:ascii="Times New Roman" w:hAnsi="Times New Roman" w:cs="Times New Roman"/>
          <w:sz w:val="22"/>
          <w:szCs w:val="22"/>
        </w:rPr>
        <w:t>E</w:t>
      </w:r>
      <w:r w:rsidR="009821B2" w:rsidRPr="00B36C61">
        <w:rPr>
          <w:rFonts w:ascii="Times New Roman" w:hAnsi="Times New Roman" w:cs="Times New Roman"/>
          <w:sz w:val="22"/>
          <w:szCs w:val="22"/>
        </w:rPr>
        <w:t>rror (MAE) are shown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. ‘Substrate Only’ refers to CatPred models trained using only the substrate features; ‘Substrate+</w:t>
      </w:r>
      <w:r w:rsidR="00D76A04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Seq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-</w:t>
      </w:r>
      <w:r w:rsidR="00D76A04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Attn’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 (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Seq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uence 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Att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ention) refers to CatPred models trained using substrate features and the Seq-Attn features; ‘Substrate+Seq-Attn+pLM’ (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p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rotein 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L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angugae 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M</w:t>
      </w:r>
      <w:r w:rsidR="00D76A04"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odel) refers to CatPred models trained using substrate features along with both the Seq-Attn and pLM features.</w:t>
      </w:r>
      <w:r w:rsid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 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‘Substrate+Seq-Attn+pLM+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EGNN’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 (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E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quivariant 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G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raph 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N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 xml:space="preserve">eural 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  <w:u w:val="single"/>
        </w:rPr>
        <w:t>N</w:t>
      </w:r>
      <w:r w:rsidR="006F61FF" w:rsidRPr="006F61FF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etworks) refers to CatPred models trained using substrate features along with Seq-Attn+pLM and EGNN features.</w:t>
      </w:r>
    </w:p>
    <w:p w14:paraId="347C69A1" w14:textId="77777777" w:rsidR="007E3E5B" w:rsidRDefault="007E3E5B">
      <w:pPr>
        <w:rPr>
          <w:rFonts w:ascii="Times New Roman" w:hAnsi="Times New Roman" w:cs="Times New Roman"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br w:type="page"/>
      </w:r>
    </w:p>
    <w:p w14:paraId="6281C458" w14:textId="5004269B" w:rsidR="00751AC3" w:rsidRPr="009821B2" w:rsidRDefault="00B36C61" w:rsidP="00D76A0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D66EF9C" wp14:editId="47433218">
            <wp:simplePos x="0" y="0"/>
            <wp:positionH relativeFrom="column">
              <wp:posOffset>100965</wp:posOffset>
            </wp:positionH>
            <wp:positionV relativeFrom="paragraph">
              <wp:posOffset>184150</wp:posOffset>
            </wp:positionV>
            <wp:extent cx="5788660" cy="4276090"/>
            <wp:effectExtent l="0" t="0" r="2540" b="0"/>
            <wp:wrapTopAndBottom/>
            <wp:docPr id="529467021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467021" name="Graphic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660" cy="4276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3C643" w14:textId="77777777" w:rsidR="00B36C61" w:rsidRDefault="00B36C61" w:rsidP="00100CAB">
      <w:pPr>
        <w:jc w:val="both"/>
        <w:rPr>
          <w:rFonts w:ascii="Times New Roman" w:hAnsi="Times New Roman" w:cs="Times New Roman"/>
          <w:b/>
          <w:bCs/>
        </w:rPr>
      </w:pPr>
    </w:p>
    <w:p w14:paraId="76CA4A6E" w14:textId="7A569232" w:rsidR="007F2576" w:rsidRDefault="00B36C61" w:rsidP="00B36C61">
      <w:pPr>
        <w:pStyle w:val="Caption"/>
        <w:jc w:val="both"/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</w:pPr>
      <w:r w:rsidRPr="00B36C6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Figure S2</w:t>
      </w:r>
      <w:r w:rsidRPr="00B36C6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36C6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The performance metrics achieved by (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a</w:t>
      </w:r>
      <w:r w:rsidRPr="00B36C61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) 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CatPred-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k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vertAlign w:val="subscript"/>
        </w:rPr>
        <w:t>cat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, (</w:t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b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) CatPred-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K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vertAlign w:val="subscript"/>
        </w:rPr>
        <w:t>m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and (</w:t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c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) CatPred-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K</w:t>
      </w:r>
      <w:r w:rsidRPr="00B36C61">
        <w:rPr>
          <w:rFonts w:ascii="Times New Roman" w:hAnsi="Times New Roman" w:cs="Times New Roman"/>
          <w:noProof/>
          <w:color w:val="000000" w:themeColor="text1"/>
          <w:sz w:val="22"/>
          <w:szCs w:val="22"/>
          <w:vertAlign w:val="subscript"/>
        </w:rPr>
        <w:t>i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models on sub populations of the </w:t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out-of-distribution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test</w:t>
      </w:r>
      <w:r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sets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binned in order of their predicted uncertainty values (sum of aleatoric and epistemic uncertainty). Each colored bar denotes a sub population of the held-out set with uncertainty less than the 100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perscript"/>
        </w:rPr>
        <w:t>th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(Blue), 75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perscript"/>
        </w:rPr>
        <w:t>th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(Dark Green), 50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perscript"/>
        </w:rPr>
        <w:t>th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(Light Green), and 25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perscript"/>
        </w:rPr>
        <w:t>th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 (Light yellow) percentile respectively. Within each figure, the subplots show the obtained co-efficient of regression (R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perscript"/>
        </w:rPr>
        <w:t>2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), </w:t>
      </w:r>
      <w:r w:rsidR="000E452A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M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ean </w:t>
      </w:r>
      <w:r w:rsidR="000E452A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A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bsolute </w:t>
      </w:r>
      <w:r w:rsidR="000E452A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E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 xml:space="preserve">rror (MAE) and </w:t>
      </w:r>
      <w:r w:rsidR="000E452A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P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ercent of predictions within one oder of magintude error (p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vertAlign w:val="subscript"/>
        </w:rPr>
        <w:t>1mag</w:t>
      </w:r>
      <w:r w:rsidRPr="00B36C61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</w:rPr>
        <w:t>).</w:t>
      </w:r>
    </w:p>
    <w:p w14:paraId="11FDC358" w14:textId="77777777" w:rsidR="001E2C5B" w:rsidRDefault="001E2C5B" w:rsidP="009E611B">
      <w:pPr>
        <w:rPr>
          <w:rFonts w:ascii="Times New Roman" w:hAnsi="Times New Roman" w:cs="Times New Roman"/>
          <w:b/>
          <w:bCs/>
          <w:noProof/>
          <w:color w:val="000000" w:themeColor="text1"/>
          <w:sz w:val="22"/>
          <w:szCs w:val="22"/>
        </w:rPr>
      </w:pPr>
    </w:p>
    <w:p w14:paraId="42A00B40" w14:textId="77777777" w:rsidR="001E2C5B" w:rsidRDefault="001E2C5B" w:rsidP="009E611B">
      <w:pPr>
        <w:rPr>
          <w:rFonts w:ascii="Times New Roman" w:hAnsi="Times New Roman" w:cs="Times New Roman"/>
          <w:b/>
          <w:bCs/>
          <w:noProof/>
          <w:color w:val="000000" w:themeColor="text1"/>
          <w:sz w:val="22"/>
          <w:szCs w:val="22"/>
        </w:rPr>
      </w:pPr>
    </w:p>
    <w:p w14:paraId="200852A0" w14:textId="4F3BC276" w:rsidR="00F70653" w:rsidRDefault="009E611B" w:rsidP="009E611B">
      <w:pPr>
        <w:rPr>
          <w:rFonts w:ascii="Times New Roman" w:hAnsi="Times New Roman" w:cs="Times New Roman"/>
          <w:b/>
          <w:bCs/>
          <w:noProof/>
          <w:color w:val="000000" w:themeColor="text1"/>
          <w:sz w:val="22"/>
          <w:szCs w:val="22"/>
        </w:rPr>
      </w:pPr>
      <w:r w:rsidRPr="009E611B">
        <w:rPr>
          <w:rFonts w:ascii="Times New Roman" w:hAnsi="Times New Roman" w:cs="Times New Roman"/>
          <w:b/>
          <w:bCs/>
          <w:noProof/>
          <w:color w:val="000000" w:themeColor="text1"/>
          <w:sz w:val="22"/>
          <w:szCs w:val="22"/>
        </w:rPr>
        <w:t>References:</w:t>
      </w:r>
    </w:p>
    <w:p w14:paraId="23A3101E" w14:textId="73FC55C2" w:rsidR="009E611B" w:rsidRPr="009E611B" w:rsidRDefault="009E611B" w:rsidP="009E611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color w:val="000000" w:themeColor="text1"/>
          <w:sz w:val="22"/>
          <w:szCs w:val="22"/>
        </w:rPr>
      </w:pPr>
      <w:r w:rsidRPr="00521DFF">
        <w:rPr>
          <w:rFonts w:ascii="Times New Roman" w:eastAsia="Times New Roman" w:hAnsi="Times New Roman" w:cs="Times New Roman"/>
          <w:color w:val="000000" w:themeColor="text1"/>
        </w:rPr>
        <w:t xml:space="preserve">Heid, E. </w:t>
      </w:r>
      <w:r w:rsidRPr="00521DFF">
        <w:rPr>
          <w:rFonts w:ascii="Times New Roman" w:eastAsia="Times New Roman" w:hAnsi="Times New Roman" w:cs="Times New Roman"/>
          <w:i/>
          <w:iCs/>
          <w:color w:val="000000" w:themeColor="text1"/>
        </w:rPr>
        <w:t>et al.</w:t>
      </w:r>
      <w:r w:rsidRPr="00521DF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00521DFF">
        <w:rPr>
          <w:rFonts w:ascii="Times New Roman" w:eastAsia="Times New Roman" w:hAnsi="Times New Roman" w:cs="Times New Roman"/>
          <w:color w:val="000000" w:themeColor="text1"/>
        </w:rPr>
        <w:t>Chemprop</w:t>
      </w:r>
      <w:proofErr w:type="spellEnd"/>
      <w:r w:rsidRPr="00521DFF">
        <w:rPr>
          <w:rFonts w:ascii="Times New Roman" w:eastAsia="Times New Roman" w:hAnsi="Times New Roman" w:cs="Times New Roman"/>
          <w:color w:val="000000" w:themeColor="text1"/>
        </w:rPr>
        <w:t xml:space="preserve">: A Machine Learning Package for Chemical Property Prediction. </w:t>
      </w:r>
      <w:r w:rsidRPr="00521DFF">
        <w:rPr>
          <w:rFonts w:ascii="Times New Roman" w:eastAsia="Times New Roman" w:hAnsi="Times New Roman" w:cs="Times New Roman"/>
          <w:i/>
          <w:iCs/>
          <w:color w:val="000000" w:themeColor="text1"/>
        </w:rPr>
        <w:t>J Chem Inf Model</w:t>
      </w:r>
      <w:r w:rsidRPr="00521DFF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521DFF">
        <w:rPr>
          <w:rFonts w:ascii="Times New Roman" w:eastAsia="Times New Roman" w:hAnsi="Times New Roman" w:cs="Times New Roman"/>
          <w:b/>
          <w:bCs/>
          <w:color w:val="000000" w:themeColor="text1"/>
        </w:rPr>
        <w:t>64</w:t>
      </w:r>
      <w:r w:rsidRPr="00521DFF">
        <w:rPr>
          <w:rFonts w:ascii="Times New Roman" w:eastAsia="Times New Roman" w:hAnsi="Times New Roman" w:cs="Times New Roman"/>
          <w:color w:val="000000" w:themeColor="text1"/>
        </w:rPr>
        <w:t>, 9–17 (2024).</w:t>
      </w:r>
    </w:p>
    <w:sectPr w:rsidR="009E611B" w:rsidRPr="009E61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C4067"/>
    <w:multiLevelType w:val="hybridMultilevel"/>
    <w:tmpl w:val="C7D48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608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B4"/>
    <w:rsid w:val="000E452A"/>
    <w:rsid w:val="00100CAB"/>
    <w:rsid w:val="001C6713"/>
    <w:rsid w:val="001E2C5B"/>
    <w:rsid w:val="0023385C"/>
    <w:rsid w:val="00421206"/>
    <w:rsid w:val="00432FC6"/>
    <w:rsid w:val="004D18CA"/>
    <w:rsid w:val="004E26B6"/>
    <w:rsid w:val="00570EB4"/>
    <w:rsid w:val="00643CB2"/>
    <w:rsid w:val="006A17BA"/>
    <w:rsid w:val="006D7217"/>
    <w:rsid w:val="006F61FF"/>
    <w:rsid w:val="00751AC3"/>
    <w:rsid w:val="007E2A8D"/>
    <w:rsid w:val="007E3E5B"/>
    <w:rsid w:val="007F2576"/>
    <w:rsid w:val="0081427E"/>
    <w:rsid w:val="008544F8"/>
    <w:rsid w:val="009821B2"/>
    <w:rsid w:val="009A1DD2"/>
    <w:rsid w:val="009B7DEE"/>
    <w:rsid w:val="009E3375"/>
    <w:rsid w:val="009E611B"/>
    <w:rsid w:val="00A23E69"/>
    <w:rsid w:val="00AA6089"/>
    <w:rsid w:val="00B36C61"/>
    <w:rsid w:val="00D76A04"/>
    <w:rsid w:val="00F47182"/>
    <w:rsid w:val="00F70653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32DC8"/>
  <w15:chartTrackingRefBased/>
  <w15:docId w15:val="{3B6E8DC5-3FBD-7947-907C-548E100F6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0E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0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0E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0E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0E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E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E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E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E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0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0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0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0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0E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0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E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0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0E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0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0E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0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0EB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1C6713"/>
    <w:rPr>
      <w:color w:val="666666"/>
    </w:rPr>
  </w:style>
  <w:style w:type="table" w:styleId="TableGrid">
    <w:name w:val="Table Grid"/>
    <w:basedOn w:val="TableNormal"/>
    <w:uiPriority w:val="39"/>
    <w:rsid w:val="00854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36C6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c2Affiliation">
    <w:name w:val="c2_Affiliation"/>
    <w:basedOn w:val="Normal"/>
    <w:qFormat/>
    <w:rsid w:val="004D18CA"/>
    <w:pPr>
      <w:spacing w:after="120" w:line="300" w:lineRule="auto"/>
      <w:jc w:val="center"/>
    </w:pPr>
    <w:rPr>
      <w:rFonts w:ascii="Times New Roman" w:eastAsiaTheme="minorEastAsia" w:hAnsi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7CBA79-66F9-1846-9121-6D5AEEB81FCC}"/>
      </w:docPartPr>
      <w:docPartBody>
        <w:p w:rsidR="00000000" w:rsidRDefault="00983EBE">
          <w:r w:rsidRPr="00231C5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EBE"/>
    <w:rsid w:val="00983EBE"/>
    <w:rsid w:val="00C4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83EB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A301827-33BC-2C4E-B347-B0745B499579}">
  <we:reference id="f78a3046-9e99-4300-aa2b-5814002b01a2" version="1.55.1.0" store="EXCatalog" storeType="EXCatalog"/>
  <we:alternateReferences>
    <we:reference id="WA104382081" version="1.55.1.0" store="en-US" storeType="OMEX"/>
  </we:alternateReferences>
  <we:properties>
    <we:property name="MENDELEY_CITATIONS" value="[{&quot;citationID&quot;:&quot;MENDELEY_CITATION_bc5eda91-ef46-4c74-b745-293f89b4a7ef&quot;,&quot;properties&quot;:{&quot;noteIndex&quot;:0},&quot;isEdited&quot;:false,&quot;manualOverride&quot;:{&quot;isManuallyOverridden&quot;:false,&quot;citeprocText&quot;:&quot;&lt;sup&gt;1&lt;/sup&gt;&quot;,&quot;manualOverrideText&quot;:&quot;&quot;},&quot;citationTag&quot;:&quot;MENDELEY_CITATION_v3_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&quot;,&quot;citationItems&quot;:[{&quot;id&quot;:&quot;e1ae08cc-a024-3bd3-a16a-01767cb02d25&quot;,&quot;itemData&quot;:{&quot;type&quot;:&quot;article-journal&quot;,&quot;id&quot;:&quot;e1ae08cc-a024-3bd3-a16a-01767cb02d25&quot;,&quot;title&quot;:&quot;Chemprop: A Machine Learning Package for Chemical Property Prediction&quot;,&quot;author&quot;:[{&quot;family&quot;:&quot;Heid&quot;,&quot;given&quot;:&quot;Esther&quot;,&quot;parse-names&quot;:false,&quot;dropping-particle&quot;:&quot;&quot;,&quot;non-dropping-particle&quot;:&quot;&quot;},{&quot;family&quot;:&quot;Greenman&quot;,&quot;given&quot;:&quot;Kevin P&quot;,&quot;parse-names&quot;:false,&quot;dropping-particle&quot;:&quot;&quot;,&quot;non-dropping-particle&quot;:&quot;&quot;},{&quot;family&quot;:&quot;Chung&quot;,&quot;given&quot;:&quot;Yunsie&quot;,&quot;parse-names&quot;:false,&quot;dropping-particle&quot;:&quot;&quot;,&quot;non-dropping-particle&quot;:&quot;&quot;},{&quot;family&quot;:&quot;Li&quot;,&quot;given&quot;:&quot;Shih-Cheng&quot;,&quot;parse-names&quot;:false,&quot;dropping-particle&quot;:&quot;&quot;,&quot;non-dropping-particle&quot;:&quot;&quot;},{&quot;family&quot;:&quot;Graff&quot;,&quot;given&quot;:&quot;David E&quot;,&quot;parse-names&quot;:false,&quot;dropping-particle&quot;:&quot;&quot;,&quot;non-dropping-particle&quot;:&quot;&quot;},{&quot;family&quot;:&quot;Vermeire&quot;,&quot;given&quot;:&quot;Florence H&quot;,&quot;parse-names&quot;:false,&quot;dropping-particle&quot;:&quot;&quot;,&quot;non-dropping-particle&quot;:&quot;&quot;},{&quot;family&quot;:&quot;Wu&quot;,&quot;given&quot;:&quot;Haoyang&quot;,&quot;parse-names&quot;:false,&quot;dropping-particle&quot;:&quot;&quot;,&quot;non-dropping-particle&quot;:&quot;&quot;},{&quot;family&quot;:&quot;Green&quot;,&quot;given&quot;:&quot;William H&quot;,&quot;parse-names&quot;:false,&quot;dropping-particle&quot;:&quot;&quot;,&quot;non-dropping-particle&quot;:&quot;&quot;},{&quot;family&quot;:&quot;McGill&quot;,&quot;given&quot;:&quot;Charles J&quot;,&quot;parse-names&quot;:false,&quot;dropping-particle&quot;:&quot;&quot;,&quot;non-dropping-particle&quot;:&quot;&quot;}],&quot;container-title&quot;:&quot;Journal of Chemical Information and Modeling&quot;,&quot;container-title-short&quot;:&quot;J Chem Inf Model&quot;,&quot;DOI&quot;:&quot;10.1021/acs.jcim.3c01250&quot;,&quot;ISSN&quot;:&quot;1549-9596&quot;,&quot;URL&quot;:&quot;https://doi.org/10.1021/acs.jcim.3c01250&quot;,&quot;issued&quot;:{&quot;date-parts&quot;:[[2024,1,8]]},&quot;page&quot;:&quot;9-17&quot;,&quot;publisher&quot;:&quot;American Chemical Society&quot;,&quot;issue&quot;:&quot;1&quot;,&quot;volume&quot;:&quot;64&quot;},&quot;isTemporary&quot;:false}]}]"/>
    <we:property name="MENDELEY_CITATIONS_LOCALE_CODE" value="&quot;en-GB&quot;"/>
    <we:property name="MENDELEY_CITATIONS_STYLE" value="{&quot;id&quot;:&quot;https://www.zotero.org/styles/nature&quot;,&quot;title&quot;:&quot;Nature&quot;,&quot;format&quot;:&quot;numeric&quot;,&quot;defaultLocale&quot;:&quot;en-GB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1075A4-16B2-0C40-B479-C9D2950FA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Boorla, Veda Sheersh</dc:creator>
  <cp:keywords/>
  <dc:description/>
  <cp:lastModifiedBy>Boorla, Veda Sheersh</cp:lastModifiedBy>
  <cp:revision>2</cp:revision>
  <dcterms:created xsi:type="dcterms:W3CDTF">2024-03-25T21:40:00Z</dcterms:created>
  <dcterms:modified xsi:type="dcterms:W3CDTF">2024-03-25T21:40:00Z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http://www.zotero.org/styles/pnas</vt:lpwstr>
  </property>
  <property fmtid="{D5CDD505-2E9C-101B-9397-08002B2CF9AE}" pid="21" name="Mendeley Recent Style Name 9_1">
    <vt:lpwstr>Proceedings of the National Academy of Sciences of the United States of America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1a0a1a67-14ad-3344-a429-b971570d2a41</vt:lpwstr>
  </property>
</Properties>
</file>