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default" w:ascii="Times New Roman" w:hAnsi="Times New Roman" w:eastAsia="宋体" w:cs="Times New Roman"/>
          <w:b/>
          <w:bCs/>
          <w:color w:val="231F20"/>
          <w:kern w:val="0"/>
          <w:sz w:val="52"/>
          <w:szCs w:val="52"/>
          <w:lang w:val="en-US" w:eastAsia="zh-CN" w:bidi="ar"/>
        </w:rPr>
      </w:pPr>
      <w:r>
        <w:rPr>
          <w:rFonts w:hint="default" w:ascii="Times New Roman" w:hAnsi="Times New Roman" w:eastAsia="宋体" w:cs="Times New Roman"/>
          <w:b/>
          <w:bCs/>
          <w:color w:val="231F20"/>
          <w:kern w:val="0"/>
          <w:sz w:val="52"/>
          <w:szCs w:val="52"/>
          <w:lang w:val="en-US" w:eastAsia="zh-CN" w:bidi="ar"/>
        </w:rPr>
        <w:t>Protocol</w:t>
      </w:r>
    </w:p>
    <w:p>
      <w:pPr>
        <w:keepNext w:val="0"/>
        <w:keepLines w:val="0"/>
        <w:widowControl/>
        <w:suppressLineNumbers w:val="0"/>
        <w:jc w:val="center"/>
        <w:rPr>
          <w:rFonts w:hint="default" w:ascii="Times New Roman" w:hAnsi="Times New Roman" w:eastAsia="宋体" w:cs="Times New Roman"/>
          <w:b/>
          <w:bCs/>
          <w:color w:val="231F20"/>
          <w:kern w:val="0"/>
          <w:sz w:val="52"/>
          <w:szCs w:val="52"/>
          <w:lang w:val="en-US" w:eastAsia="zh-CN" w:bidi="ar"/>
        </w:rPr>
      </w:pPr>
    </w:p>
    <w:p>
      <w:pPr>
        <w:keepNext w:val="0"/>
        <w:keepLines w:val="0"/>
        <w:widowControl/>
        <w:suppressLineNumbers w:val="0"/>
        <w:jc w:val="left"/>
        <w:rPr>
          <w:rFonts w:hint="eastAsia" w:cs="Times New Roman"/>
          <w:color w:val="231F20"/>
          <w:kern w:val="0"/>
          <w:sz w:val="30"/>
          <w:szCs w:val="30"/>
          <w:lang w:val="en-US" w:eastAsia="zh-CN" w:bidi="ar"/>
        </w:rPr>
      </w:pPr>
      <w:r>
        <w:rPr>
          <w:rFonts w:hint="default" w:ascii="Times New Roman" w:hAnsi="Times New Roman" w:eastAsia="宋体" w:cs="Times New Roman"/>
          <w:color w:val="231F20"/>
          <w:kern w:val="0"/>
          <w:sz w:val="30"/>
          <w:szCs w:val="30"/>
          <w:lang w:val="en-US" w:eastAsia="zh-CN" w:bidi="ar"/>
        </w:rPr>
        <w:t>This trial protocol has been provided by the authors to give readers</w:t>
      </w:r>
      <w:r>
        <w:rPr>
          <w:rFonts w:hint="eastAsia" w:cs="Times New Roman"/>
          <w:color w:val="231F20"/>
          <w:kern w:val="0"/>
          <w:sz w:val="30"/>
          <w:szCs w:val="30"/>
          <w:lang w:val="en-US" w:eastAsia="zh-CN" w:bidi="ar"/>
        </w:rPr>
        <w:t xml:space="preserve"> </w:t>
      </w:r>
      <w:r>
        <w:rPr>
          <w:rFonts w:hint="default" w:ascii="Times New Roman" w:hAnsi="Times New Roman" w:eastAsia="宋体" w:cs="Times New Roman"/>
          <w:color w:val="231F20"/>
          <w:kern w:val="0"/>
          <w:sz w:val="30"/>
          <w:szCs w:val="30"/>
          <w:lang w:val="en-US" w:eastAsia="zh-CN" w:bidi="ar"/>
        </w:rPr>
        <w:t>additional information about their work</w:t>
      </w:r>
      <w:r>
        <w:rPr>
          <w:rFonts w:hint="eastAsia" w:cs="Times New Roman"/>
          <w:color w:val="231F20"/>
          <w:kern w:val="0"/>
          <w:sz w:val="30"/>
          <w:szCs w:val="30"/>
          <w:lang w:val="en-US" w:eastAsia="zh-CN" w:bidi="ar"/>
        </w:rPr>
        <w:t>.</w:t>
      </w:r>
    </w:p>
    <w:p>
      <w:pPr>
        <w:keepNext w:val="0"/>
        <w:keepLines w:val="0"/>
        <w:widowControl/>
        <w:suppressLineNumbers w:val="0"/>
        <w:jc w:val="left"/>
        <w:rPr>
          <w:rFonts w:hint="eastAsia" w:cs="Times New Roman"/>
          <w:color w:val="231F20"/>
          <w:kern w:val="0"/>
          <w:sz w:val="30"/>
          <w:szCs w:val="30"/>
          <w:lang w:val="en-US" w:eastAsia="zh-CN" w:bidi="ar"/>
        </w:rPr>
      </w:pPr>
    </w:p>
    <w:p>
      <w:pPr>
        <w:keepNext w:val="0"/>
        <w:keepLines w:val="0"/>
        <w:widowControl/>
        <w:suppressLineNumbers w:val="0"/>
        <w:jc w:val="left"/>
        <w:rPr>
          <w:rFonts w:hint="eastAsia" w:cs="Times New Roman"/>
          <w:color w:val="231F20"/>
          <w:kern w:val="0"/>
          <w:sz w:val="30"/>
          <w:szCs w:val="30"/>
          <w:lang w:val="en-US" w:eastAsia="zh-CN" w:bidi="ar"/>
        </w:rPr>
      </w:pPr>
    </w:p>
    <w:p>
      <w:pPr>
        <w:keepNext w:val="0"/>
        <w:keepLines w:val="0"/>
        <w:widowControl/>
        <w:suppressLineNumbers w:val="0"/>
        <w:jc w:val="left"/>
        <w:rPr>
          <w:rFonts w:hint="default" w:cs="Times New Roman"/>
          <w:color w:val="231F20"/>
          <w:kern w:val="0"/>
          <w:sz w:val="30"/>
          <w:szCs w:val="30"/>
          <w:lang w:val="en-US" w:eastAsia="zh-CN" w:bidi="ar"/>
        </w:rPr>
      </w:pPr>
    </w:p>
    <w:p>
      <w:pPr>
        <w:jc w:val="center"/>
        <w:rPr>
          <w:rFonts w:hint="eastAsia" w:eastAsia="黑体" w:cs="黑体"/>
          <w:b/>
          <w:bCs/>
          <w:sz w:val="52"/>
          <w:szCs w:val="52"/>
          <w:u w:color="FFFFFF"/>
        </w:rPr>
      </w:pPr>
    </w:p>
    <w:p>
      <w:pPr>
        <w:spacing w:beforeLines="50" w:afterLines="50"/>
        <w:jc w:val="both"/>
        <w:rPr>
          <w:rFonts w:hint="eastAsia" w:ascii="Times New Roman" w:hAnsi="Times New Roman" w:eastAsia="宋体" w:cs="Times New Roman"/>
          <w:b/>
          <w:bCs/>
          <w:sz w:val="52"/>
          <w:szCs w:val="52"/>
          <w:lang w:eastAsia="zh-CN"/>
        </w:rPr>
      </w:pPr>
      <w:bookmarkStart w:id="0" w:name="OLE_LINK33"/>
      <w:r>
        <w:rPr>
          <w:rFonts w:hint="eastAsia" w:ascii="Times New Roman" w:hAnsi="Times New Roman" w:eastAsia="宋体" w:cs="Times New Roman"/>
          <w:b/>
          <w:bCs/>
          <w:sz w:val="52"/>
          <w:szCs w:val="52"/>
          <w:lang w:eastAsia="zh-CN"/>
        </w:rPr>
        <w:object>
          <v:shape id="_x0000_i1025" o:spt="75" type="#_x0000_t75" style="height:32pt;width:416pt;" o:ole="t" filled="f" o:preferrelative="t" stroked="f" coordsize="21600,21600">
            <v:path/>
            <v:fill on="f" focussize="0,0"/>
            <v:stroke on="f"/>
            <v:imagedata r:id="rId8" o:title=""/>
            <o:lock v:ext="edit" aspectratio="t"/>
            <w10:wrap type="none"/>
            <w10:anchorlock/>
          </v:shape>
          <o:OLEObject Type="Embed" ProgID="Word.Document.12" ShapeID="_x0000_i1025" DrawAspect="Content" ObjectID="_1468075725" r:id="rId7">
            <o:LockedField>false</o:LockedField>
          </o:OLEObject>
        </w:object>
      </w:r>
    </w:p>
    <w:p>
      <w:pPr>
        <w:spacing w:beforeLines="50" w:afterLines="50"/>
        <w:jc w:val="center"/>
        <w:rPr>
          <w:rFonts w:ascii="Times New Roman" w:hAnsi="Times New Roman" w:cs="Times New Roman"/>
          <w:b/>
          <w:bCs/>
          <w:sz w:val="52"/>
          <w:szCs w:val="52"/>
        </w:rPr>
      </w:pPr>
    </w:p>
    <w:p>
      <w:pPr>
        <w:spacing w:beforeLines="50" w:afterLines="50"/>
        <w:jc w:val="center"/>
        <w:rPr>
          <w:rFonts w:ascii="Times New Roman" w:hAnsi="Times New Roman" w:cs="Times New Roman"/>
          <w:b/>
          <w:bCs/>
          <w:sz w:val="52"/>
          <w:szCs w:val="52"/>
        </w:rPr>
      </w:pPr>
    </w:p>
    <w:p>
      <w:pPr>
        <w:spacing w:beforeLines="50" w:afterLines="50"/>
        <w:jc w:val="center"/>
        <w:rPr>
          <w:rFonts w:ascii="Times New Roman" w:hAnsi="Times New Roman" w:cs="Times New Roman"/>
          <w:b/>
          <w:bCs/>
          <w:sz w:val="52"/>
          <w:szCs w:val="52"/>
        </w:rPr>
      </w:pPr>
    </w:p>
    <w:p>
      <w:pPr>
        <w:spacing w:beforeLines="50" w:afterLines="50"/>
        <w:jc w:val="center"/>
        <w:rPr>
          <w:rFonts w:ascii="Times New Roman" w:hAnsi="Times New Roman" w:cs="Times New Roman"/>
          <w:b/>
          <w:bCs/>
          <w:sz w:val="52"/>
          <w:szCs w:val="52"/>
        </w:rPr>
      </w:pPr>
    </w:p>
    <w:p>
      <w:pPr>
        <w:spacing w:beforeLines="50" w:afterLines="50"/>
        <w:jc w:val="center"/>
        <w:rPr>
          <w:rFonts w:ascii="Times New Roman" w:hAnsi="Times New Roman" w:cs="Times New Roman"/>
          <w:b/>
          <w:bCs/>
          <w:sz w:val="52"/>
          <w:szCs w:val="52"/>
        </w:rPr>
      </w:pPr>
    </w:p>
    <w:p>
      <w:pPr>
        <w:spacing w:beforeLines="50" w:afterLines="50"/>
        <w:jc w:val="center"/>
        <w:rPr>
          <w:rFonts w:ascii="Times New Roman" w:hAnsi="Times New Roman" w:cs="Times New Roman"/>
          <w:b/>
          <w:bCs/>
          <w:sz w:val="52"/>
          <w:szCs w:val="52"/>
        </w:rPr>
      </w:pPr>
    </w:p>
    <w:p>
      <w:pPr>
        <w:spacing w:beforeLines="50" w:afterLines="50"/>
        <w:jc w:val="center"/>
        <w:rPr>
          <w:rFonts w:ascii="Times New Roman" w:hAnsi="Times New Roman" w:cs="Times New Roman"/>
          <w:b/>
          <w:bCs/>
          <w:sz w:val="52"/>
          <w:szCs w:val="52"/>
        </w:rPr>
      </w:pPr>
    </w:p>
    <w:p>
      <w:pPr>
        <w:spacing w:beforeLines="50" w:afterLines="50"/>
        <w:jc w:val="center"/>
        <w:rPr>
          <w:rFonts w:ascii="Times New Roman" w:hAnsi="Times New Roman" w:cs="Times New Roman"/>
          <w:b/>
          <w:bCs/>
          <w:sz w:val="52"/>
          <w:szCs w:val="52"/>
        </w:rPr>
      </w:pPr>
    </w:p>
    <w:p>
      <w:pPr>
        <w:spacing w:beforeLines="50" w:afterLines="50"/>
        <w:jc w:val="center"/>
        <w:rPr>
          <w:rFonts w:ascii="Times New Roman" w:hAnsi="Times New Roman" w:cs="Times New Roman"/>
          <w:b/>
          <w:bCs/>
          <w:sz w:val="52"/>
          <w:szCs w:val="52"/>
        </w:rPr>
      </w:pPr>
    </w:p>
    <w:p>
      <w:pPr>
        <w:spacing w:beforeLines="50" w:afterLines="50"/>
        <w:jc w:val="both"/>
        <w:rPr>
          <w:rFonts w:hint="default" w:ascii="Times New Roman" w:hAnsi="Times New Roman" w:cs="Times New Roman"/>
          <w:b/>
          <w:bCs/>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beforeLines="50" w:afterLines="50"/>
        <w:jc w:val="center"/>
        <w:rPr>
          <w:rFonts w:hint="default" w:ascii="Times New Roman" w:hAnsi="Times New Roman" w:cs="Times New Roman"/>
          <w:b/>
          <w:bCs/>
          <w:sz w:val="32"/>
          <w:szCs w:val="32"/>
        </w:rPr>
      </w:pPr>
      <w:r>
        <w:rPr>
          <w:rFonts w:hint="default" w:ascii="Times New Roman" w:hAnsi="Times New Roman" w:cs="Times New Roman"/>
          <w:b/>
          <w:bCs/>
          <w:sz w:val="32"/>
          <w:szCs w:val="32"/>
        </w:rPr>
        <w:t>TPF</w:t>
      </w:r>
      <w:r>
        <w:rPr>
          <w:rFonts w:hint="default" w:ascii="Times New Roman" w:hAnsi="Times New Roman" w:cs="Times New Roman"/>
          <w:b/>
          <w:bCs/>
          <w:sz w:val="32"/>
          <w:szCs w:val="32"/>
          <w:lang w:val="en-US" w:eastAsia="zh-CN"/>
        </w:rPr>
        <w:t xml:space="preserve"> </w:t>
      </w:r>
      <w:r>
        <w:rPr>
          <w:rFonts w:hint="default" w:ascii="Times New Roman" w:hAnsi="Times New Roman" w:cs="Times New Roman"/>
          <w:b/>
          <w:bCs/>
          <w:sz w:val="32"/>
          <w:szCs w:val="32"/>
        </w:rPr>
        <w:t>induction</w:t>
      </w:r>
      <w:r>
        <w:rPr>
          <w:rFonts w:hint="default" w:ascii="Times New Roman" w:hAnsi="Times New Roman" w:cs="Times New Roman"/>
          <w:b/>
          <w:bCs/>
          <w:sz w:val="32"/>
          <w:szCs w:val="32"/>
          <w:lang w:val="en-US" w:eastAsia="zh-CN"/>
        </w:rPr>
        <w:t xml:space="preserve"> </w:t>
      </w:r>
      <w:r>
        <w:rPr>
          <w:rFonts w:hint="default" w:ascii="Times New Roman" w:hAnsi="Times New Roman" w:cs="Times New Roman"/>
          <w:b/>
          <w:bCs/>
          <w:sz w:val="32"/>
          <w:szCs w:val="32"/>
        </w:rPr>
        <w:t>chemotherapy versus PF adjuvant</w:t>
      </w:r>
      <w:r>
        <w:rPr>
          <w:rFonts w:hint="default" w:ascii="Times New Roman" w:hAnsi="Times New Roman" w:cs="Times New Roman"/>
          <w:b/>
          <w:bCs/>
          <w:sz w:val="32"/>
          <w:szCs w:val="32"/>
          <w:lang w:val="en-US" w:eastAsia="zh-CN"/>
        </w:rPr>
        <w:t xml:space="preserve"> </w:t>
      </w:r>
      <w:r>
        <w:rPr>
          <w:rFonts w:hint="default" w:ascii="Times New Roman" w:hAnsi="Times New Roman" w:cs="Times New Roman"/>
          <w:b/>
          <w:bCs/>
          <w:sz w:val="32"/>
          <w:szCs w:val="32"/>
        </w:rPr>
        <w:t>chemotherapy plus concurrent chemoradiotherapy for locally advanced nasopharyngeal carcinoma: a multicenter, randomized controlled phase III trial</w:t>
      </w:r>
      <w:bookmarkEnd w:id="0"/>
    </w:p>
    <w:p>
      <w:pPr>
        <w:spacing w:beforeLines="50" w:afterLines="50"/>
        <w:ind w:firstLine="2570" w:firstLineChars="800"/>
        <w:jc w:val="both"/>
        <w:rPr>
          <w:rFonts w:hint="default" w:ascii="Times New Roman" w:hAnsi="Times New Roman" w:eastAsia="黑体" w:cs="Times New Roman"/>
          <w:b/>
          <w:bCs/>
          <w:sz w:val="32"/>
          <w:szCs w:val="32"/>
          <w:u w:color="FFFFFF"/>
        </w:rPr>
      </w:pPr>
      <w:r>
        <w:rPr>
          <w:rFonts w:hint="default" w:ascii="Times New Roman" w:hAnsi="Times New Roman" w:eastAsia="黑体" w:cs="Times New Roman"/>
          <w:b/>
          <w:bCs/>
          <w:sz w:val="32"/>
          <w:szCs w:val="32"/>
          <w:u w:color="FFFFFF"/>
        </w:rPr>
        <w:t>Clinical trial protocol</w:t>
      </w:r>
    </w:p>
    <w:p>
      <w:pPr>
        <w:spacing w:beforeLines="50" w:afterLines="50"/>
        <w:jc w:val="both"/>
        <w:rPr>
          <w:rFonts w:hint="default" w:ascii="Times New Roman" w:hAnsi="Times New Roman" w:eastAsia="黑体" w:cs="Times New Roman"/>
          <w:b/>
          <w:bCs/>
          <w:sz w:val="32"/>
          <w:szCs w:val="32"/>
          <w:u w:color="FFFFFF"/>
        </w:rPr>
      </w:pPr>
    </w:p>
    <w:p>
      <w:pPr>
        <w:keepNext w:val="0"/>
        <w:keepLines w:val="0"/>
        <w:widowControl/>
        <w:suppressLineNumbers w:val="0"/>
        <w:jc w:val="both"/>
        <w:rPr>
          <w:rFonts w:hint="default" w:ascii="Times New Roman" w:hAnsi="Times New Roman" w:eastAsia="Helvetica" w:cs="Times New Roman"/>
          <w:b w:val="0"/>
          <w:bCs w:val="0"/>
          <w:color w:val="auto"/>
          <w:sz w:val="32"/>
          <w:szCs w:val="32"/>
          <w:shd w:val="clear" w:color="auto" w:fill="FFFFFF"/>
        </w:rPr>
      </w:pPr>
      <w:r>
        <w:rPr>
          <w:rFonts w:hint="default" w:ascii="Times New Roman" w:hAnsi="Times New Roman" w:eastAsia="宋体" w:cs="Times New Roman"/>
          <w:b w:val="0"/>
          <w:bCs w:val="0"/>
          <w:color w:val="231F20"/>
          <w:kern w:val="0"/>
          <w:sz w:val="32"/>
          <w:szCs w:val="32"/>
          <w:lang w:val="en-US" w:eastAsia="zh-CN" w:bidi="ar"/>
        </w:rPr>
        <w:t xml:space="preserve">Clinicaltrials.gov: </w:t>
      </w:r>
      <w:r>
        <w:rPr>
          <w:rFonts w:hint="default" w:ascii="Times New Roman" w:hAnsi="Times New Roman" w:eastAsia="Helvetica" w:cs="Times New Roman"/>
          <w:b w:val="0"/>
          <w:bCs w:val="0"/>
          <w:color w:val="auto"/>
          <w:sz w:val="32"/>
          <w:szCs w:val="32"/>
          <w:shd w:val="clear" w:color="auto" w:fill="FFFFFF"/>
        </w:rPr>
        <w:t>NCT03574324</w:t>
      </w:r>
    </w:p>
    <w:p>
      <w:pPr>
        <w:spacing w:beforeLines="50" w:afterLines="50"/>
        <w:jc w:val="both"/>
        <w:rPr>
          <w:rFonts w:hint="default" w:ascii="Times New Roman" w:hAnsi="Times New Roman" w:eastAsia="黑体" w:cs="Times New Roman"/>
          <w:b w:val="0"/>
          <w:bCs w:val="0"/>
          <w:sz w:val="32"/>
          <w:szCs w:val="32"/>
          <w:u w:color="FFFFFF"/>
        </w:rPr>
      </w:pPr>
      <w:r>
        <w:rPr>
          <w:rFonts w:hint="default" w:ascii="Times New Roman" w:hAnsi="Times New Roman" w:eastAsia="黑体" w:cs="Times New Roman"/>
          <w:b w:val="0"/>
          <w:bCs w:val="0"/>
          <w:sz w:val="32"/>
          <w:szCs w:val="32"/>
          <w:u w:color="FFFFFF"/>
        </w:rPr>
        <w:t xml:space="preserve">Principal investigator: </w:t>
      </w:r>
      <w:r>
        <w:rPr>
          <w:rFonts w:hint="default" w:ascii="Times New Roman" w:hAnsi="Times New Roman" w:eastAsia="黑体" w:cs="Times New Roman"/>
          <w:b w:val="0"/>
          <w:bCs w:val="0"/>
          <w:sz w:val="32"/>
          <w:szCs w:val="32"/>
          <w:u w:color="FFFFFF"/>
          <w:lang w:val="en-US" w:eastAsia="zh-CN"/>
        </w:rPr>
        <w:t>Feng Jin</w:t>
      </w:r>
      <w:r>
        <w:rPr>
          <w:rFonts w:hint="default" w:ascii="Times New Roman" w:hAnsi="Times New Roman" w:eastAsia="黑体" w:cs="Times New Roman"/>
          <w:b w:val="0"/>
          <w:bCs w:val="0"/>
          <w:sz w:val="32"/>
          <w:szCs w:val="32"/>
          <w:u w:color="FFFFFF"/>
        </w:rPr>
        <w:t xml:space="preserve"> </w:t>
      </w:r>
    </w:p>
    <w:p>
      <w:pPr>
        <w:spacing w:beforeLines="50" w:afterLines="50"/>
        <w:ind w:left="2240" w:hanging="2240" w:hangingChars="700"/>
        <w:jc w:val="both"/>
        <w:rPr>
          <w:rFonts w:hint="default" w:ascii="Times New Roman" w:hAnsi="Times New Roman" w:cs="Times New Roman"/>
          <w:b w:val="0"/>
          <w:bCs w:val="0"/>
          <w:sz w:val="32"/>
          <w:szCs w:val="32"/>
          <w:lang w:val="en-US" w:eastAsia="zh-CN"/>
        </w:rPr>
      </w:pPr>
      <w:r>
        <w:rPr>
          <w:rFonts w:hint="default" w:ascii="Times New Roman" w:hAnsi="Times New Roman" w:eastAsia="黑体" w:cs="Times New Roman"/>
          <w:b w:val="0"/>
          <w:bCs w:val="0"/>
          <w:sz w:val="32"/>
          <w:szCs w:val="32"/>
          <w:u w:color="FFFFFF"/>
        </w:rPr>
        <w:t xml:space="preserve">Test Initiator: </w:t>
      </w:r>
      <w:bookmarkStart w:id="1" w:name="OLE_LINK22"/>
      <w:r>
        <w:rPr>
          <w:rFonts w:hint="eastAsia" w:ascii="Times New Roman" w:hAnsi="Times New Roman" w:cs="Times New Roman"/>
          <w:sz w:val="32"/>
          <w:szCs w:val="32"/>
          <w:lang w:val="en-US" w:eastAsia="zh-CN"/>
        </w:rPr>
        <w:t xml:space="preserve">the </w:t>
      </w:r>
      <w:r>
        <w:rPr>
          <w:rFonts w:ascii="Times New Roman" w:hAnsi="Times New Roman" w:cs="Times New Roman"/>
          <w:sz w:val="32"/>
          <w:szCs w:val="32"/>
        </w:rPr>
        <w:t>Affiliated Hospital of Guizhou Medical University</w:t>
      </w:r>
      <w:r>
        <w:rPr>
          <w:rFonts w:hint="eastAsia" w:ascii="Times New Roman" w:hAnsi="Times New Roman" w:cs="Times New Roman"/>
          <w:sz w:val="32"/>
          <w:szCs w:val="32"/>
          <w:lang w:val="en-US" w:eastAsia="zh-CN"/>
        </w:rPr>
        <w:t>/</w:t>
      </w:r>
      <w:r>
        <w:rPr>
          <w:rFonts w:hint="eastAsia" w:eastAsia="黑体" w:cs="Times New Roman"/>
          <w:b w:val="0"/>
          <w:bCs w:val="0"/>
          <w:sz w:val="32"/>
          <w:szCs w:val="32"/>
          <w:u w:color="FFFFFF"/>
          <w:lang w:val="en-US" w:eastAsia="zh-CN"/>
        </w:rPr>
        <w:t xml:space="preserve">the </w:t>
      </w:r>
      <w:r>
        <w:rPr>
          <w:rFonts w:hint="default" w:ascii="Times New Roman" w:hAnsi="Times New Roman" w:cs="Times New Roman"/>
          <w:b w:val="0"/>
          <w:bCs w:val="0"/>
          <w:sz w:val="32"/>
          <w:szCs w:val="32"/>
        </w:rPr>
        <w:t>Affiliated Cancer Hospital of Guizhou Medical University</w:t>
      </w:r>
      <w:bookmarkEnd w:id="1"/>
    </w:p>
    <w:p>
      <w:pPr>
        <w:spacing w:beforeLines="50" w:afterLines="50"/>
        <w:jc w:val="both"/>
        <w:rPr>
          <w:rFonts w:hint="default" w:ascii="Times New Roman" w:hAnsi="Times New Roman" w:eastAsia="黑体" w:cs="Times New Roman"/>
          <w:b w:val="0"/>
          <w:bCs w:val="0"/>
          <w:sz w:val="32"/>
          <w:szCs w:val="32"/>
          <w:u w:color="FFFFFF"/>
          <w:lang w:val="en-US" w:eastAsia="zh-CN"/>
        </w:rPr>
      </w:pPr>
      <w:r>
        <w:rPr>
          <w:rFonts w:hint="default" w:ascii="Times New Roman" w:hAnsi="Times New Roman" w:eastAsia="黑体" w:cs="Times New Roman"/>
          <w:b w:val="0"/>
          <w:bCs w:val="0"/>
          <w:sz w:val="32"/>
          <w:szCs w:val="32"/>
          <w:u w:color="FFFFFF"/>
          <w:lang w:val="en-US" w:eastAsia="zh-CN"/>
        </w:rPr>
        <w:t>Research Assistant: Jia Cao (Tel. 18685156063)</w:t>
      </w:r>
    </w:p>
    <w:p>
      <w:pPr>
        <w:spacing w:beforeLines="50" w:afterLines="50"/>
        <w:jc w:val="both"/>
        <w:rPr>
          <w:rFonts w:hint="default" w:ascii="Times New Roman" w:hAnsi="Times New Roman" w:eastAsia="黑体" w:cs="Times New Roman"/>
          <w:b w:val="0"/>
          <w:bCs w:val="0"/>
          <w:sz w:val="32"/>
          <w:szCs w:val="32"/>
          <w:u w:color="FFFFFF"/>
          <w:lang w:val="en-US" w:eastAsia="zh-CN"/>
        </w:rPr>
      </w:pPr>
      <w:r>
        <w:rPr>
          <w:rFonts w:hint="eastAsia" w:eastAsia="黑体" w:cs="Times New Roman"/>
          <w:b w:val="0"/>
          <w:bCs w:val="0"/>
          <w:sz w:val="32"/>
          <w:szCs w:val="32"/>
          <w:u w:color="FFFFFF"/>
          <w:lang w:val="en-US" w:eastAsia="zh-CN"/>
        </w:rPr>
        <w:t>Contact:Qianyong He,Email:hqytumor@163.com</w:t>
      </w:r>
    </w:p>
    <w:p>
      <w:pPr>
        <w:spacing w:beforeLines="50" w:afterLines="50"/>
        <w:jc w:val="both"/>
        <w:rPr>
          <w:rFonts w:hint="default" w:eastAsia="黑体"/>
          <w:b/>
          <w:bCs/>
          <w:sz w:val="30"/>
          <w:szCs w:val="30"/>
          <w:u w:color="FFFFFF"/>
          <w:lang w:val="en-US" w:eastAsia="zh-CN"/>
        </w:rPr>
      </w:pPr>
      <w:r>
        <w:rPr>
          <w:rFonts w:hint="eastAsia" w:eastAsia="黑体"/>
          <w:b/>
          <w:bCs/>
          <w:sz w:val="30"/>
          <w:szCs w:val="30"/>
          <w:u w:color="FFFFFF"/>
          <w:lang w:val="en-US" w:eastAsia="zh-CN"/>
        </w:rPr>
        <w:t xml:space="preserve">                 </w:t>
      </w:r>
    </w:p>
    <w:p>
      <w:pPr>
        <w:spacing w:beforeLines="50" w:afterLines="50"/>
        <w:jc w:val="both"/>
        <w:rPr>
          <w:rFonts w:hint="eastAsia" w:eastAsia="黑体"/>
          <w:b/>
          <w:bCs/>
          <w:sz w:val="30"/>
          <w:szCs w:val="30"/>
          <w:u w:color="FFFFFF"/>
          <w:lang w:val="en-US" w:eastAsia="zh-CN"/>
        </w:rPr>
      </w:pPr>
    </w:p>
    <w:p>
      <w:pPr>
        <w:spacing w:beforeLines="50" w:afterLines="50"/>
        <w:jc w:val="both"/>
        <w:rPr>
          <w:rFonts w:hint="eastAsia" w:eastAsia="黑体"/>
          <w:b/>
          <w:bCs/>
          <w:sz w:val="30"/>
          <w:szCs w:val="30"/>
          <w:u w:color="FFFFFF"/>
          <w:lang w:val="en-US" w:eastAsia="zh-CN"/>
        </w:rPr>
      </w:pPr>
    </w:p>
    <w:p>
      <w:pPr>
        <w:spacing w:beforeLines="50" w:afterLines="50"/>
        <w:jc w:val="both"/>
        <w:rPr>
          <w:rFonts w:hint="eastAsia" w:eastAsia="黑体"/>
          <w:b/>
          <w:bCs/>
          <w:sz w:val="30"/>
          <w:szCs w:val="30"/>
          <w:u w:color="FFFFFF"/>
          <w:lang w:val="en-US" w:eastAsia="zh-CN"/>
        </w:rPr>
      </w:pPr>
    </w:p>
    <w:p>
      <w:pPr>
        <w:spacing w:beforeLines="50" w:afterLines="50"/>
        <w:jc w:val="both"/>
        <w:rPr>
          <w:rFonts w:hint="eastAsia" w:eastAsia="黑体"/>
          <w:b/>
          <w:bCs/>
          <w:sz w:val="30"/>
          <w:szCs w:val="30"/>
          <w:u w:color="FFFFFF"/>
          <w:lang w:val="en-US" w:eastAsia="zh-CN"/>
        </w:rPr>
      </w:pPr>
    </w:p>
    <w:p>
      <w:pPr>
        <w:spacing w:beforeLines="50" w:afterLines="50"/>
        <w:jc w:val="both"/>
        <w:rPr>
          <w:rFonts w:hint="eastAsia" w:eastAsia="黑体"/>
          <w:b/>
          <w:bCs/>
          <w:sz w:val="30"/>
          <w:szCs w:val="30"/>
          <w:u w:color="FFFFFF"/>
          <w:lang w:val="en-US" w:eastAsia="zh-CN"/>
        </w:rPr>
      </w:pPr>
    </w:p>
    <w:p>
      <w:pPr>
        <w:keepNext w:val="0"/>
        <w:keepLines w:val="0"/>
        <w:widowControl/>
        <w:suppressLineNumbers w:val="0"/>
        <w:spacing w:line="240" w:lineRule="auto"/>
        <w:jc w:val="left"/>
        <w:rPr>
          <w:rFonts w:hint="default" w:ascii="Times New Roman" w:hAnsi="Times New Roman" w:cs="Times New Roman"/>
          <w:b/>
          <w:bCs/>
          <w:sz w:val="24"/>
          <w:szCs w:val="24"/>
        </w:rPr>
      </w:pPr>
      <w:bookmarkStart w:id="2" w:name="_Toc293070484"/>
      <w:bookmarkStart w:id="3" w:name="_Toc297725079"/>
      <w:r>
        <w:rPr>
          <w:rFonts w:hint="default" w:ascii="Times New Roman" w:hAnsi="Times New Roman" w:eastAsia="宋体" w:cs="Times New Roman"/>
          <w:b/>
          <w:bCs/>
          <w:color w:val="231F20"/>
          <w:kern w:val="0"/>
          <w:sz w:val="24"/>
          <w:szCs w:val="24"/>
          <w:lang w:val="en-US" w:eastAsia="zh-CN" w:bidi="ar"/>
        </w:rPr>
        <w:t xml:space="preserve">TABLE OF CONTENTS </w:t>
      </w:r>
    </w:p>
    <w:p>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default" w:ascii="Times New Roman" w:hAnsi="Times New Roman" w:eastAsia="宋体" w:cs="Times New Roman"/>
          <w:b/>
          <w:bCs/>
          <w:color w:val="231F20"/>
          <w:kern w:val="0"/>
          <w:sz w:val="24"/>
          <w:szCs w:val="24"/>
          <w:lang w:val="en-US" w:eastAsia="zh-CN" w:bidi="ar"/>
        </w:rPr>
      </w:pPr>
      <w:r>
        <w:rPr>
          <w:rFonts w:hint="default" w:ascii="Times New Roman" w:hAnsi="Times New Roman" w:cs="Times New Roman"/>
          <w:b/>
          <w:bCs/>
          <w:color w:val="231F20"/>
          <w:kern w:val="0"/>
          <w:sz w:val="24"/>
          <w:szCs w:val="24"/>
          <w:lang w:val="en-US" w:eastAsia="zh-CN" w:bidi="ar"/>
        </w:rPr>
        <w:t>1.</w:t>
      </w:r>
      <w:r>
        <w:rPr>
          <w:rFonts w:hint="default" w:ascii="Times New Roman" w:hAnsi="Times New Roman" w:eastAsia="宋体" w:cs="Times New Roman"/>
          <w:b/>
          <w:bCs/>
          <w:color w:val="231F20"/>
          <w:kern w:val="0"/>
          <w:sz w:val="24"/>
          <w:szCs w:val="24"/>
          <w:lang w:val="en-US" w:eastAsia="zh-CN" w:bidi="ar"/>
        </w:rPr>
        <w:t>Background</w:t>
      </w:r>
      <w:r>
        <w:rPr>
          <w:rFonts w:hint="eastAsia" w:cs="Times New Roman"/>
          <w:b/>
          <w:bCs/>
          <w:color w:val="231F20"/>
          <w:kern w:val="0"/>
          <w:sz w:val="24"/>
          <w:szCs w:val="24"/>
          <w:lang w:val="en-US" w:eastAsia="zh-CN" w:bidi="ar"/>
        </w:rPr>
        <w:t>---------------------------------------------------------------------------------</w:t>
      </w:r>
      <w:r>
        <w:rPr>
          <w:rFonts w:hint="eastAsia" w:cs="Times New Roman"/>
          <w:b w:val="0"/>
          <w:bCs w:val="0"/>
          <w:color w:val="231F20"/>
          <w:kern w:val="0"/>
          <w:sz w:val="24"/>
          <w:szCs w:val="24"/>
          <w:lang w:val="en-US" w:eastAsia="zh-CN" w:bidi="ar"/>
        </w:rPr>
        <w:t>3-4</w:t>
      </w:r>
    </w:p>
    <w:p>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default" w:ascii="Times New Roman" w:hAnsi="Times New Roman" w:eastAsia="宋体" w:cs="Times New Roman"/>
          <w:b/>
          <w:bCs/>
          <w:sz w:val="24"/>
          <w:szCs w:val="24"/>
          <w:u w:color="0000FF"/>
          <w:lang w:val="en-US" w:eastAsia="zh-CN"/>
        </w:rPr>
      </w:pPr>
      <w:r>
        <w:rPr>
          <w:rFonts w:hint="default" w:ascii="Times New Roman" w:hAnsi="Times New Roman" w:cs="Times New Roman"/>
          <w:b/>
          <w:bCs/>
          <w:sz w:val="24"/>
          <w:szCs w:val="24"/>
          <w:u w:color="0000FF"/>
          <w:lang w:val="en-US" w:eastAsia="zh-CN"/>
        </w:rPr>
        <w:t>2.Protocol</w:t>
      </w:r>
      <w:r>
        <w:rPr>
          <w:rFonts w:hint="default" w:ascii="Times New Roman" w:hAnsi="Times New Roman" w:cs="Times New Roman"/>
          <w:b/>
          <w:bCs/>
          <w:sz w:val="24"/>
          <w:szCs w:val="24"/>
          <w:u w:color="0000FF"/>
        </w:rPr>
        <w:t xml:space="preserve"> summary</w:t>
      </w:r>
      <w:r>
        <w:rPr>
          <w:rFonts w:hint="eastAsia" w:cs="Times New Roman"/>
          <w:b/>
          <w:bCs/>
          <w:sz w:val="24"/>
          <w:szCs w:val="24"/>
          <w:u w:color="0000FF"/>
          <w:lang w:val="en-US" w:eastAsia="zh-CN"/>
        </w:rPr>
        <w:t>-------------------------------------------------------------------------</w:t>
      </w:r>
      <w:r>
        <w:rPr>
          <w:rFonts w:hint="eastAsia" w:cs="Times New Roman"/>
          <w:b w:val="0"/>
          <w:bCs w:val="0"/>
          <w:sz w:val="24"/>
          <w:szCs w:val="24"/>
          <w:u w:color="0000FF"/>
          <w:lang w:val="en-US" w:eastAsia="zh-CN"/>
        </w:rPr>
        <w:t>4-8</w:t>
      </w:r>
    </w:p>
    <w:p>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cs="Times New Roman"/>
          <w:b/>
          <w:bCs/>
          <w:color w:val="000000"/>
          <w:kern w:val="0"/>
          <w:sz w:val="24"/>
          <w:szCs w:val="24"/>
          <w:lang w:val="en-US" w:eastAsia="zh-CN" w:bidi="ar"/>
        </w:rPr>
        <w:t>3.</w:t>
      </w:r>
      <w:r>
        <w:rPr>
          <w:rFonts w:hint="default" w:ascii="Times New Roman" w:hAnsi="Times New Roman" w:eastAsia="Shaker2Lancet-Bold" w:cs="Times New Roman"/>
          <w:b/>
          <w:bCs/>
          <w:color w:val="000000"/>
          <w:kern w:val="0"/>
          <w:sz w:val="24"/>
          <w:szCs w:val="24"/>
          <w:lang w:bidi="ar"/>
        </w:rPr>
        <w:t>Study flow chart</w:t>
      </w:r>
      <w:r>
        <w:rPr>
          <w:rFonts w:hint="eastAsia" w:cs="Times New Roman"/>
          <w:b/>
          <w:bCs/>
          <w:color w:val="000000"/>
          <w:kern w:val="0"/>
          <w:sz w:val="24"/>
          <w:szCs w:val="24"/>
          <w:lang w:val="en-US" w:eastAsia="zh-CN" w:bidi="ar"/>
        </w:rPr>
        <w:t>------------------------------------------------------------------------------</w:t>
      </w:r>
      <w:r>
        <w:rPr>
          <w:rFonts w:hint="eastAsia" w:cs="Times New Roman"/>
          <w:b w:val="0"/>
          <w:bCs w:val="0"/>
          <w:color w:val="000000"/>
          <w:kern w:val="0"/>
          <w:sz w:val="24"/>
          <w:szCs w:val="24"/>
          <w:lang w:val="en-US" w:eastAsia="zh-CN" w:bidi="ar"/>
        </w:rPr>
        <w:t>9</w:t>
      </w:r>
    </w:p>
    <w:p>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eastAsia" w:cs="Times New Roman"/>
          <w:b w:val="0"/>
          <w:bCs w:val="0"/>
          <w:sz w:val="24"/>
          <w:szCs w:val="24"/>
          <w:u w:color="FFFFFF"/>
          <w:lang w:val="en-US" w:eastAsia="zh-CN"/>
        </w:rPr>
      </w:pPr>
      <w:r>
        <w:rPr>
          <w:rFonts w:hint="default" w:ascii="Times New Roman" w:hAnsi="Times New Roman" w:cs="Times New Roman"/>
          <w:b/>
          <w:bCs/>
          <w:sz w:val="24"/>
          <w:szCs w:val="24"/>
          <w:u w:color="FFFFFF"/>
          <w:lang w:val="en-US" w:eastAsia="zh-CN"/>
        </w:rPr>
        <w:t>4.</w:t>
      </w:r>
      <w:r>
        <w:rPr>
          <w:rFonts w:hint="default" w:ascii="Times New Roman" w:hAnsi="Times New Roman" w:cs="Times New Roman"/>
          <w:b/>
          <w:bCs/>
          <w:sz w:val="24"/>
          <w:szCs w:val="24"/>
          <w:u w:color="FFFFFF"/>
        </w:rPr>
        <w:t>Study process table</w:t>
      </w:r>
      <w:r>
        <w:rPr>
          <w:rFonts w:hint="eastAsia" w:cs="Times New Roman"/>
          <w:b/>
          <w:bCs/>
          <w:sz w:val="24"/>
          <w:szCs w:val="24"/>
          <w:u w:color="FFFFFF"/>
          <w:lang w:val="en-US" w:eastAsia="zh-CN"/>
        </w:rPr>
        <w:t>---------------------------------------------------------------------</w:t>
      </w:r>
      <w:r>
        <w:rPr>
          <w:rFonts w:hint="eastAsia" w:cs="Times New Roman"/>
          <w:b w:val="0"/>
          <w:bCs w:val="0"/>
          <w:sz w:val="24"/>
          <w:szCs w:val="24"/>
          <w:u w:color="FFFFFF"/>
          <w:lang w:val="en-US" w:eastAsia="zh-CN"/>
        </w:rPr>
        <w:t>10</w:t>
      </w:r>
      <w:r>
        <w:rPr>
          <w:rFonts w:hint="eastAsia" w:cs="Times New Roman"/>
          <w:b w:val="0"/>
          <w:bCs w:val="0"/>
          <w:sz w:val="24"/>
          <w:szCs w:val="24"/>
          <w:u w:color="FFFFFF"/>
          <w:lang w:val="en-US" w:eastAsia="zh-CN"/>
        </w:rPr>
        <w:t>-11</w:t>
      </w:r>
    </w:p>
    <w:p>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eastAsia" w:cs="Times New Roman"/>
          <w:b w:val="0"/>
          <w:bCs w:val="0"/>
          <w:sz w:val="24"/>
          <w:szCs w:val="24"/>
          <w:u w:color="FFFFFF"/>
          <w:lang w:val="en-US" w:eastAsia="zh-CN"/>
        </w:rPr>
      </w:pPr>
      <w:r>
        <w:rPr>
          <w:rFonts w:hint="eastAsia" w:cs="Times New Roman"/>
          <w:b/>
          <w:bCs/>
          <w:sz w:val="24"/>
          <w:szCs w:val="24"/>
          <w:u w:color="FFFFFF"/>
          <w:lang w:val="en-US" w:eastAsia="zh-CN"/>
        </w:rPr>
        <w:t>5.Objetives</w:t>
      </w:r>
      <w:r>
        <w:rPr>
          <w:rFonts w:hint="eastAsia" w:cs="Times New Roman"/>
          <w:b w:val="0"/>
          <w:bCs w:val="0"/>
          <w:sz w:val="24"/>
          <w:szCs w:val="24"/>
          <w:u w:color="FFFFFF"/>
          <w:lang w:val="en-US" w:eastAsia="zh-CN"/>
        </w:rPr>
        <w:t>--------------------------------------------------------------------------------------12</w:t>
      </w:r>
    </w:p>
    <w:p>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default" w:cs="Times New Roman"/>
          <w:b w:val="0"/>
          <w:bCs w:val="0"/>
          <w:sz w:val="24"/>
          <w:szCs w:val="24"/>
          <w:u w:color="FFFFFF"/>
          <w:lang w:val="en-US" w:eastAsia="zh-CN"/>
        </w:rPr>
      </w:pPr>
      <w:r>
        <w:rPr>
          <w:rFonts w:hint="eastAsia" w:cs="Times New Roman"/>
          <w:b/>
          <w:bCs/>
          <w:sz w:val="24"/>
          <w:szCs w:val="24"/>
          <w:u w:color="FFFFFF"/>
          <w:lang w:val="en-US" w:eastAsia="zh-CN"/>
        </w:rPr>
        <w:t>6.Subject Enrollmen</w:t>
      </w:r>
      <w:r>
        <w:rPr>
          <w:rFonts w:hint="eastAsia" w:cs="Times New Roman"/>
          <w:b w:val="0"/>
          <w:bCs w:val="0"/>
          <w:sz w:val="24"/>
          <w:szCs w:val="24"/>
          <w:u w:color="FFFFFF"/>
          <w:lang w:val="en-US" w:eastAsia="zh-CN"/>
        </w:rPr>
        <w:t>t---------------------------------------------------------------------12-13</w:t>
      </w:r>
    </w:p>
    <w:p>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default" w:ascii="Times New Roman" w:hAnsi="Times New Roman" w:eastAsia="宋体" w:cs="Times New Roman"/>
          <w:b/>
          <w:bCs/>
          <w:color w:val="000000"/>
          <w:kern w:val="36"/>
          <w:sz w:val="24"/>
          <w:szCs w:val="24"/>
          <w:u w:color="FFFFFF"/>
          <w:lang w:val="en-US" w:eastAsia="zh-CN" w:bidi="ar-SA"/>
        </w:rPr>
      </w:pPr>
      <w:r>
        <w:rPr>
          <w:rFonts w:hint="eastAsia" w:cs="Times New Roman"/>
          <w:b/>
          <w:bCs/>
          <w:color w:val="000000"/>
          <w:kern w:val="36"/>
          <w:sz w:val="24"/>
          <w:szCs w:val="24"/>
          <w:u w:color="FFFFFF"/>
          <w:lang w:val="en-US" w:eastAsia="zh-CN" w:bidi="ar-SA"/>
        </w:rPr>
        <w:t>7</w:t>
      </w:r>
      <w:r>
        <w:rPr>
          <w:rFonts w:hint="default" w:ascii="Times New Roman" w:hAnsi="Times New Roman" w:eastAsia="宋体" w:cs="Times New Roman"/>
          <w:b/>
          <w:bCs/>
          <w:color w:val="000000"/>
          <w:kern w:val="36"/>
          <w:sz w:val="24"/>
          <w:szCs w:val="24"/>
          <w:u w:color="FFFFFF"/>
          <w:lang w:val="en-US" w:eastAsia="zh-CN" w:bidi="ar-SA"/>
        </w:rPr>
        <w:t>. Relevant inspection and observation items during the study period</w:t>
      </w:r>
      <w:r>
        <w:rPr>
          <w:rFonts w:hint="eastAsia" w:cs="Times New Roman"/>
          <w:b/>
          <w:bCs/>
          <w:color w:val="000000"/>
          <w:kern w:val="36"/>
          <w:sz w:val="24"/>
          <w:szCs w:val="24"/>
          <w:u w:color="FFFFFF"/>
          <w:lang w:val="en-US" w:eastAsia="zh-CN" w:bidi="ar-SA"/>
        </w:rPr>
        <w:t>--------</w:t>
      </w:r>
      <w:r>
        <w:rPr>
          <w:rFonts w:hint="eastAsia" w:cs="Times New Roman"/>
          <w:b w:val="0"/>
          <w:bCs w:val="0"/>
          <w:color w:val="000000"/>
          <w:kern w:val="36"/>
          <w:sz w:val="24"/>
          <w:szCs w:val="24"/>
          <w:u w:color="FFFFFF"/>
          <w:lang w:val="en-US" w:eastAsia="zh-CN" w:bidi="ar-SA"/>
        </w:rPr>
        <w:t>14-16</w:t>
      </w:r>
    </w:p>
    <w:p>
      <w:pPr>
        <w:keepNext w:val="0"/>
        <w:keepLines w:val="0"/>
        <w:pageBreakBefore w:val="0"/>
        <w:widowControl w:val="0"/>
        <w:numPr>
          <w:ilvl w:val="0"/>
          <w:numId w:val="0"/>
        </w:numPr>
        <w:kinsoku/>
        <w:wordWrap/>
        <w:overflowPunct/>
        <w:topLinePunct w:val="0"/>
        <w:autoSpaceDE/>
        <w:autoSpaceDN/>
        <w:bidi w:val="0"/>
        <w:adjustRightInd/>
        <w:spacing w:before="0" w:after="260" w:afterLines="50" w:line="360" w:lineRule="auto"/>
        <w:ind w:leftChars="0"/>
        <w:jc w:val="both"/>
        <w:textAlignment w:val="auto"/>
        <w:outlineLvl w:val="1"/>
        <w:rPr>
          <w:rFonts w:hint="eastAsia" w:cs="Times New Roman"/>
          <w:b w:val="0"/>
          <w:bCs w:val="0"/>
          <w:color w:val="000000"/>
          <w:kern w:val="36"/>
          <w:sz w:val="24"/>
          <w:szCs w:val="24"/>
          <w:u w:color="FFFFFF"/>
          <w:lang w:val="en-US" w:eastAsia="zh-CN" w:bidi="ar-SA"/>
        </w:rPr>
      </w:pPr>
      <w:r>
        <w:rPr>
          <w:rFonts w:hint="eastAsia" w:cs="Times New Roman"/>
          <w:b/>
          <w:bCs/>
          <w:color w:val="000000"/>
          <w:kern w:val="36"/>
          <w:sz w:val="24"/>
          <w:szCs w:val="24"/>
          <w:u w:color="FFFFFF"/>
          <w:lang w:val="en-US" w:eastAsia="zh-CN" w:bidi="ar-SA"/>
        </w:rPr>
        <w:t>8</w:t>
      </w:r>
      <w:r>
        <w:rPr>
          <w:rFonts w:hint="default" w:ascii="Times New Roman" w:hAnsi="Times New Roman" w:eastAsia="宋体" w:cs="Times New Roman"/>
          <w:b/>
          <w:bCs/>
          <w:color w:val="000000"/>
          <w:kern w:val="36"/>
          <w:sz w:val="24"/>
          <w:szCs w:val="24"/>
          <w:u w:color="FFFFFF"/>
          <w:lang w:val="en-US" w:eastAsia="zh-CN" w:bidi="ar-SA"/>
        </w:rPr>
        <w:t>. Treatment plan</w:t>
      </w:r>
      <w:r>
        <w:rPr>
          <w:rFonts w:hint="eastAsia" w:cs="Times New Roman"/>
          <w:b/>
          <w:bCs/>
          <w:color w:val="000000"/>
          <w:kern w:val="36"/>
          <w:sz w:val="24"/>
          <w:szCs w:val="24"/>
          <w:u w:color="FFFFFF"/>
          <w:lang w:val="en-US" w:eastAsia="zh-CN" w:bidi="ar-SA"/>
        </w:rPr>
        <w:t>-------------------------------------------------------------------------</w:t>
      </w:r>
      <w:r>
        <w:rPr>
          <w:rFonts w:hint="eastAsia" w:cs="Times New Roman"/>
          <w:b w:val="0"/>
          <w:bCs w:val="0"/>
          <w:color w:val="000000"/>
          <w:kern w:val="36"/>
          <w:sz w:val="24"/>
          <w:szCs w:val="24"/>
          <w:u w:color="FFFFFF"/>
          <w:lang w:val="en-US" w:eastAsia="zh-CN" w:bidi="ar-SA"/>
        </w:rPr>
        <w:t>17-24</w:t>
      </w:r>
    </w:p>
    <w:p>
      <w:pPr>
        <w:keepNext w:val="0"/>
        <w:keepLines w:val="0"/>
        <w:pageBreakBefore w:val="0"/>
        <w:widowControl w:val="0"/>
        <w:numPr>
          <w:ilvl w:val="0"/>
          <w:numId w:val="0"/>
        </w:numPr>
        <w:kinsoku/>
        <w:wordWrap/>
        <w:overflowPunct/>
        <w:topLinePunct w:val="0"/>
        <w:autoSpaceDE/>
        <w:autoSpaceDN/>
        <w:bidi w:val="0"/>
        <w:adjustRightInd/>
        <w:spacing w:before="0" w:after="260" w:afterLines="50" w:line="360" w:lineRule="auto"/>
        <w:ind w:leftChars="0"/>
        <w:jc w:val="both"/>
        <w:textAlignment w:val="auto"/>
        <w:outlineLvl w:val="1"/>
        <w:rPr>
          <w:rFonts w:hint="eastAsia" w:cs="Times New Roman"/>
          <w:b w:val="0"/>
          <w:bCs w:val="0"/>
          <w:color w:val="000000"/>
          <w:kern w:val="36"/>
          <w:sz w:val="24"/>
          <w:szCs w:val="24"/>
          <w:u w:color="FFFFFF"/>
          <w:lang w:val="en-US" w:eastAsia="zh-CN" w:bidi="ar-SA"/>
        </w:rPr>
      </w:pPr>
      <w:r>
        <w:rPr>
          <w:rFonts w:hint="eastAsia" w:cs="Times New Roman"/>
          <w:b/>
          <w:bCs/>
          <w:color w:val="000000"/>
          <w:kern w:val="36"/>
          <w:sz w:val="24"/>
          <w:szCs w:val="24"/>
          <w:u w:color="FFFFFF"/>
          <w:lang w:val="en-US" w:eastAsia="zh-CN" w:bidi="ar-SA"/>
        </w:rPr>
        <w:t>9.Data Collection and Data Managent</w:t>
      </w:r>
      <w:r>
        <w:rPr>
          <w:rFonts w:hint="eastAsia" w:cs="Times New Roman"/>
          <w:b w:val="0"/>
          <w:bCs w:val="0"/>
          <w:color w:val="000000"/>
          <w:kern w:val="36"/>
          <w:sz w:val="24"/>
          <w:szCs w:val="24"/>
          <w:u w:color="FFFFFF"/>
          <w:lang w:val="en-US" w:eastAsia="zh-CN" w:bidi="ar-SA"/>
        </w:rPr>
        <w:t>----------------------------------------------------24</w:t>
      </w:r>
    </w:p>
    <w:p>
      <w:pPr>
        <w:keepNext w:val="0"/>
        <w:keepLines w:val="0"/>
        <w:pageBreakBefore w:val="0"/>
        <w:widowControl w:val="0"/>
        <w:numPr>
          <w:ilvl w:val="0"/>
          <w:numId w:val="0"/>
        </w:numPr>
        <w:kinsoku/>
        <w:wordWrap/>
        <w:overflowPunct/>
        <w:topLinePunct w:val="0"/>
        <w:autoSpaceDE/>
        <w:autoSpaceDN/>
        <w:bidi w:val="0"/>
        <w:adjustRightInd/>
        <w:spacing w:before="0" w:after="260" w:afterLines="50" w:line="360" w:lineRule="auto"/>
        <w:ind w:leftChars="0"/>
        <w:jc w:val="both"/>
        <w:textAlignment w:val="auto"/>
        <w:outlineLvl w:val="1"/>
        <w:rPr>
          <w:rFonts w:hint="eastAsia" w:cs="Times New Roman"/>
          <w:b w:val="0"/>
          <w:bCs w:val="0"/>
          <w:color w:val="000000"/>
          <w:kern w:val="36"/>
          <w:sz w:val="24"/>
          <w:szCs w:val="24"/>
          <w:u w:color="FFFFFF"/>
          <w:lang w:val="en-US" w:eastAsia="zh-CN" w:bidi="ar-SA"/>
        </w:rPr>
      </w:pPr>
      <w:r>
        <w:rPr>
          <w:rFonts w:hint="eastAsia" w:cs="Times New Roman"/>
          <w:b/>
          <w:bCs/>
          <w:color w:val="000000"/>
          <w:kern w:val="36"/>
          <w:sz w:val="24"/>
          <w:szCs w:val="24"/>
          <w:u w:color="FFFFFF"/>
          <w:lang w:val="en-US" w:eastAsia="zh-CN" w:bidi="ar-SA"/>
        </w:rPr>
        <w:t>10.Satefy Measures and Quality Control</w:t>
      </w:r>
      <w:r>
        <w:rPr>
          <w:rFonts w:hint="eastAsia" w:cs="Times New Roman"/>
          <w:b w:val="0"/>
          <w:bCs w:val="0"/>
          <w:color w:val="000000"/>
          <w:kern w:val="36"/>
          <w:sz w:val="24"/>
          <w:szCs w:val="24"/>
          <w:u w:color="FFFFFF"/>
          <w:lang w:val="en-US" w:eastAsia="zh-CN" w:bidi="ar-SA"/>
        </w:rPr>
        <w:t>---------------------------------------------24-25</w:t>
      </w:r>
    </w:p>
    <w:p>
      <w:pPr>
        <w:keepNext w:val="0"/>
        <w:keepLines w:val="0"/>
        <w:pageBreakBefore w:val="0"/>
        <w:widowControl w:val="0"/>
        <w:numPr>
          <w:ilvl w:val="0"/>
          <w:numId w:val="0"/>
        </w:numPr>
        <w:kinsoku/>
        <w:wordWrap/>
        <w:overflowPunct/>
        <w:topLinePunct w:val="0"/>
        <w:autoSpaceDE/>
        <w:autoSpaceDN/>
        <w:bidi w:val="0"/>
        <w:adjustRightInd/>
        <w:spacing w:before="0" w:after="260" w:afterLines="50" w:line="360" w:lineRule="auto"/>
        <w:ind w:leftChars="0"/>
        <w:jc w:val="both"/>
        <w:textAlignment w:val="auto"/>
        <w:outlineLvl w:val="1"/>
        <w:rPr>
          <w:rFonts w:hint="eastAsia" w:cs="Times New Roman"/>
          <w:b w:val="0"/>
          <w:bCs w:val="0"/>
          <w:color w:val="000000"/>
          <w:kern w:val="36"/>
          <w:sz w:val="24"/>
          <w:szCs w:val="24"/>
          <w:u w:color="FFFFFF"/>
          <w:lang w:val="en-US" w:eastAsia="zh-CN" w:bidi="ar-SA"/>
        </w:rPr>
      </w:pPr>
      <w:r>
        <w:rPr>
          <w:rFonts w:hint="eastAsia" w:cs="Times New Roman"/>
          <w:b/>
          <w:bCs/>
          <w:color w:val="000000"/>
          <w:kern w:val="36"/>
          <w:sz w:val="24"/>
          <w:szCs w:val="24"/>
          <w:u w:color="FFFFFF"/>
          <w:lang w:val="en-US" w:eastAsia="zh-CN" w:bidi="ar-SA"/>
        </w:rPr>
        <w:t>11.Statistical Analysis</w:t>
      </w:r>
      <w:r>
        <w:rPr>
          <w:rFonts w:hint="eastAsia" w:cs="Times New Roman"/>
          <w:b w:val="0"/>
          <w:bCs w:val="0"/>
          <w:color w:val="000000"/>
          <w:kern w:val="36"/>
          <w:sz w:val="24"/>
          <w:szCs w:val="24"/>
          <w:u w:color="FFFFFF"/>
          <w:lang w:val="en-US" w:eastAsia="zh-CN" w:bidi="ar-SA"/>
        </w:rPr>
        <w:t>--------------------------------------------------------------------25-27</w:t>
      </w:r>
    </w:p>
    <w:p>
      <w:pPr>
        <w:keepNext w:val="0"/>
        <w:keepLines w:val="0"/>
        <w:pageBreakBefore w:val="0"/>
        <w:widowControl w:val="0"/>
        <w:numPr>
          <w:ilvl w:val="0"/>
          <w:numId w:val="0"/>
        </w:numPr>
        <w:kinsoku/>
        <w:wordWrap/>
        <w:overflowPunct/>
        <w:topLinePunct w:val="0"/>
        <w:autoSpaceDE/>
        <w:autoSpaceDN/>
        <w:bidi w:val="0"/>
        <w:adjustRightInd/>
        <w:spacing w:before="0" w:after="260" w:afterLines="50" w:line="360" w:lineRule="auto"/>
        <w:ind w:leftChars="0"/>
        <w:jc w:val="both"/>
        <w:textAlignment w:val="auto"/>
        <w:outlineLvl w:val="1"/>
        <w:rPr>
          <w:rFonts w:hint="default" w:cs="Times New Roman"/>
          <w:b w:val="0"/>
          <w:bCs w:val="0"/>
          <w:color w:val="000000"/>
          <w:kern w:val="36"/>
          <w:sz w:val="24"/>
          <w:szCs w:val="24"/>
          <w:u w:color="FFFFFF"/>
          <w:lang w:val="en-US" w:eastAsia="zh-CN" w:bidi="ar-SA"/>
        </w:rPr>
      </w:pPr>
      <w:r>
        <w:rPr>
          <w:rFonts w:hint="eastAsia" w:cs="Times New Roman"/>
          <w:b/>
          <w:bCs/>
          <w:color w:val="000000"/>
          <w:kern w:val="36"/>
          <w:sz w:val="24"/>
          <w:szCs w:val="24"/>
          <w:u w:color="FFFFFF"/>
          <w:lang w:val="en-US" w:eastAsia="zh-CN" w:bidi="ar-SA"/>
        </w:rPr>
        <w:t>12.Ethical Considerations</w:t>
      </w:r>
      <w:r>
        <w:rPr>
          <w:rFonts w:hint="eastAsia" w:cs="Times New Roman"/>
          <w:b w:val="0"/>
          <w:bCs w:val="0"/>
          <w:color w:val="000000"/>
          <w:kern w:val="36"/>
          <w:sz w:val="24"/>
          <w:szCs w:val="24"/>
          <w:u w:color="FFFFFF"/>
          <w:lang w:val="en-US" w:eastAsia="zh-CN" w:bidi="ar-SA"/>
        </w:rPr>
        <w:t>-------------------------------------------------------------------27</w:t>
      </w:r>
    </w:p>
    <w:p>
      <w:pPr>
        <w:snapToGrid w:val="0"/>
        <w:spacing w:before="100" w:beforeAutospacing="1" w:after="100" w:afterAutospacing="1" w:line="360" w:lineRule="auto"/>
        <w:rPr>
          <w:rFonts w:hint="default" w:ascii="Times New Roman" w:hAnsi="Times New Roman" w:eastAsia="宋体" w:cs="Times New Roman"/>
          <w:b/>
          <w:bCs/>
          <w:color w:val="000000"/>
          <w:sz w:val="24"/>
          <w:szCs w:val="24"/>
          <w:lang w:val="en-US" w:eastAsia="zh-CN"/>
        </w:rPr>
      </w:pPr>
      <w:r>
        <w:rPr>
          <w:rFonts w:hint="default" w:ascii="Times New Roman" w:hAnsi="Times New Roman" w:eastAsia="宋体" w:cs="Times New Roman"/>
          <w:b/>
          <w:bCs/>
          <w:color w:val="000000"/>
          <w:sz w:val="24"/>
          <w:szCs w:val="24"/>
        </w:rPr>
        <w:t>Attachment 1: The Recommended Clinical Staging (8th edition, 2016) by the International Union Against Cancer (UICC/AJCC)</w:t>
      </w:r>
      <w:r>
        <w:rPr>
          <w:rFonts w:hint="eastAsia" w:cs="Times New Roman"/>
          <w:b/>
          <w:bCs/>
          <w:color w:val="000000"/>
          <w:sz w:val="24"/>
          <w:szCs w:val="24"/>
          <w:lang w:val="en-US" w:eastAsia="zh-CN"/>
        </w:rPr>
        <w:t>-------------------------------</w:t>
      </w:r>
      <w:r>
        <w:rPr>
          <w:rFonts w:hint="eastAsia" w:cs="Times New Roman"/>
          <w:b w:val="0"/>
          <w:bCs w:val="0"/>
          <w:color w:val="000000"/>
          <w:sz w:val="24"/>
          <w:szCs w:val="24"/>
          <w:lang w:val="en-US" w:eastAsia="zh-CN"/>
        </w:rPr>
        <w:t>28</w:t>
      </w:r>
      <w:r>
        <w:rPr>
          <w:rFonts w:hint="eastAsia" w:cs="Times New Roman"/>
          <w:b w:val="0"/>
          <w:bCs w:val="0"/>
          <w:color w:val="000000"/>
          <w:sz w:val="24"/>
          <w:szCs w:val="24"/>
          <w:lang w:val="en-US" w:eastAsia="zh-CN"/>
        </w:rPr>
        <w:t>-29</w:t>
      </w:r>
    </w:p>
    <w:p>
      <w:pPr>
        <w:snapToGrid w:val="0"/>
        <w:spacing w:before="100" w:beforeAutospacing="1" w:after="100" w:afterAutospacing="1" w:line="360" w:lineRule="auto"/>
        <w:rPr>
          <w:rFonts w:hint="default" w:ascii="Times New Roman" w:hAnsi="Times New Roman" w:eastAsia="宋体" w:cs="Times New Roman"/>
          <w:b w:val="0"/>
          <w:bCs w:val="0"/>
          <w:snapToGrid/>
          <w:color w:val="000000"/>
          <w:kern w:val="0"/>
          <w:sz w:val="24"/>
          <w:szCs w:val="24"/>
          <w:u w:val="none" w:color="FFFFFF"/>
          <w:lang w:val="en-US" w:eastAsia="zh-CN" w:bidi="ar-SA"/>
        </w:rPr>
      </w:pPr>
      <w:r>
        <w:rPr>
          <w:rFonts w:hint="default" w:ascii="Times New Roman" w:hAnsi="Times New Roman" w:eastAsia="宋体" w:cs="Times New Roman"/>
          <w:b/>
          <w:bCs/>
          <w:color w:val="000000"/>
          <w:kern w:val="36"/>
          <w:sz w:val="24"/>
          <w:szCs w:val="24"/>
          <w:u w:val="none" w:color="FFFFFF"/>
          <w:lang w:val="en-US" w:eastAsia="zh-CN" w:bidi="ar-SA"/>
        </w:rPr>
        <w:t xml:space="preserve">Attachment </w:t>
      </w:r>
      <w:r>
        <w:rPr>
          <w:rFonts w:hint="default" w:ascii="Times New Roman" w:hAnsi="Times New Roman" w:eastAsia="宋体" w:cs="Times New Roman"/>
          <w:b/>
          <w:bCs/>
          <w:snapToGrid/>
          <w:color w:val="000000"/>
          <w:kern w:val="0"/>
          <w:sz w:val="24"/>
          <w:szCs w:val="24"/>
          <w:u w:val="none" w:color="FFFFFF"/>
          <w:lang w:val="en-US" w:eastAsia="zh-CN" w:bidi="ar-SA"/>
        </w:rPr>
        <w:t>2</w:t>
      </w:r>
      <w:r>
        <w:rPr>
          <w:rFonts w:hint="eastAsia" w:ascii="Times New Roman" w:hAnsi="Times New Roman" w:eastAsia="宋体" w:cs="Times New Roman"/>
          <w:b/>
          <w:bCs/>
          <w:snapToGrid/>
          <w:color w:val="000000"/>
          <w:kern w:val="0"/>
          <w:sz w:val="24"/>
          <w:szCs w:val="24"/>
          <w:u w:val="none" w:color="FFFFFF"/>
          <w:lang w:val="en-US" w:eastAsia="zh-CN" w:bidi="ar-SA"/>
        </w:rPr>
        <w:t>：</w:t>
      </w:r>
      <w:r>
        <w:rPr>
          <w:rFonts w:hint="default" w:ascii="Times New Roman" w:hAnsi="Times New Roman" w:eastAsia="宋体" w:cs="Times New Roman"/>
          <w:b/>
          <w:bCs/>
          <w:snapToGrid/>
          <w:color w:val="000000"/>
          <w:kern w:val="0"/>
          <w:sz w:val="24"/>
          <w:szCs w:val="24"/>
          <w:u w:val="none" w:color="FFFFFF"/>
          <w:lang w:val="en-US" w:eastAsia="zh-CN" w:bidi="ar-SA"/>
        </w:rPr>
        <w:t xml:space="preserve"> K arnofsky, scoring standard for physical strength condition</w:t>
      </w:r>
      <w:r>
        <w:rPr>
          <w:rFonts w:hint="eastAsia" w:cs="Times New Roman"/>
          <w:b/>
          <w:bCs/>
          <w:snapToGrid/>
          <w:color w:val="000000"/>
          <w:kern w:val="0"/>
          <w:sz w:val="24"/>
          <w:szCs w:val="24"/>
          <w:u w:val="none" w:color="FFFFFF"/>
          <w:lang w:val="en-US" w:eastAsia="zh-CN" w:bidi="ar-SA"/>
        </w:rPr>
        <w:t>-</w:t>
      </w:r>
      <w:r>
        <w:rPr>
          <w:rFonts w:hint="eastAsia" w:cs="Times New Roman"/>
          <w:b w:val="0"/>
          <w:bCs w:val="0"/>
          <w:snapToGrid/>
          <w:color w:val="000000"/>
          <w:kern w:val="0"/>
          <w:sz w:val="24"/>
          <w:szCs w:val="24"/>
          <w:u w:val="none" w:color="FFFFFF"/>
          <w:lang w:val="en-US" w:eastAsia="zh-CN" w:bidi="ar-SA"/>
        </w:rPr>
        <w:t>30</w:t>
      </w:r>
    </w:p>
    <w:p>
      <w:pPr>
        <w:widowControl/>
        <w:numPr>
          <w:ilvl w:val="0"/>
          <w:numId w:val="0"/>
        </w:numPr>
        <w:spacing w:before="240" w:after="120" w:line="360" w:lineRule="auto"/>
        <w:jc w:val="left"/>
        <w:outlineLvl w:val="0"/>
        <w:rPr>
          <w:rFonts w:hint="default" w:cs="Times New Roman"/>
          <w:b w:val="0"/>
          <w:bCs w:val="0"/>
          <w:color w:val="000000"/>
          <w:kern w:val="36"/>
          <w:sz w:val="24"/>
          <w:szCs w:val="24"/>
          <w:u w:val="none" w:color="FFFFFF"/>
          <w:lang w:val="en-US" w:eastAsia="zh-CN" w:bidi="ar-SA"/>
        </w:rPr>
      </w:pPr>
      <w:r>
        <w:rPr>
          <w:rFonts w:hint="default" w:ascii="Times New Roman" w:hAnsi="Times New Roman" w:eastAsia="宋体" w:cs="Times New Roman"/>
          <w:b/>
          <w:bCs/>
          <w:color w:val="000000"/>
          <w:kern w:val="36"/>
          <w:sz w:val="24"/>
          <w:szCs w:val="24"/>
          <w:u w:val="none" w:color="FFFFFF"/>
          <w:lang w:val="en-US" w:eastAsia="zh-CN" w:bidi="ar-SA"/>
        </w:rPr>
        <w:t>Attachment 3: Target area setting criteria and delineation principles</w:t>
      </w:r>
      <w:r>
        <w:rPr>
          <w:rFonts w:hint="eastAsia" w:cs="Times New Roman"/>
          <w:b/>
          <w:bCs/>
          <w:color w:val="000000"/>
          <w:kern w:val="36"/>
          <w:sz w:val="24"/>
          <w:szCs w:val="24"/>
          <w:u w:val="none" w:color="FFFFFF"/>
          <w:lang w:val="en-US" w:eastAsia="zh-CN" w:bidi="ar-SA"/>
        </w:rPr>
        <w:t>--------</w:t>
      </w:r>
      <w:r>
        <w:rPr>
          <w:rFonts w:hint="eastAsia" w:cs="Times New Roman"/>
          <w:b w:val="0"/>
          <w:bCs w:val="0"/>
          <w:color w:val="000000"/>
          <w:kern w:val="36"/>
          <w:sz w:val="24"/>
          <w:szCs w:val="24"/>
          <w:u w:val="none" w:color="FFFFFF"/>
          <w:lang w:val="en-US" w:eastAsia="zh-CN" w:bidi="ar-SA"/>
        </w:rPr>
        <w:t>-30</w:t>
      </w:r>
      <w:r>
        <w:rPr>
          <w:rFonts w:hint="eastAsia" w:cs="Times New Roman"/>
          <w:b w:val="0"/>
          <w:bCs w:val="0"/>
          <w:color w:val="000000"/>
          <w:kern w:val="36"/>
          <w:sz w:val="24"/>
          <w:szCs w:val="24"/>
          <w:u w:val="none" w:color="FFFFFF"/>
          <w:lang w:val="en-US" w:eastAsia="zh-CN" w:bidi="ar-SA"/>
        </w:rPr>
        <w:t>-32</w:t>
      </w:r>
    </w:p>
    <w:p>
      <w:pPr>
        <w:widowControl/>
        <w:numPr>
          <w:ilvl w:val="0"/>
          <w:numId w:val="0"/>
        </w:numPr>
        <w:spacing w:before="240" w:after="120" w:line="360" w:lineRule="auto"/>
        <w:jc w:val="left"/>
        <w:outlineLvl w:val="0"/>
        <w:rPr>
          <w:rFonts w:hint="default" w:cs="Times New Roman"/>
          <w:b w:val="0"/>
          <w:bCs w:val="0"/>
          <w:color w:val="000000"/>
          <w:kern w:val="36"/>
          <w:sz w:val="24"/>
          <w:szCs w:val="24"/>
          <w:u w:val="none" w:color="FFFFFF"/>
          <w:lang w:val="en-US" w:eastAsia="zh-CN" w:bidi="ar-SA"/>
        </w:rPr>
      </w:pPr>
      <w:r>
        <w:rPr>
          <w:rFonts w:hint="default" w:ascii="Times New Roman" w:hAnsi="Times New Roman" w:eastAsia="宋体" w:cs="Times New Roman"/>
          <w:b/>
          <w:bCs/>
          <w:color w:val="000000"/>
          <w:kern w:val="36"/>
          <w:sz w:val="24"/>
          <w:szCs w:val="24"/>
          <w:u w:val="none" w:color="FFFFFF"/>
          <w:lang w:val="en-US" w:eastAsia="zh-CN" w:bidi="ar-SA"/>
        </w:rPr>
        <w:t>Attachment 4: Response Assessment Criteria for Solid tumors (Response Evaluation Criteria In Solid Tumors, RECIST criteria)</w:t>
      </w:r>
      <w:r>
        <w:rPr>
          <w:rFonts w:hint="eastAsia" w:cs="Times New Roman"/>
          <w:b/>
          <w:bCs/>
          <w:color w:val="000000"/>
          <w:kern w:val="36"/>
          <w:sz w:val="24"/>
          <w:szCs w:val="24"/>
          <w:u w:val="none" w:color="FFFFFF"/>
          <w:lang w:val="en-US" w:eastAsia="zh-CN" w:bidi="ar-SA"/>
        </w:rPr>
        <w:t>--------------------------</w:t>
      </w:r>
      <w:r>
        <w:rPr>
          <w:rFonts w:hint="eastAsia" w:cs="Times New Roman"/>
          <w:b w:val="0"/>
          <w:bCs w:val="0"/>
          <w:color w:val="000000"/>
          <w:kern w:val="36"/>
          <w:sz w:val="24"/>
          <w:szCs w:val="24"/>
          <w:u w:val="none" w:color="FFFFFF"/>
          <w:lang w:val="en-US" w:eastAsia="zh-CN" w:bidi="ar-SA"/>
        </w:rPr>
        <w:t>32</w:t>
      </w:r>
      <w:r>
        <w:rPr>
          <w:rFonts w:hint="eastAsia" w:cs="Times New Roman"/>
          <w:b w:val="0"/>
          <w:bCs w:val="0"/>
          <w:color w:val="000000"/>
          <w:kern w:val="36"/>
          <w:sz w:val="24"/>
          <w:szCs w:val="24"/>
          <w:u w:val="none" w:color="FFFFFF"/>
          <w:lang w:val="en-US" w:eastAsia="zh-CN" w:bidi="ar-SA"/>
        </w:rPr>
        <w:t>-35</w:t>
      </w:r>
    </w:p>
    <w:p>
      <w:pPr>
        <w:spacing w:line="360" w:lineRule="auto"/>
        <w:ind w:left="0" w:leftChars="0" w:firstLine="0" w:firstLineChars="0"/>
        <w:jc w:val="left"/>
        <w:rPr>
          <w:rFonts w:hint="default" w:ascii="Times New Roman" w:hAnsi="Times New Roman" w:cs="Times New Roman"/>
          <w:b/>
          <w:bCs/>
          <w:sz w:val="24"/>
          <w:szCs w:val="24"/>
          <w:u w:val="none" w:color="FFFFFF"/>
          <w:lang w:val="en-US" w:eastAsia="zh-CN"/>
        </w:rPr>
      </w:pPr>
      <w:r>
        <w:rPr>
          <w:rFonts w:hint="default" w:ascii="Times New Roman" w:hAnsi="Times New Roman" w:cs="Times New Roman"/>
          <w:b/>
          <w:bCs/>
          <w:sz w:val="24"/>
          <w:szCs w:val="24"/>
          <w:u w:val="none" w:color="FFFFFF"/>
        </w:rPr>
        <w:t xml:space="preserve">Attachment </w:t>
      </w:r>
      <w:r>
        <w:rPr>
          <w:rFonts w:hint="eastAsia" w:cs="Times New Roman"/>
          <w:b/>
          <w:bCs/>
          <w:sz w:val="24"/>
          <w:szCs w:val="24"/>
          <w:u w:val="none" w:color="FFFFFF"/>
          <w:lang w:val="en-US" w:eastAsia="zh-CN"/>
        </w:rPr>
        <w:t>5</w:t>
      </w:r>
      <w:r>
        <w:rPr>
          <w:rFonts w:hint="default" w:ascii="Times New Roman" w:hAnsi="Times New Roman" w:cs="Times New Roman"/>
          <w:b/>
          <w:bCs/>
          <w:sz w:val="24"/>
          <w:szCs w:val="24"/>
          <w:u w:val="none" w:color="FFFFFF"/>
        </w:rPr>
        <w:t xml:space="preserve">: </w:t>
      </w:r>
      <w:r>
        <w:rPr>
          <w:rFonts w:hint="eastAsia" w:ascii="Times New Roman" w:hAnsi="Times New Roman" w:cs="Times New Roman"/>
          <w:b/>
          <w:bCs/>
          <w:sz w:val="24"/>
          <w:szCs w:val="24"/>
          <w:u w:val="none" w:color="FFFFFF"/>
          <w:lang w:val="en-US" w:eastAsia="zh-CN"/>
        </w:rPr>
        <w:t>CTCAE4.0 toxicity in head and neck</w:t>
      </w:r>
      <w:r>
        <w:rPr>
          <w:rFonts w:hint="eastAsia" w:cs="Times New Roman"/>
          <w:b/>
          <w:bCs/>
          <w:sz w:val="24"/>
          <w:szCs w:val="24"/>
          <w:u w:val="none" w:color="FFFFFF"/>
          <w:lang w:val="en-US" w:eastAsia="zh-CN"/>
        </w:rPr>
        <w:t>-----------------------------</w:t>
      </w:r>
      <w:r>
        <w:rPr>
          <w:rFonts w:hint="eastAsia" w:cs="Times New Roman"/>
          <w:b w:val="0"/>
          <w:bCs w:val="0"/>
          <w:sz w:val="24"/>
          <w:szCs w:val="24"/>
          <w:u w:val="none" w:color="FFFFFF"/>
          <w:lang w:val="en-US" w:eastAsia="zh-CN"/>
        </w:rPr>
        <w:t>-35-37</w:t>
      </w:r>
    </w:p>
    <w:p>
      <w:pPr>
        <w:spacing w:line="360" w:lineRule="auto"/>
        <w:ind w:left="0" w:leftChars="0" w:firstLine="0" w:firstLineChars="0"/>
        <w:jc w:val="both"/>
        <w:rPr>
          <w:rFonts w:hint="default" w:ascii="Times New Roman" w:hAnsi="Times New Roman" w:eastAsia="宋体" w:cs="Times New Roman"/>
          <w:b/>
          <w:i w:val="0"/>
          <w:sz w:val="24"/>
          <w:szCs w:val="24"/>
          <w:u w:val="none"/>
          <w:lang w:val="en-US" w:eastAsia="zh-CN"/>
        </w:rPr>
      </w:pPr>
      <w:r>
        <w:rPr>
          <w:rFonts w:hint="default" w:ascii="Times New Roman" w:hAnsi="Times New Roman" w:eastAsia="宋体" w:cs="Times New Roman"/>
          <w:b/>
          <w:i w:val="0"/>
          <w:sz w:val="24"/>
          <w:szCs w:val="24"/>
          <w:u w:val="none"/>
          <w:lang w:eastAsia="zh-CN"/>
        </w:rPr>
        <w:t>References</w:t>
      </w:r>
      <w:r>
        <w:rPr>
          <w:rFonts w:hint="eastAsia" w:cs="Times New Roman"/>
          <w:b/>
          <w:i w:val="0"/>
          <w:sz w:val="24"/>
          <w:szCs w:val="24"/>
          <w:u w:val="none"/>
          <w:lang w:val="en-US" w:eastAsia="zh-CN"/>
        </w:rPr>
        <w:t>----------------------------------------------------------------------------------</w:t>
      </w:r>
      <w:r>
        <w:rPr>
          <w:rFonts w:hint="eastAsia" w:cs="Times New Roman"/>
          <w:b w:val="0"/>
          <w:bCs/>
          <w:i w:val="0"/>
          <w:sz w:val="24"/>
          <w:szCs w:val="24"/>
          <w:u w:val="none"/>
          <w:lang w:val="en-US" w:eastAsia="zh-CN"/>
        </w:rPr>
        <w:t>38-39</w:t>
      </w:r>
    </w:p>
    <w:p>
      <w:pPr>
        <w:rPr>
          <w:rFonts w:hint="default" w:ascii="Times New Roman" w:hAnsi="Times New Roman" w:cs="Times New Roman"/>
          <w:sz w:val="21"/>
          <w:szCs w:val="21"/>
          <w:u w:color="0000FF"/>
        </w:rPr>
      </w:pPr>
    </w:p>
    <w:p>
      <w:pPr>
        <w:keepNext w:val="0"/>
        <w:keepLines w:val="0"/>
        <w:widowControl/>
        <w:suppressLineNumbers w:val="0"/>
        <w:jc w:val="left"/>
        <w:rPr>
          <w:rFonts w:hint="eastAsia" w:cs="Times New Roman"/>
          <w:b/>
          <w:bCs/>
          <w:color w:val="231F20"/>
          <w:kern w:val="0"/>
          <w:sz w:val="24"/>
          <w:szCs w:val="24"/>
          <w:lang w:val="en-US" w:eastAsia="zh-CN" w:bidi="ar"/>
        </w:rPr>
      </w:pPr>
    </w:p>
    <w:p>
      <w:pPr>
        <w:keepNext w:val="0"/>
        <w:keepLines w:val="0"/>
        <w:widowControl/>
        <w:suppressLineNumbers w:val="0"/>
        <w:jc w:val="left"/>
        <w:rPr>
          <w:rFonts w:hint="eastAsia" w:cs="Times New Roman"/>
          <w:b/>
          <w:bCs/>
          <w:color w:val="231F20"/>
          <w:kern w:val="0"/>
          <w:sz w:val="24"/>
          <w:szCs w:val="24"/>
          <w:lang w:val="en-US" w:eastAsia="zh-CN" w:bidi="ar"/>
        </w:rPr>
      </w:pPr>
    </w:p>
    <w:p>
      <w:pPr>
        <w:keepNext w:val="0"/>
        <w:keepLines w:val="0"/>
        <w:widowControl/>
        <w:suppressLineNumbers w:val="0"/>
        <w:jc w:val="left"/>
        <w:rPr>
          <w:rFonts w:hint="eastAsia" w:cs="Times New Roman"/>
          <w:b/>
          <w:bCs/>
          <w:color w:val="231F20"/>
          <w:kern w:val="0"/>
          <w:sz w:val="24"/>
          <w:szCs w:val="24"/>
          <w:lang w:val="en-US" w:eastAsia="zh-CN" w:bidi="ar"/>
        </w:rPr>
      </w:pPr>
    </w:p>
    <w:p>
      <w:pPr>
        <w:keepNext w:val="0"/>
        <w:keepLines w:val="0"/>
        <w:widowControl/>
        <w:suppressLineNumbers w:val="0"/>
        <w:jc w:val="left"/>
        <w:rPr>
          <w:rFonts w:hint="eastAsia" w:cs="Times New Roman"/>
          <w:b/>
          <w:bCs/>
          <w:color w:val="231F20"/>
          <w:kern w:val="0"/>
          <w:sz w:val="24"/>
          <w:szCs w:val="24"/>
          <w:lang w:val="en-US" w:eastAsia="zh-CN" w:bidi="ar"/>
        </w:rPr>
      </w:pPr>
    </w:p>
    <w:p>
      <w:pPr>
        <w:keepNext w:val="0"/>
        <w:keepLines w:val="0"/>
        <w:widowControl/>
        <w:suppressLineNumbers w:val="0"/>
        <w:jc w:val="left"/>
        <w:rPr>
          <w:rFonts w:hint="eastAsia" w:cs="Times New Roman"/>
          <w:b/>
          <w:bCs/>
          <w:color w:val="231F20"/>
          <w:kern w:val="0"/>
          <w:sz w:val="24"/>
          <w:szCs w:val="24"/>
          <w:lang w:val="en-US" w:eastAsia="zh-CN" w:bidi="ar"/>
        </w:rPr>
      </w:pPr>
    </w:p>
    <w:p>
      <w:pPr>
        <w:keepNext w:val="0"/>
        <w:keepLines w:val="0"/>
        <w:widowControl/>
        <w:suppressLineNumbers w:val="0"/>
        <w:jc w:val="left"/>
        <w:rPr>
          <w:rFonts w:hint="eastAsia" w:cs="Times New Roman"/>
          <w:b/>
          <w:bCs/>
          <w:color w:val="231F20"/>
          <w:kern w:val="0"/>
          <w:sz w:val="24"/>
          <w:szCs w:val="24"/>
          <w:lang w:val="en-US" w:eastAsia="zh-CN" w:bidi="ar"/>
        </w:rPr>
      </w:pPr>
    </w:p>
    <w:p>
      <w:pPr>
        <w:keepNext w:val="0"/>
        <w:keepLines w:val="0"/>
        <w:widowControl/>
        <w:suppressLineNumbers w:val="0"/>
        <w:jc w:val="left"/>
        <w:rPr>
          <w:rFonts w:hint="eastAsia" w:cs="Times New Roman"/>
          <w:b/>
          <w:bCs/>
          <w:color w:val="231F20"/>
          <w:kern w:val="0"/>
          <w:sz w:val="24"/>
          <w:szCs w:val="24"/>
          <w:lang w:val="en-US" w:eastAsia="zh-CN" w:bidi="ar"/>
        </w:rPr>
      </w:pPr>
    </w:p>
    <w:p>
      <w:pPr>
        <w:keepNext w:val="0"/>
        <w:keepLines w:val="0"/>
        <w:widowControl/>
        <w:suppressLineNumbers w:val="0"/>
        <w:jc w:val="left"/>
        <w:rPr>
          <w:rFonts w:hint="default" w:ascii="Times New Roman" w:hAnsi="Times New Roman" w:cs="Times New Roman"/>
          <w:b/>
          <w:bCs/>
          <w:sz w:val="24"/>
          <w:szCs w:val="24"/>
        </w:rPr>
      </w:pPr>
      <w:bookmarkStart w:id="36" w:name="_GoBack"/>
      <w:bookmarkEnd w:id="36"/>
      <w:r>
        <w:rPr>
          <w:rFonts w:hint="eastAsia" w:cs="Times New Roman"/>
          <w:b/>
          <w:bCs/>
          <w:color w:val="231F20"/>
          <w:kern w:val="0"/>
          <w:sz w:val="24"/>
          <w:szCs w:val="24"/>
          <w:lang w:val="en-US" w:eastAsia="zh-CN" w:bidi="ar"/>
        </w:rPr>
        <w:t>1.</w:t>
      </w:r>
      <w:r>
        <w:rPr>
          <w:rFonts w:hint="default" w:ascii="Times New Roman" w:hAnsi="Times New Roman" w:eastAsia="宋体" w:cs="Times New Roman"/>
          <w:b/>
          <w:bCs/>
          <w:color w:val="231F20"/>
          <w:kern w:val="0"/>
          <w:sz w:val="24"/>
          <w:szCs w:val="24"/>
          <w:lang w:val="en-US" w:eastAsia="zh-CN" w:bidi="ar"/>
        </w:rPr>
        <w:t xml:space="preserve">Background </w:t>
      </w:r>
    </w:p>
    <w:p>
      <w:pPr>
        <w:pStyle w:val="2"/>
        <w:widowControl/>
        <w:spacing w:before="240" w:after="120" w:line="360" w:lineRule="auto"/>
        <w:jc w:val="both"/>
        <w:outlineLvl w:val="0"/>
        <w:rPr>
          <w:rFonts w:ascii="Times New Roman" w:hAnsi="Times New Roman" w:eastAsia="宋体" w:cs="Times New Roman"/>
          <w:color w:val="auto"/>
          <w:kern w:val="0"/>
          <w:sz w:val="24"/>
        </w:rPr>
      </w:pPr>
      <w:r>
        <w:rPr>
          <w:rFonts w:hint="default" w:ascii="Times New Roman" w:hAnsi="Times New Roman" w:cs="Times New Roman"/>
          <w:b w:val="0"/>
          <w:bCs w:val="0"/>
          <w:sz w:val="24"/>
          <w:szCs w:val="24"/>
          <w:u w:color="0000FF"/>
        </w:rPr>
        <w:t>Nasopharyngeal carcinoma (NPC) is a type of malignant tumor that primarily affects the nasopharyngeal cavity, which is located at the upper part of the throat behind the nose</w:t>
      </w:r>
      <w:r>
        <w:rPr>
          <w:rFonts w:hint="default" w:ascii="Times New Roman" w:hAnsi="Times New Roman" w:cs="Times New Roman"/>
          <w:b w:val="0"/>
          <w:bCs w:val="0"/>
          <w:i w:val="0"/>
          <w:sz w:val="24"/>
          <w:szCs w:val="24"/>
          <w:u w:val="none" w:color="0000FF"/>
        </w:rPr>
        <w:fldChar w:fldCharType="begin"/>
      </w:r>
      <w:r>
        <w:rPr>
          <w:rFonts w:hint="default" w:ascii="Times New Roman" w:hAnsi="Times New Roman" w:cs="Times New Roman"/>
          <w:b w:val="0"/>
          <w:bCs w:val="0"/>
          <w:i w:val="0"/>
          <w:sz w:val="24"/>
          <w:szCs w:val="24"/>
          <w:u w:val="none" w:color="0000FF"/>
        </w:rPr>
        <w:instrText xml:space="preserve"> ADDIN  ADDIN KYMRREF{93EBA3E8-6F3A-4856-9B16-47EAA13064B5}1077 </w:instrText>
      </w:r>
      <w:r>
        <w:rPr>
          <w:rFonts w:hint="default" w:ascii="Times New Roman" w:hAnsi="Times New Roman" w:cs="Times New Roman"/>
          <w:b w:val="0"/>
          <w:bCs w:val="0"/>
          <w:i w:val="0"/>
          <w:sz w:val="24"/>
          <w:szCs w:val="24"/>
          <w:u w:val="none" w:color="0000FF"/>
        </w:rPr>
        <w:fldChar w:fldCharType="separate"/>
      </w:r>
      <w:r>
        <w:rPr>
          <w:rFonts w:hint="eastAsia" w:ascii="Times New Roman" w:hAnsi="Times New Roman" w:eastAsia="宋体" w:cs="Times New Roman"/>
          <w:b w:val="0"/>
          <w:bCs w:val="0"/>
          <w:i w:val="0"/>
          <w:color w:val="FF0000"/>
          <w:sz w:val="24"/>
          <w:szCs w:val="24"/>
          <w:u w:val="none" w:color="0000FF"/>
          <w:vertAlign w:val="superscript"/>
          <w:lang w:eastAsia="zh-CN"/>
        </w:rPr>
        <w:t>[1]</w:t>
      </w:r>
      <w:r>
        <w:rPr>
          <w:rFonts w:hint="default" w:ascii="Times New Roman" w:hAnsi="Times New Roman" w:cs="Times New Roman"/>
          <w:b w:val="0"/>
          <w:bCs w:val="0"/>
          <w:i w:val="0"/>
          <w:sz w:val="24"/>
          <w:szCs w:val="24"/>
          <w:u w:val="none" w:color="0000FF"/>
        </w:rPr>
        <w:fldChar w:fldCharType="end"/>
      </w:r>
      <w:r>
        <w:rPr>
          <w:rFonts w:hint="default" w:ascii="Times New Roman" w:hAnsi="Times New Roman" w:cs="Times New Roman"/>
          <w:b w:val="0"/>
          <w:bCs w:val="0"/>
          <w:sz w:val="24"/>
          <w:szCs w:val="24"/>
          <w:u w:color="0000FF"/>
        </w:rPr>
        <w:t>. This particular form of cancer is more prevalent in southern China compared to other regions around the world. In fact, statistics indicate that approximately 80% of all nasopharyngeal carcinoma cases worldwide are concentrated within our country</w:t>
      </w:r>
      <w:r>
        <w:rPr>
          <w:rFonts w:hint="default" w:ascii="Times New Roman" w:hAnsi="Times New Roman" w:cs="Times New Roman"/>
          <w:b w:val="0"/>
          <w:bCs w:val="0"/>
          <w:i w:val="0"/>
          <w:sz w:val="24"/>
          <w:szCs w:val="24"/>
          <w:u w:val="none" w:color="0000FF"/>
        </w:rPr>
        <w:fldChar w:fldCharType="begin"/>
      </w:r>
      <w:r>
        <w:rPr>
          <w:rFonts w:hint="default" w:ascii="Times New Roman" w:hAnsi="Times New Roman" w:cs="Times New Roman"/>
          <w:b w:val="0"/>
          <w:bCs w:val="0"/>
          <w:i w:val="0"/>
          <w:sz w:val="24"/>
          <w:szCs w:val="24"/>
          <w:u w:val="none" w:color="0000FF"/>
        </w:rPr>
        <w:instrText xml:space="preserve"> ADDIN  ADDIN KYMRREF{93EBA3E8-6F3A-4856-9B16-47EAA13064B5}821 </w:instrText>
      </w:r>
      <w:r>
        <w:rPr>
          <w:rFonts w:hint="default" w:ascii="Times New Roman" w:hAnsi="Times New Roman" w:cs="Times New Roman"/>
          <w:b w:val="0"/>
          <w:bCs w:val="0"/>
          <w:i w:val="0"/>
          <w:sz w:val="24"/>
          <w:szCs w:val="24"/>
          <w:u w:val="none" w:color="0000FF"/>
        </w:rPr>
        <w:fldChar w:fldCharType="separate"/>
      </w:r>
      <w:r>
        <w:rPr>
          <w:rFonts w:hint="eastAsia" w:ascii="Times New Roman" w:hAnsi="Times New Roman" w:eastAsia="宋体" w:cs="Times New Roman"/>
          <w:b w:val="0"/>
          <w:bCs w:val="0"/>
          <w:i w:val="0"/>
          <w:color w:val="FF0000"/>
          <w:sz w:val="24"/>
          <w:szCs w:val="24"/>
          <w:u w:val="none" w:color="0000FF"/>
          <w:vertAlign w:val="superscript"/>
          <w:lang w:eastAsia="zh-CN"/>
        </w:rPr>
        <w:t>[2]</w:t>
      </w:r>
      <w:r>
        <w:rPr>
          <w:rFonts w:hint="default" w:ascii="Times New Roman" w:hAnsi="Times New Roman" w:cs="Times New Roman"/>
          <w:b w:val="0"/>
          <w:bCs w:val="0"/>
          <w:i w:val="0"/>
          <w:sz w:val="24"/>
          <w:szCs w:val="24"/>
          <w:u w:val="none" w:color="0000FF"/>
        </w:rPr>
        <w:fldChar w:fldCharType="end"/>
      </w:r>
      <w:r>
        <w:rPr>
          <w:rFonts w:hint="default" w:ascii="Times New Roman" w:hAnsi="Times New Roman" w:cs="Times New Roman"/>
          <w:b w:val="0"/>
          <w:bCs w:val="0"/>
          <w:sz w:val="24"/>
          <w:szCs w:val="24"/>
          <w:u w:color="0000FF"/>
        </w:rPr>
        <w:t>.The treatment for locally advanced nasopharyngeal carcinoma has evolved significantly over time, with concurrent chemoradiotherapy emerging as a crucial and effective comprehensive approach</w:t>
      </w:r>
      <w:r>
        <w:rPr>
          <w:rFonts w:hint="default" w:ascii="Times New Roman" w:hAnsi="Times New Roman" w:cs="Times New Roman"/>
          <w:b w:val="0"/>
          <w:bCs w:val="0"/>
          <w:i w:val="0"/>
          <w:sz w:val="24"/>
          <w:szCs w:val="24"/>
          <w:u w:val="none" w:color="0000FF"/>
        </w:rPr>
        <w:fldChar w:fldCharType="begin"/>
      </w:r>
      <w:r>
        <w:rPr>
          <w:rFonts w:hint="default" w:ascii="Times New Roman" w:hAnsi="Times New Roman" w:cs="Times New Roman"/>
          <w:b w:val="0"/>
          <w:bCs w:val="0"/>
          <w:i w:val="0"/>
          <w:sz w:val="24"/>
          <w:szCs w:val="24"/>
          <w:u w:val="none" w:color="0000FF"/>
        </w:rPr>
        <w:instrText xml:space="preserve"> ADDIN  ADDIN KYMRREF{93EBA3E8-6F3A-4856-9B16-47EAA13064B5}1072 </w:instrText>
      </w:r>
      <w:r>
        <w:rPr>
          <w:rFonts w:hint="default" w:ascii="Times New Roman" w:hAnsi="Times New Roman" w:cs="Times New Roman"/>
          <w:b w:val="0"/>
          <w:bCs w:val="0"/>
          <w:i w:val="0"/>
          <w:sz w:val="24"/>
          <w:szCs w:val="24"/>
          <w:u w:val="none" w:color="0000FF"/>
        </w:rPr>
        <w:fldChar w:fldCharType="separate"/>
      </w:r>
      <w:r>
        <w:rPr>
          <w:rFonts w:hint="eastAsia" w:ascii="Times New Roman" w:hAnsi="Times New Roman" w:eastAsia="宋体" w:cs="Times New Roman"/>
          <w:b w:val="0"/>
          <w:bCs w:val="0"/>
          <w:i w:val="0"/>
          <w:color w:val="FF0000"/>
          <w:sz w:val="24"/>
          <w:szCs w:val="24"/>
          <w:u w:val="none" w:color="0000FF"/>
          <w:vertAlign w:val="superscript"/>
          <w:lang w:eastAsia="zh-CN"/>
        </w:rPr>
        <w:t>[3]</w:t>
      </w:r>
      <w:r>
        <w:rPr>
          <w:rFonts w:hint="default" w:ascii="Times New Roman" w:hAnsi="Times New Roman" w:cs="Times New Roman"/>
          <w:b w:val="0"/>
          <w:bCs w:val="0"/>
          <w:i w:val="0"/>
          <w:sz w:val="24"/>
          <w:szCs w:val="24"/>
          <w:u w:val="none" w:color="0000FF"/>
        </w:rPr>
        <w:fldChar w:fldCharType="end"/>
      </w:r>
      <w:r>
        <w:rPr>
          <w:rFonts w:hint="default" w:ascii="Times New Roman" w:hAnsi="Times New Roman" w:cs="Times New Roman"/>
          <w:b w:val="0"/>
          <w:bCs w:val="0"/>
          <w:sz w:val="24"/>
          <w:szCs w:val="24"/>
          <w:u w:color="0000FF"/>
        </w:rPr>
        <w:t>. This combined treatment method involves administering chemotherapy drugs alongside radiation therapy to target and eradicate cancer cells in the affected area</w:t>
      </w:r>
      <w:r>
        <w:rPr>
          <w:rFonts w:hint="default" w:ascii="Times New Roman" w:hAnsi="Times New Roman" w:cs="Times New Roman"/>
          <w:b w:val="0"/>
          <w:bCs w:val="0"/>
          <w:i w:val="0"/>
          <w:sz w:val="24"/>
          <w:szCs w:val="24"/>
          <w:u w:val="none" w:color="0000FF"/>
        </w:rPr>
        <w:fldChar w:fldCharType="begin"/>
      </w:r>
      <w:r>
        <w:rPr>
          <w:rFonts w:hint="default" w:ascii="Times New Roman" w:hAnsi="Times New Roman" w:cs="Times New Roman"/>
          <w:b w:val="0"/>
          <w:bCs w:val="0"/>
          <w:i w:val="0"/>
          <w:sz w:val="24"/>
          <w:szCs w:val="24"/>
          <w:u w:val="none" w:color="0000FF"/>
        </w:rPr>
        <w:instrText xml:space="preserve"> ADDIN  ADDIN KYMRREF{93EBA3E8-6F3A-4856-9B16-47EAA13064B5}300,{93EBA3E8-6F3A-4856-9B16-47EAA13064B5}1055,{93EBA3E8-6F3A-4856-9B16-47EAA13064B5}1056,{93EBA3E8-6F3A-4856-9B16-47EAA13064B5}1059,{93EBA3E8-6F3A-4856-9B16-47EAA13064B5}1060,{93EBA3E8-6F3A-4856-9B16-47EAA13064B5}1061,{93EBA3E8-6F3A-4856-9B16-47EAA13064B5}1071,{93EBA3E8-6F3A-4856-9B16-47EAA13064B5}1072,{93EBA3E8-6F3A-4856-9B16-47EAA13064B5}1074,{93EBA3E8-6F3A-4856-9B16-47EAA13064B5}1075 </w:instrText>
      </w:r>
      <w:r>
        <w:rPr>
          <w:rFonts w:hint="default" w:ascii="Times New Roman" w:hAnsi="Times New Roman" w:cs="Times New Roman"/>
          <w:b w:val="0"/>
          <w:bCs w:val="0"/>
          <w:i w:val="0"/>
          <w:sz w:val="24"/>
          <w:szCs w:val="24"/>
          <w:u w:val="none" w:color="0000FF"/>
        </w:rPr>
        <w:fldChar w:fldCharType="separate"/>
      </w:r>
      <w:r>
        <w:rPr>
          <w:rFonts w:hint="eastAsia" w:ascii="Times New Roman" w:hAnsi="Times New Roman" w:eastAsia="宋体" w:cs="Times New Roman"/>
          <w:b w:val="0"/>
          <w:bCs w:val="0"/>
          <w:i w:val="0"/>
          <w:color w:val="FF0000"/>
          <w:sz w:val="24"/>
          <w:szCs w:val="24"/>
          <w:u w:val="none" w:color="0000FF"/>
          <w:vertAlign w:val="superscript"/>
          <w:lang w:eastAsia="zh-CN"/>
        </w:rPr>
        <w:t>[3-12]</w:t>
      </w:r>
      <w:r>
        <w:rPr>
          <w:rFonts w:hint="default" w:ascii="Times New Roman" w:hAnsi="Times New Roman" w:cs="Times New Roman"/>
          <w:b w:val="0"/>
          <w:bCs w:val="0"/>
          <w:i w:val="0"/>
          <w:sz w:val="24"/>
          <w:szCs w:val="24"/>
          <w:u w:val="none" w:color="0000FF"/>
        </w:rPr>
        <w:fldChar w:fldCharType="end"/>
      </w:r>
      <w:r>
        <w:rPr>
          <w:rFonts w:hint="default" w:ascii="Times New Roman" w:hAnsi="Times New Roman" w:cs="Times New Roman"/>
          <w:b w:val="0"/>
          <w:bCs w:val="0"/>
          <w:sz w:val="24"/>
          <w:szCs w:val="24"/>
          <w:u w:color="0000FF"/>
        </w:rPr>
        <w:t xml:space="preserve">. The integration of these two modalities has proven successful in improving patient outcomes and increasing survival rates.Despite advancements in medical technology and therapeutic approaches, managing locally advanced nasopharyngeal carcinoma remains challenging due to various factors. Therefore, the search for more effective treatment has been the focus of clinical research. TPF regimen and PF regimen are two commonly used chemotherapy regimens in the management of locally advanced nasopharyngeal carcinoma. However, it is important to investigate and compare their efficacy and adverse reactions to determine which one is more suitable for patients.In this clinical study, we aimed to evaluate the effectiveness and safety profiles of both TPF and PF regimens in treating locally advanced nasopharyngeal carcinoma. The eligibility criteria for participants included individuals diagnosed with locally advanced nasopharyngeal carcinoma who </w:t>
      </w:r>
      <w:r>
        <w:rPr>
          <w:rFonts w:ascii="Times New Roman" w:hAnsi="Times New Roman" w:eastAsia="宋体" w:cs="Times New Roman"/>
          <w:b w:val="0"/>
          <w:bCs w:val="0"/>
          <w:color w:val="000000"/>
          <w:kern w:val="0"/>
          <w:sz w:val="24"/>
        </w:rPr>
        <w:t xml:space="preserve">newly diagnosed with non-metastatic stage III–IVA NPC, diagnosed following the standards of the 8th Union for International Cancer Control and the American Joint Committee on Cancer. Study participants, aged </w:t>
      </w:r>
      <w:r>
        <w:rPr>
          <w:rFonts w:ascii="Times New Roman" w:hAnsi="Times New Roman" w:eastAsia="宋体" w:cs="Times New Roman"/>
          <w:b w:val="0"/>
          <w:bCs w:val="0"/>
          <w:color w:val="auto"/>
          <w:kern w:val="0"/>
          <w:sz w:val="24"/>
        </w:rPr>
        <w:t>18–</w:t>
      </w:r>
      <w:r>
        <w:rPr>
          <w:rFonts w:hint="eastAsia" w:ascii="Times New Roman" w:hAnsi="Times New Roman" w:eastAsia="宋体" w:cs="Times New Roman"/>
          <w:b w:val="0"/>
          <w:bCs w:val="0"/>
          <w:color w:val="auto"/>
          <w:kern w:val="0"/>
          <w:sz w:val="24"/>
        </w:rPr>
        <w:t>69</w:t>
      </w:r>
      <w:r>
        <w:rPr>
          <w:rFonts w:ascii="Times New Roman" w:hAnsi="Times New Roman" w:eastAsia="宋体" w:cs="Times New Roman"/>
          <w:b w:val="0"/>
          <w:bCs w:val="0"/>
          <w:color w:val="auto"/>
          <w:kern w:val="0"/>
          <w:sz w:val="24"/>
        </w:rPr>
        <w:t xml:space="preserve"> years, maintained a Karnofsky performance status of at least 70 and demonstrated optimal renal, hepatic, and bone marrow functionality. Criteria for exclusion included receiving palliative care, prior malignancies, and treatments like chemotherapy or radiotherapy, or surgical measures targeting the primary tumor or nodes. Additionally, </w:t>
      </w:r>
      <w:r>
        <w:rPr>
          <w:rFonts w:hint="eastAsia" w:ascii="Times New Roman" w:hAnsi="Times New Roman" w:eastAsia="宋体" w:cs="Times New Roman"/>
          <w:b w:val="0"/>
          <w:bCs w:val="0"/>
          <w:color w:val="auto"/>
          <w:kern w:val="0"/>
          <w:sz w:val="24"/>
        </w:rPr>
        <w:t>patients were excluded if they had not completed two cycles of induction chemotherapy, had received less than two cycles of concurrent chemotherapy, received IMRT at a dose of less than 90% of the total dose in the protocol, or had an interruption of radiotherapy for more than 10 consecutive days.</w:t>
      </w:r>
      <w:r>
        <w:rPr>
          <w:rFonts w:ascii="Times New Roman" w:hAnsi="Times New Roman" w:eastAsia="宋体" w:cs="Times New Roman"/>
          <w:color w:val="auto"/>
          <w:kern w:val="0"/>
          <w:sz w:val="24"/>
        </w:rPr>
        <w:t xml:space="preserve"> </w:t>
      </w:r>
    </w:p>
    <w:p>
      <w:pPr>
        <w:pStyle w:val="2"/>
        <w:widowControl/>
        <w:spacing w:before="240" w:after="120" w:line="360" w:lineRule="auto"/>
        <w:jc w:val="both"/>
        <w:outlineLvl w:val="0"/>
        <w:rPr>
          <w:rFonts w:hint="default" w:ascii="Times New Roman" w:hAnsi="Times New Roman" w:cs="Times New Roman"/>
          <w:sz w:val="24"/>
          <w:szCs w:val="24"/>
          <w:u w:color="0000FF"/>
        </w:rPr>
      </w:pPr>
      <w:r>
        <w:rPr>
          <w:rFonts w:hint="default" w:ascii="Times New Roman" w:hAnsi="Times New Roman" w:cs="Times New Roman"/>
          <w:sz w:val="24"/>
          <w:szCs w:val="24"/>
          <w:u w:color="0000FF"/>
          <w:lang w:val="en-US" w:eastAsia="zh-CN"/>
        </w:rPr>
        <w:t>2</w:t>
      </w:r>
      <w:r>
        <w:rPr>
          <w:rFonts w:hint="default" w:ascii="Times New Roman" w:hAnsi="Times New Roman" w:cs="Times New Roman"/>
          <w:sz w:val="24"/>
          <w:szCs w:val="24"/>
          <w:u w:color="0000FF"/>
        </w:rPr>
        <w:t xml:space="preserve">. </w:t>
      </w:r>
      <w:r>
        <w:rPr>
          <w:rFonts w:hint="default" w:ascii="Times New Roman" w:hAnsi="Times New Roman" w:cs="Times New Roman"/>
          <w:sz w:val="24"/>
          <w:szCs w:val="24"/>
          <w:u w:color="0000FF"/>
          <w:lang w:val="en-US" w:eastAsia="zh-CN"/>
        </w:rPr>
        <w:t>Protocol</w:t>
      </w:r>
      <w:r>
        <w:rPr>
          <w:rFonts w:hint="default" w:ascii="Times New Roman" w:hAnsi="Times New Roman" w:cs="Times New Roman"/>
          <w:sz w:val="24"/>
          <w:szCs w:val="24"/>
          <w:u w:color="0000FF"/>
        </w:rPr>
        <w:t xml:space="preserve"> summary</w:t>
      </w:r>
      <w:bookmarkEnd w:id="2"/>
      <w:bookmarkEnd w:id="3"/>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0"/>
        <w:gridCol w:w="7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auto"/>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Research subject</w:t>
            </w:r>
          </w:p>
        </w:tc>
        <w:tc>
          <w:tcPr>
            <w:tcW w:w="0" w:type="auto"/>
            <w:vAlign w:val="center"/>
          </w:tcPr>
          <w:p>
            <w:pPr>
              <w:snapToGrid w:val="0"/>
              <w:spacing w:line="360" w:lineRule="auto"/>
              <w:jc w:val="left"/>
              <w:rPr>
                <w:rFonts w:hint="default" w:ascii="Times New Roman" w:hAnsi="Times New Roman" w:cs="Times New Roman"/>
                <w:b/>
                <w:kern w:val="2"/>
                <w:sz w:val="24"/>
                <w:szCs w:val="24"/>
                <w:u w:color="FFFFFF"/>
                <w:lang w:val="en-US" w:eastAsia="zh-CN"/>
              </w:rPr>
            </w:pPr>
            <w:bookmarkStart w:id="4" w:name="OLE_LINK12"/>
            <w:r>
              <w:rPr>
                <w:rFonts w:hint="default" w:ascii="Times New Roman" w:hAnsi="Times New Roman" w:cs="Times New Roman"/>
                <w:b w:val="0"/>
                <w:bCs w:val="0"/>
                <w:sz w:val="24"/>
                <w:szCs w:val="24"/>
              </w:rPr>
              <w:t>TPF induction chemotherapy versus PF adjuvant chemotherapy plus</w:t>
            </w:r>
            <w:r>
              <w:rPr>
                <w:rFonts w:hint="default"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rPr>
              <w:t>concurrent chemoradiotherapy for locally advanced nasopharyngeal carcinoma: a multicenter, randomized controlled phase III trial</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auto"/>
              <w:jc w:val="center"/>
              <w:textAlignment w:val="auto"/>
              <w:outlineLvl w:val="9"/>
              <w:rPr>
                <w:rFonts w:hint="default" w:ascii="Times New Roman" w:hAnsi="Times New Roman" w:cs="Times New Roman"/>
                <w:kern w:val="2"/>
                <w:sz w:val="24"/>
                <w:szCs w:val="24"/>
                <w:lang w:val="en-US" w:eastAsia="zh-CN"/>
              </w:rPr>
            </w:pPr>
            <w:bookmarkStart w:id="5" w:name="OLE_LINK1"/>
            <w:bookmarkStart w:id="6" w:name="OLE_LINK15"/>
            <w:r>
              <w:rPr>
                <w:rFonts w:hint="default" w:ascii="Times New Roman" w:hAnsi="Times New Roman" w:cs="Times New Roman"/>
                <w:kern w:val="2"/>
                <w:sz w:val="24"/>
                <w:szCs w:val="24"/>
                <w:lang w:val="en-US" w:eastAsia="zh-CN"/>
              </w:rPr>
              <w:t>Research</w:t>
            </w:r>
            <w:bookmarkEnd w:id="5"/>
            <w:r>
              <w:rPr>
                <w:rFonts w:hint="default" w:ascii="Times New Roman" w:hAnsi="Times New Roman" w:cs="Times New Roman"/>
                <w:kern w:val="2"/>
                <w:sz w:val="24"/>
                <w:szCs w:val="24"/>
                <w:lang w:val="en-US" w:eastAsia="zh-CN"/>
              </w:rPr>
              <w:t xml:space="preserve"> center</w:t>
            </w:r>
            <w:bookmarkEnd w:id="6"/>
          </w:p>
        </w:tc>
        <w:tc>
          <w:tcPr>
            <w:tcW w:w="0" w:type="auto"/>
            <w:vAlign w:val="center"/>
          </w:tcPr>
          <w:p>
            <w:pPr>
              <w:keepNext w:val="0"/>
              <w:keepLines w:val="0"/>
              <w:pageBreakBefore w:val="0"/>
              <w:widowControl w:val="0"/>
              <w:kinsoku/>
              <w:wordWrap/>
              <w:overflowPunct/>
              <w:topLinePunct w:val="0"/>
              <w:autoSpaceDE/>
              <w:autoSpaceDN/>
              <w:bidi w:val="0"/>
              <w:adjustRightInd/>
              <w:snapToGrid/>
              <w:spacing w:afterLines="50" w:line="240" w:lineRule="auto"/>
              <w:ind w:left="105" w:leftChars="50"/>
              <w:textAlignment w:val="auto"/>
              <w:outlineLvl w:val="9"/>
              <w:rPr>
                <w:rFonts w:hint="eastAsia" w:cs="Times New Roman"/>
                <w:b w:val="0"/>
                <w:bCs w:val="0"/>
                <w:sz w:val="24"/>
                <w:szCs w:val="24"/>
                <w:lang w:val="en-US" w:eastAsia="zh-CN"/>
              </w:rPr>
            </w:pPr>
            <w:r>
              <w:rPr>
                <w:rFonts w:hint="eastAsia" w:ascii="Times New Roman" w:hAnsi="Times New Roman" w:cs="Times New Roman"/>
                <w:b w:val="0"/>
                <w:bCs w:val="0"/>
                <w:sz w:val="24"/>
                <w:szCs w:val="24"/>
                <w:lang w:val="en-US" w:eastAsia="zh-CN"/>
              </w:rPr>
              <w:t xml:space="preserve">The </w:t>
            </w:r>
            <w:r>
              <w:rPr>
                <w:rFonts w:hint="default" w:ascii="Times New Roman" w:hAnsi="Times New Roman" w:cs="Times New Roman"/>
                <w:b w:val="0"/>
                <w:bCs w:val="0"/>
                <w:sz w:val="24"/>
                <w:szCs w:val="24"/>
              </w:rPr>
              <w:t>Affiliated Hospital of Guizhou Medical University</w:t>
            </w:r>
          </w:p>
          <w:p>
            <w:pPr>
              <w:keepNext w:val="0"/>
              <w:keepLines w:val="0"/>
              <w:pageBreakBefore w:val="0"/>
              <w:widowControl w:val="0"/>
              <w:kinsoku/>
              <w:wordWrap/>
              <w:overflowPunct/>
              <w:topLinePunct w:val="0"/>
              <w:autoSpaceDE/>
              <w:autoSpaceDN/>
              <w:bidi w:val="0"/>
              <w:adjustRightInd/>
              <w:snapToGrid/>
              <w:spacing w:afterLines="50" w:line="240" w:lineRule="auto"/>
              <w:ind w:left="105" w:leftChars="50"/>
              <w:textAlignment w:val="auto"/>
              <w:outlineLvl w:val="9"/>
              <w:rPr>
                <w:rFonts w:hint="default" w:ascii="Times New Roman" w:hAnsi="Times New Roman" w:cs="Times New Roman"/>
                <w:b w:val="0"/>
                <w:bCs w:val="0"/>
                <w:sz w:val="24"/>
                <w:szCs w:val="24"/>
              </w:rPr>
            </w:pPr>
            <w:bookmarkStart w:id="7" w:name="OLE_LINK19"/>
            <w:r>
              <w:rPr>
                <w:rFonts w:hint="eastAsia" w:cs="Times New Roman"/>
                <w:b w:val="0"/>
                <w:bCs w:val="0"/>
                <w:sz w:val="24"/>
                <w:szCs w:val="24"/>
                <w:lang w:val="en-US" w:eastAsia="zh-CN"/>
              </w:rPr>
              <w:t xml:space="preserve">The </w:t>
            </w:r>
            <w:r>
              <w:rPr>
                <w:rFonts w:hint="default" w:ascii="Times New Roman" w:hAnsi="Times New Roman" w:cs="Times New Roman"/>
                <w:b w:val="0"/>
                <w:bCs w:val="0"/>
                <w:sz w:val="24"/>
                <w:szCs w:val="24"/>
              </w:rPr>
              <w:t>Affiliated Cancer Hospital of Guizhou Medical University</w:t>
            </w:r>
          </w:p>
          <w:bookmarkEnd w:id="7"/>
          <w:p>
            <w:pPr>
              <w:keepNext w:val="0"/>
              <w:keepLines w:val="0"/>
              <w:pageBreakBefore w:val="0"/>
              <w:widowControl w:val="0"/>
              <w:kinsoku/>
              <w:wordWrap/>
              <w:overflowPunct/>
              <w:topLinePunct w:val="0"/>
              <w:autoSpaceDE/>
              <w:autoSpaceDN/>
              <w:bidi w:val="0"/>
              <w:adjustRightInd/>
              <w:snapToGrid/>
              <w:spacing w:afterLines="50" w:line="240" w:lineRule="auto"/>
              <w:ind w:left="105" w:leftChars="50"/>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lang w:val="en-US" w:eastAsia="zh-CN"/>
              </w:rPr>
              <w:t>T</w:t>
            </w:r>
            <w:r>
              <w:rPr>
                <w:rFonts w:hint="default" w:ascii="Times New Roman" w:hAnsi="Times New Roman" w:cs="Times New Roman"/>
                <w:sz w:val="24"/>
                <w:szCs w:val="24"/>
              </w:rPr>
              <w:t>he Second Affiliated Hospital of Guizhou Medical University</w:t>
            </w:r>
          </w:p>
          <w:p>
            <w:pPr>
              <w:keepNext w:val="0"/>
              <w:keepLines w:val="0"/>
              <w:pageBreakBefore w:val="0"/>
              <w:widowControl w:val="0"/>
              <w:kinsoku/>
              <w:wordWrap/>
              <w:overflowPunct/>
              <w:topLinePunct w:val="0"/>
              <w:autoSpaceDE/>
              <w:autoSpaceDN/>
              <w:bidi w:val="0"/>
              <w:adjustRightInd/>
              <w:snapToGrid/>
              <w:spacing w:afterLines="50" w:line="240" w:lineRule="auto"/>
              <w:ind w:left="105" w:leftChars="50"/>
              <w:textAlignment w:val="auto"/>
              <w:outlineLvl w:val="9"/>
              <w:rPr>
                <w:rFonts w:hint="default" w:ascii="Times New Roman" w:hAnsi="Times New Roman" w:cs="Times New Roman"/>
                <w:sz w:val="24"/>
                <w:szCs w:val="24"/>
              </w:rPr>
            </w:pPr>
            <w:bookmarkStart w:id="8" w:name="OLE_LINK18"/>
            <w:r>
              <w:rPr>
                <w:rFonts w:hint="default" w:ascii="Times New Roman" w:hAnsi="Times New Roman" w:cs="Times New Roman"/>
                <w:sz w:val="24"/>
                <w:szCs w:val="24"/>
                <w:lang w:val="en-US" w:eastAsia="zh-CN"/>
              </w:rPr>
              <w:t>T</w:t>
            </w:r>
            <w:r>
              <w:rPr>
                <w:rFonts w:hint="default" w:ascii="Times New Roman" w:hAnsi="Times New Roman" w:cs="Times New Roman"/>
                <w:sz w:val="24"/>
                <w:szCs w:val="24"/>
              </w:rPr>
              <w:t>he Second Affiliated Hospital of Zunyi Medical University</w:t>
            </w:r>
          </w:p>
          <w:bookmarkEnd w:id="8"/>
          <w:p>
            <w:pPr>
              <w:keepNext w:val="0"/>
              <w:keepLines w:val="0"/>
              <w:pageBreakBefore w:val="0"/>
              <w:widowControl w:val="0"/>
              <w:kinsoku/>
              <w:wordWrap/>
              <w:overflowPunct/>
              <w:topLinePunct w:val="0"/>
              <w:autoSpaceDE/>
              <w:autoSpaceDN/>
              <w:bidi w:val="0"/>
              <w:adjustRightInd/>
              <w:snapToGrid/>
              <w:spacing w:afterLines="50" w:line="240" w:lineRule="auto"/>
              <w:ind w:left="105" w:leftChars="50"/>
              <w:textAlignment w:val="auto"/>
              <w:outlineLvl w:val="9"/>
              <w:rPr>
                <w:rFonts w:hint="default" w:ascii="Times New Roman" w:hAnsi="Times New Roman" w:cs="Times New Roman"/>
                <w:sz w:val="24"/>
                <w:szCs w:val="24"/>
                <w:lang w:val="en-US" w:eastAsia="zh-CN"/>
              </w:rPr>
            </w:pPr>
            <w:r>
              <w:rPr>
                <w:rFonts w:hint="default" w:ascii="Times New Roman" w:hAnsi="Times New Roman" w:cs="Times New Roman"/>
                <w:sz w:val="24"/>
                <w:szCs w:val="24"/>
              </w:rPr>
              <w:t>Guihang Guiyang Hospital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auto"/>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 xml:space="preserve"> Research</w:t>
            </w:r>
          </w:p>
          <w:p>
            <w:pPr>
              <w:pStyle w:val="6"/>
              <w:keepNext w:val="0"/>
              <w:keepLines w:val="0"/>
              <w:pageBreakBefore w:val="0"/>
              <w:widowControl w:val="0"/>
              <w:kinsoku/>
              <w:wordWrap/>
              <w:overflowPunct/>
              <w:topLinePunct w:val="0"/>
              <w:autoSpaceDE/>
              <w:autoSpaceDN/>
              <w:bidi w:val="0"/>
              <w:adjustRightInd/>
              <w:snapToGrid/>
              <w:spacing w:beforeLines="50" w:afterLines="50" w:line="240" w:lineRule="auto"/>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period</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Lines="50" w:afterLines="50" w:line="240" w:lineRule="auto"/>
              <w:ind w:left="105" w:leftChars="50"/>
              <w:textAlignment w:val="auto"/>
              <w:outlineLvl w:val="9"/>
              <w:rPr>
                <w:rFonts w:hint="default" w:ascii="Times New Roman" w:hAnsi="Times New Roman" w:cs="Times New Roman"/>
                <w:sz w:val="24"/>
                <w:szCs w:val="24"/>
                <w:u w:color="FFFFFF"/>
              </w:rPr>
            </w:pPr>
            <w:r>
              <w:rPr>
                <w:rFonts w:hint="eastAsia" w:cs="Times New Roman"/>
                <w:sz w:val="24"/>
                <w:szCs w:val="24"/>
                <w:u w:color="FFFFFF"/>
                <w:lang w:val="en-US" w:eastAsia="zh-CN"/>
              </w:rPr>
              <w:t>May</w:t>
            </w:r>
            <w:r>
              <w:rPr>
                <w:rFonts w:hint="default" w:ascii="Times New Roman" w:hAnsi="Times New Roman" w:cs="Times New Roman"/>
                <w:sz w:val="24"/>
                <w:szCs w:val="24"/>
                <w:u w:color="FFFFFF"/>
              </w:rPr>
              <w:t xml:space="preserve"> 2018- -Ju</w:t>
            </w:r>
            <w:r>
              <w:rPr>
                <w:rFonts w:hint="eastAsia" w:cs="Times New Roman"/>
                <w:sz w:val="24"/>
                <w:szCs w:val="24"/>
                <w:u w:color="FFFFFF"/>
                <w:lang w:val="en-US" w:eastAsia="zh-CN"/>
              </w:rPr>
              <w:t>ly</w:t>
            </w:r>
            <w:r>
              <w:rPr>
                <w:rFonts w:hint="default" w:ascii="Times New Roman" w:hAnsi="Times New Roman" w:cs="Times New Roman"/>
                <w:sz w:val="24"/>
                <w:szCs w:val="24"/>
                <w:u w:color="FFFFFF"/>
              </w:rPr>
              <w:t xml:space="preserve"> 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auto"/>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Research</w:t>
            </w:r>
          </w:p>
          <w:p>
            <w:pPr>
              <w:pStyle w:val="6"/>
              <w:keepNext w:val="0"/>
              <w:keepLines w:val="0"/>
              <w:pageBreakBefore w:val="0"/>
              <w:widowControl w:val="0"/>
              <w:kinsoku/>
              <w:wordWrap/>
              <w:overflowPunct/>
              <w:topLinePunct w:val="0"/>
              <w:autoSpaceDE/>
              <w:autoSpaceDN/>
              <w:bidi w:val="0"/>
              <w:adjustRightInd/>
              <w:snapToGrid/>
              <w:spacing w:beforeLines="50" w:afterLines="50" w:line="240" w:lineRule="auto"/>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purpose</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beforeLines="50" w:afterLines="50" w:line="240" w:lineRule="auto"/>
              <w:textAlignment w:val="auto"/>
              <w:outlineLvl w:val="9"/>
              <w:rPr>
                <w:rFonts w:hint="default" w:ascii="Times New Roman" w:hAnsi="Times New Roman" w:cs="Times New Roman"/>
                <w:bCs/>
                <w:kern w:val="2"/>
                <w:sz w:val="24"/>
                <w:szCs w:val="24"/>
                <w:u w:color="FFFFFF"/>
                <w:lang w:val="en-US" w:eastAsia="zh-CN"/>
              </w:rPr>
            </w:pPr>
            <w:r>
              <w:rPr>
                <w:rFonts w:hint="default" w:ascii="Times New Roman" w:hAnsi="Times New Roman" w:cs="Times New Roman"/>
                <w:b/>
                <w:sz w:val="24"/>
                <w:szCs w:val="24"/>
              </w:rPr>
              <w:t>1. Main purpose:</w:t>
            </w:r>
          </w:p>
          <w:p>
            <w:pPr>
              <w:pStyle w:val="6"/>
              <w:keepNext w:val="0"/>
              <w:keepLines w:val="0"/>
              <w:pageBreakBefore w:val="0"/>
              <w:widowControl w:val="0"/>
              <w:kinsoku/>
              <w:wordWrap/>
              <w:overflowPunct/>
              <w:topLinePunct w:val="0"/>
              <w:autoSpaceDE/>
              <w:autoSpaceDN/>
              <w:bidi w:val="0"/>
              <w:adjustRightInd/>
              <w:snapToGrid/>
              <w:spacing w:line="360" w:lineRule="auto"/>
              <w:ind w:left="539"/>
              <w:textAlignment w:val="auto"/>
              <w:outlineLvl w:val="9"/>
              <w:rPr>
                <w:rFonts w:hint="default" w:ascii="Times New Roman" w:hAnsi="Times New Roman" w:cs="Times New Roman"/>
                <w:bCs/>
                <w:kern w:val="2"/>
                <w:sz w:val="24"/>
                <w:szCs w:val="24"/>
                <w:u w:color="FFFFFF"/>
                <w:lang w:val="en-US" w:eastAsia="zh-CN"/>
              </w:rPr>
            </w:pPr>
            <w:r>
              <w:rPr>
                <w:rFonts w:hint="default" w:ascii="Times New Roman" w:hAnsi="Times New Roman" w:cs="Times New Roman"/>
                <w:bCs/>
                <w:kern w:val="2"/>
                <w:sz w:val="24"/>
                <w:szCs w:val="24"/>
                <w:u w:color="FFFFFF"/>
                <w:lang w:val="en-US" w:eastAsia="zh-CN"/>
              </w:rPr>
              <w:t>Improving the 3-year progression-free survival rate (PFS) in patients with locally advanced NPC (</w:t>
            </w:r>
            <w:r>
              <w:rPr>
                <w:rFonts w:hint="eastAsia" w:cs="Times New Roman"/>
                <w:bCs/>
                <w:kern w:val="2"/>
                <w:sz w:val="24"/>
                <w:szCs w:val="24"/>
                <w:u w:color="FFFFFF"/>
                <w:lang w:val="en-US" w:eastAsia="zh-CN"/>
              </w:rPr>
              <w:t>p</w:t>
            </w:r>
            <w:r>
              <w:rPr>
                <w:rFonts w:hint="default" w:ascii="Times New Roman" w:hAnsi="Times New Roman" w:cs="Times New Roman"/>
                <w:bCs/>
                <w:kern w:val="2"/>
                <w:sz w:val="24"/>
                <w:szCs w:val="24"/>
                <w:u w:color="FFFFFF"/>
                <w:lang w:val="en-US" w:eastAsia="zh-CN"/>
              </w:rPr>
              <w:t>rogression free survival, PFS).</w:t>
            </w:r>
          </w:p>
          <w:p>
            <w:pPr>
              <w:pStyle w:val="6"/>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cs="Times New Roman"/>
                <w:sz w:val="24"/>
                <w:szCs w:val="24"/>
              </w:rPr>
            </w:pPr>
            <w:r>
              <w:rPr>
                <w:rFonts w:hint="default" w:ascii="Times New Roman" w:hAnsi="Times New Roman" w:cs="Times New Roman"/>
                <w:b/>
                <w:sz w:val="24"/>
                <w:szCs w:val="24"/>
              </w:rPr>
              <w:t>2. Secondary objectives:</w:t>
            </w:r>
          </w:p>
          <w:p>
            <w:pPr>
              <w:keepNext w:val="0"/>
              <w:keepLines w:val="0"/>
              <w:pageBreakBefore w:val="0"/>
              <w:widowControl w:val="0"/>
              <w:kinsoku/>
              <w:wordWrap/>
              <w:overflowPunct/>
              <w:topLinePunct w:val="0"/>
              <w:autoSpaceDE/>
              <w:autoSpaceDN/>
              <w:bidi w:val="0"/>
              <w:adjustRightInd/>
              <w:snapToGrid/>
              <w:spacing w:beforeLines="50" w:afterLines="50" w:line="360" w:lineRule="auto"/>
              <w:ind w:left="539"/>
              <w:textAlignment w:val="auto"/>
              <w:outlineLvl w:val="9"/>
              <w:rPr>
                <w:rFonts w:hint="default" w:ascii="Times New Roman" w:hAnsi="Times New Roman" w:cs="Times New Roman"/>
                <w:bCs/>
                <w:sz w:val="24"/>
                <w:szCs w:val="24"/>
                <w:u w:color="FFFFFF"/>
              </w:rPr>
            </w:pPr>
            <w:r>
              <w:rPr>
                <w:rFonts w:hint="default" w:ascii="Times New Roman" w:hAnsi="Times New Roman" w:cs="Times New Roman"/>
                <w:bCs/>
                <w:sz w:val="24"/>
                <w:szCs w:val="24"/>
                <w:u w:color="FFFFFF"/>
              </w:rPr>
              <w:t>To compare the overall survival between the two</w:t>
            </w:r>
            <w:r>
              <w:rPr>
                <w:rFonts w:hint="default" w:ascii="Times New Roman" w:hAnsi="Times New Roman" w:cs="Times New Roman"/>
                <w:bCs/>
                <w:sz w:val="24"/>
                <w:szCs w:val="24"/>
                <w:u w:color="FFFFFF"/>
                <w:lang w:val="en-US" w:eastAsia="zh-CN"/>
              </w:rPr>
              <w:t xml:space="preserve"> </w:t>
            </w:r>
            <w:r>
              <w:rPr>
                <w:rFonts w:hint="default" w:ascii="Times New Roman" w:hAnsi="Times New Roman" w:cs="Times New Roman"/>
                <w:bCs/>
                <w:sz w:val="24"/>
                <w:szCs w:val="24"/>
                <w:u w:color="FFFFFF"/>
              </w:rPr>
              <w:t>groups (</w:t>
            </w:r>
            <w:r>
              <w:rPr>
                <w:rFonts w:hint="eastAsia" w:cs="Times New Roman"/>
                <w:bCs/>
                <w:sz w:val="24"/>
                <w:szCs w:val="24"/>
                <w:u w:color="FFFFFF"/>
                <w:lang w:val="en-US" w:eastAsia="zh-CN"/>
              </w:rPr>
              <w:t>o</w:t>
            </w:r>
            <w:r>
              <w:rPr>
                <w:rFonts w:hint="default" w:ascii="Times New Roman" w:hAnsi="Times New Roman" w:cs="Times New Roman"/>
                <w:bCs/>
                <w:sz w:val="24"/>
                <w:szCs w:val="24"/>
                <w:u w:color="FFFFFF"/>
              </w:rPr>
              <w:t xml:space="preserve">verall survival, OS), Locoregional relapse-free Surviva(LRFS), </w:t>
            </w:r>
            <w:r>
              <w:rPr>
                <w:rFonts w:hint="default" w:ascii="Times New Roman" w:hAnsi="Times New Roman" w:cs="Times New Roman"/>
                <w:bCs/>
                <w:sz w:val="24"/>
                <w:szCs w:val="24"/>
                <w:u w:color="FFFFFF"/>
                <w:lang w:val="en-US" w:eastAsia="zh-CN"/>
              </w:rPr>
              <w:t>D</w:t>
            </w:r>
            <w:r>
              <w:rPr>
                <w:rFonts w:hint="default" w:ascii="Times New Roman" w:hAnsi="Times New Roman" w:cs="Times New Roman"/>
                <w:bCs/>
                <w:sz w:val="24"/>
                <w:szCs w:val="24"/>
                <w:u w:color="FFFFFF"/>
              </w:rPr>
              <w:t>istant metastasis-free survival (</w:t>
            </w:r>
            <w:r>
              <w:rPr>
                <w:rFonts w:hint="default" w:ascii="Times New Roman" w:hAnsi="Times New Roman" w:cs="Times New Roman"/>
                <w:bCs/>
                <w:sz w:val="24"/>
                <w:szCs w:val="24"/>
                <w:u w:color="FFFFFF"/>
                <w:lang w:val="en-US" w:eastAsia="zh-CN"/>
              </w:rPr>
              <w:t>DMFS</w:t>
            </w:r>
            <w:r>
              <w:rPr>
                <w:rFonts w:hint="default" w:ascii="Times New Roman" w:hAnsi="Times New Roman" w:cs="Times New Roman"/>
                <w:bCs/>
                <w:sz w:val="24"/>
                <w:szCs w:val="24"/>
                <w:u w:color="FFFFFF"/>
              </w:rPr>
              <w:t xml:space="preserve">), </w:t>
            </w:r>
            <w:r>
              <w:rPr>
                <w:rFonts w:hint="default" w:ascii="Times New Roman" w:hAnsi="Times New Roman" w:eastAsia="宋体" w:cs="Times New Roman"/>
                <w:i w:val="0"/>
                <w:iCs w:val="0"/>
                <w:caps w:val="0"/>
                <w:color w:val="auto"/>
                <w:spacing w:val="0"/>
                <w:sz w:val="24"/>
                <w:szCs w:val="24"/>
                <w:shd w:val="clear" w:fill="FFFFFF"/>
              </w:rPr>
              <w:t>Objective</w:t>
            </w:r>
            <w:r>
              <w:rPr>
                <w:rFonts w:hint="default" w:ascii="Times New Roman" w:hAnsi="Times New Roman" w:cs="Times New Roman"/>
                <w:i w:val="0"/>
                <w:iCs w:val="0"/>
                <w:caps w:val="0"/>
                <w:color w:val="auto"/>
                <w:spacing w:val="0"/>
                <w:sz w:val="24"/>
                <w:szCs w:val="24"/>
                <w:shd w:val="clear" w:fill="FFFFFF"/>
                <w:lang w:val="en-US" w:eastAsia="zh-CN"/>
              </w:rPr>
              <w:t xml:space="preserve"> </w:t>
            </w:r>
            <w:r>
              <w:rPr>
                <w:rFonts w:hint="default" w:ascii="Times New Roman" w:hAnsi="Times New Roman" w:eastAsia="宋体" w:cs="Times New Roman"/>
                <w:i w:val="0"/>
                <w:iCs w:val="0"/>
                <w:caps w:val="0"/>
                <w:color w:val="auto"/>
                <w:spacing w:val="0"/>
                <w:sz w:val="24"/>
                <w:szCs w:val="24"/>
                <w:shd w:val="clear" w:fill="FFFFFF"/>
              </w:rPr>
              <w:t>response rate</w:t>
            </w:r>
            <w:r>
              <w:rPr>
                <w:rFonts w:hint="default" w:ascii="Times New Roman" w:hAnsi="Times New Roman" w:cs="Times New Roman"/>
                <w:i w:val="0"/>
                <w:iCs w:val="0"/>
                <w:caps w:val="0"/>
                <w:color w:val="auto"/>
                <w:spacing w:val="0"/>
                <w:sz w:val="24"/>
                <w:szCs w:val="24"/>
                <w:shd w:val="clear" w:fill="FFFFFF"/>
                <w:lang w:val="en-US" w:eastAsia="zh-CN"/>
              </w:rPr>
              <w:t>(ORR)</w:t>
            </w:r>
            <w:r>
              <w:rPr>
                <w:rFonts w:hint="default" w:ascii="Times New Roman" w:hAnsi="Times New Roman" w:cs="Times New Roman"/>
                <w:bCs/>
                <w:sz w:val="24"/>
                <w:szCs w:val="24"/>
                <w:u w:color="FFFFFF"/>
              </w:rPr>
              <w:t>, tolerance, acute toxicity (gastrointestinal tract, hematology, liver and kidney function toxicity, etc.), long-term toxicity (neurotoxicity and ototoxicity, etc.), quality of life,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exact"/>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Research design</w:t>
            </w:r>
          </w:p>
        </w:tc>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exact"/>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u w:color="FFFFFF"/>
                <w:lang w:val="en-US" w:eastAsia="zh-CN"/>
              </w:rPr>
              <w:t>Randomized-controlled, phase III clinical trial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1" w:hRule="atLeast"/>
        </w:trPr>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exact"/>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i w:val="0"/>
                <w:iCs w:val="0"/>
                <w:caps w:val="0"/>
                <w:color w:val="000033"/>
                <w:spacing w:val="0"/>
                <w:sz w:val="24"/>
                <w:szCs w:val="24"/>
                <w:shd w:val="clear" w:fill="FFFFFF"/>
                <w:lang w:val="en-US" w:eastAsia="zh-CN"/>
              </w:rPr>
              <w:t>E</w:t>
            </w:r>
            <w:r>
              <w:rPr>
                <w:rFonts w:hint="default" w:ascii="Times New Roman" w:hAnsi="Times New Roman" w:eastAsia="宋体" w:cs="Times New Roman"/>
                <w:i w:val="0"/>
                <w:iCs w:val="0"/>
                <w:caps w:val="0"/>
                <w:color w:val="000033"/>
                <w:spacing w:val="0"/>
                <w:sz w:val="24"/>
                <w:szCs w:val="24"/>
                <w:shd w:val="clear" w:fill="FFFFFF"/>
              </w:rPr>
              <w:t>ligibility criteria</w:t>
            </w:r>
          </w:p>
        </w:tc>
        <w:tc>
          <w:tcPr>
            <w:tcW w:w="0" w:type="auto"/>
            <w:vAlign w:val="center"/>
          </w:tcPr>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Initial diagnosed patients, who did not undergo radiotherapy or chemotherapy before the clinical trial</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Pathological diagnosis of nasopharyngeal non-keratotic carcinoma (differentiated or undifferentiated type, namely WHO type III or III)</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fldChar w:fldCharType="begin"/>
            </w:r>
            <w:r>
              <w:rPr>
                <w:rFonts w:hint="default" w:ascii="Times New Roman" w:hAnsi="Times New Roman" w:cs="Times New Roman"/>
                <w:sz w:val="24"/>
                <w:szCs w:val="24"/>
                <w:u w:color="FFFFFF"/>
              </w:rPr>
              <w:instrText xml:space="preserve">= 2 \* ROMAN</w:instrText>
            </w:r>
            <w:r>
              <w:rPr>
                <w:rFonts w:hint="default" w:ascii="Times New Roman" w:hAnsi="Times New Roman" w:cs="Times New Roman"/>
                <w:sz w:val="24"/>
                <w:szCs w:val="24"/>
                <w:u w:color="FFFFFF"/>
              </w:rPr>
              <w:fldChar w:fldCharType="separate"/>
            </w:r>
            <w:r>
              <w:rPr>
                <w:rFonts w:hint="default" w:ascii="Times New Roman" w:hAnsi="Times New Roman" w:cs="Times New Roman"/>
                <w:sz w:val="24"/>
                <w:szCs w:val="24"/>
                <w:u w:color="FFFFFF"/>
              </w:rPr>
              <w:fldChar w:fldCharType="end"/>
            </w:r>
            <w:r>
              <w:rPr>
                <w:rFonts w:hint="default" w:ascii="Times New Roman" w:hAnsi="Times New Roman" w:cs="Times New Roman"/>
                <w:sz w:val="24"/>
                <w:szCs w:val="24"/>
                <w:u w:color="FFFFFF"/>
              </w:rPr>
              <w:fldChar w:fldCharType="begin"/>
            </w:r>
            <w:r>
              <w:rPr>
                <w:rFonts w:hint="default" w:ascii="Times New Roman" w:hAnsi="Times New Roman" w:cs="Times New Roman"/>
                <w:sz w:val="24"/>
                <w:szCs w:val="24"/>
                <w:u w:color="FFFFFF"/>
              </w:rPr>
              <w:instrText xml:space="preserve">= 3 \* ROMAN</w:instrText>
            </w:r>
            <w:r>
              <w:rPr>
                <w:rFonts w:hint="default" w:ascii="Times New Roman" w:hAnsi="Times New Roman" w:cs="Times New Roman"/>
                <w:sz w:val="24"/>
                <w:szCs w:val="24"/>
                <w:u w:color="FFFFFF"/>
              </w:rPr>
              <w:fldChar w:fldCharType="separate"/>
            </w:r>
            <w:r>
              <w:rPr>
                <w:rFonts w:hint="default" w:ascii="Times New Roman" w:hAnsi="Times New Roman" w:cs="Times New Roman"/>
                <w:sz w:val="24"/>
                <w:szCs w:val="24"/>
                <w:u w:color="FFFFFF"/>
              </w:rPr>
              <w:fldChar w:fldCharType="end"/>
            </w:r>
          </w:p>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cs="Times New Roman"/>
                <w:sz w:val="24"/>
                <w:szCs w:val="24"/>
                <w:u w:color="FFFFFF"/>
              </w:rPr>
            </w:pPr>
            <w:r>
              <w:rPr>
                <w:rFonts w:hint="default" w:ascii="Times New Roman" w:hAnsi="Times New Roman" w:cs="Times New Roman"/>
                <w:b w:val="0"/>
                <w:bCs/>
                <w:sz w:val="24"/>
                <w:szCs w:val="24"/>
                <w:lang w:val="en-US" w:eastAsia="zh-CN"/>
              </w:rPr>
              <w:t>Stage III, IVa patients (AJCC Stage 8).</w:t>
            </w:r>
          </w:p>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cs="Times New Roman"/>
                <w:sz w:val="24"/>
                <w:szCs w:val="24"/>
                <w:u w:color="FFFFFF"/>
              </w:rPr>
              <w:t>Male women or non-pregnant women</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eastAsia="宋体" w:cs="Times New Roman"/>
                <w:sz w:val="24"/>
                <w:szCs w:val="24"/>
                <w:u w:color="FFFFFF"/>
                <w:lang w:eastAsia="zh-CN"/>
              </w:rPr>
            </w:pPr>
            <w:r>
              <w:rPr>
                <w:rFonts w:hint="default" w:ascii="Times New Roman" w:hAnsi="Times New Roman" w:cs="Times New Roman"/>
                <w:sz w:val="24"/>
                <w:szCs w:val="24"/>
                <w:u w:color="FFFFFF"/>
              </w:rPr>
              <w:t>Age: 18 and &lt;70 years</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cs="Times New Roman"/>
                <w:sz w:val="24"/>
                <w:szCs w:val="24"/>
                <w:u w:color="FFFFFF"/>
              </w:rPr>
            </w:pPr>
            <w:r>
              <w:rPr>
                <w:rFonts w:hint="default" w:ascii="Times New Roman" w:hAnsi="Times New Roman" w:eastAsia="宋体" w:cs="Times New Roman"/>
                <w:sz w:val="24"/>
                <w:szCs w:val="24"/>
              </w:rPr>
              <w:t>Functional status: Casco score (Karnofsky scale, KPS)</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rPr>
              <w:t xml:space="preserve"> 70</w:t>
            </w:r>
            <w:r>
              <w:rPr>
                <w:rFonts w:hint="default" w:ascii="Times New Roman" w:hAnsi="Times New Roman" w:cs="Times New Roman"/>
                <w:sz w:val="24"/>
                <w:szCs w:val="24"/>
                <w:lang w:val="en-US" w:eastAsia="zh-CN"/>
              </w:rPr>
              <w:t>.</w:t>
            </w:r>
          </w:p>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cs="Times New Roman"/>
                <w:sz w:val="24"/>
                <w:szCs w:val="24"/>
                <w:u w:color="FFFFFF"/>
              </w:rPr>
            </w:pPr>
            <w:bookmarkStart w:id="9" w:name="OLE_LINK11"/>
            <w:r>
              <w:rPr>
                <w:rFonts w:hint="default" w:ascii="Times New Roman" w:hAnsi="Times New Roman" w:cs="Times New Roman"/>
                <w:sz w:val="24"/>
                <w:szCs w:val="24"/>
                <w:u w:color="FFFFFF"/>
              </w:rPr>
              <w:t xml:space="preserve">White blood cells (WBC) </w:t>
            </w:r>
            <w:bookmarkStart w:id="10" w:name="OLE_LINK2"/>
            <w:r>
              <w:rPr>
                <w:rFonts w:hint="default" w:ascii="Times New Roman" w:hAnsi="Times New Roman" w:cs="Times New Roman"/>
                <w:sz w:val="24"/>
                <w:szCs w:val="24"/>
                <w:u w:color="FFFFFF"/>
                <w:lang w:val="en-US" w:eastAsia="zh-CN"/>
              </w:rPr>
              <w:t>≥</w:t>
            </w:r>
            <w:bookmarkEnd w:id="10"/>
            <w:r>
              <w:rPr>
                <w:rFonts w:hint="default" w:ascii="Times New Roman" w:hAnsi="Times New Roman" w:cs="Times New Roman"/>
                <w:sz w:val="24"/>
                <w:szCs w:val="24"/>
                <w:u w:color="FFFFFF"/>
              </w:rPr>
              <w:t>4</w:t>
            </w:r>
            <w:r>
              <w:rPr>
                <w:rFonts w:hint="default" w:ascii="Times New Roman" w:hAnsi="Times New Roman" w:cs="Times New Roman"/>
                <w:sz w:val="24"/>
                <w:szCs w:val="24"/>
                <w:u w:color="FFFFFF"/>
                <w:lang w:val="en-US" w:eastAsia="zh-CN"/>
              </w:rPr>
              <w:t>x</w:t>
            </w:r>
            <w:r>
              <w:rPr>
                <w:rFonts w:hint="default" w:ascii="Times New Roman" w:hAnsi="Times New Roman" w:cs="Times New Roman"/>
                <w:sz w:val="24"/>
                <w:szCs w:val="24"/>
                <w:u w:color="FFFFFF"/>
              </w:rPr>
              <w:t>10</w:t>
            </w:r>
            <w:r>
              <w:rPr>
                <w:rFonts w:hint="default" w:ascii="Times New Roman" w:hAnsi="Times New Roman" w:cs="Times New Roman"/>
                <w:sz w:val="24"/>
                <w:szCs w:val="24"/>
                <w:u w:color="FFFFFF"/>
                <w:vertAlign w:val="superscript"/>
              </w:rPr>
              <w:t>9</w:t>
            </w:r>
            <w:r>
              <w:rPr>
                <w:rFonts w:hint="default" w:ascii="Times New Roman" w:hAnsi="Times New Roman" w:cs="Times New Roman"/>
                <w:sz w:val="24"/>
                <w:szCs w:val="24"/>
                <w:u w:color="FFFFFF"/>
              </w:rPr>
              <w:t>/ L, Hemoglobin (HGB)</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90</w:t>
            </w:r>
            <w:r>
              <w:rPr>
                <w:rFonts w:hint="default" w:ascii="Times New Roman" w:hAnsi="Times New Roman" w:cs="Times New Roman"/>
                <w:sz w:val="24"/>
                <w:szCs w:val="24"/>
                <w:u w:color="FFFFFF"/>
                <w:lang w:val="en-US" w:eastAsia="zh-CN"/>
              </w:rPr>
              <w:t>g</w:t>
            </w:r>
            <w:r>
              <w:rPr>
                <w:rFonts w:hint="default" w:ascii="Times New Roman" w:hAnsi="Times New Roman" w:cs="Times New Roman"/>
                <w:sz w:val="24"/>
                <w:szCs w:val="24"/>
                <w:u w:color="FFFFFF"/>
              </w:rPr>
              <w:t>/</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 xml:space="preserve">L, Platelet (PLT) </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100</w:t>
            </w:r>
            <w:r>
              <w:rPr>
                <w:rFonts w:hint="default" w:ascii="Times New Roman" w:hAnsi="Times New Roman" w:cs="Times New Roman"/>
                <w:sz w:val="24"/>
                <w:szCs w:val="24"/>
                <w:u w:color="FFFFFF"/>
                <w:lang w:val="en-US" w:eastAsia="zh-CN"/>
              </w:rPr>
              <w:t>x</w:t>
            </w:r>
            <w:r>
              <w:rPr>
                <w:rFonts w:hint="default" w:ascii="Times New Roman" w:hAnsi="Times New Roman" w:cs="Times New Roman"/>
                <w:sz w:val="24"/>
                <w:szCs w:val="24"/>
                <w:u w:color="FFFFFF"/>
              </w:rPr>
              <w:t>10</w:t>
            </w:r>
            <w:r>
              <w:rPr>
                <w:rFonts w:hint="default" w:ascii="Times New Roman" w:hAnsi="Times New Roman" w:cs="Times New Roman"/>
                <w:sz w:val="24"/>
                <w:szCs w:val="24"/>
                <w:u w:color="FFFFFF"/>
                <w:vertAlign w:val="superscript"/>
              </w:rPr>
              <w:t>9</w:t>
            </w:r>
            <w:r>
              <w:rPr>
                <w:rFonts w:hint="default" w:ascii="Times New Roman" w:hAnsi="Times New Roman" w:cs="Times New Roman"/>
                <w:sz w:val="24"/>
                <w:szCs w:val="24"/>
                <w:u w:color="FFFFFF"/>
              </w:rPr>
              <w:t xml:space="preserve">/L </w:t>
            </w:r>
            <w:r>
              <w:rPr>
                <w:rFonts w:hint="default" w:ascii="Times New Roman" w:hAnsi="Times New Roman" w:cs="Times New Roman"/>
                <w:sz w:val="24"/>
                <w:szCs w:val="24"/>
                <w:u w:color="FFFFFF"/>
                <w:lang w:val="en-US" w:eastAsia="zh-CN"/>
              </w:rPr>
              <w:t>(Or within the laboratory normal range).</w:t>
            </w:r>
          </w:p>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Liver function:</w:t>
            </w:r>
            <w:r>
              <w:rPr>
                <w:rFonts w:hint="default" w:ascii="Times New Roman" w:hAnsi="Times New Roman" w:cs="Times New Roman"/>
                <w:sz w:val="24"/>
                <w:szCs w:val="24"/>
                <w:u w:color="FFFFFF"/>
                <w:lang w:val="en-US" w:eastAsia="zh-CN"/>
              </w:rPr>
              <w:t>t</w:t>
            </w:r>
            <w:r>
              <w:rPr>
                <w:rFonts w:hint="default" w:ascii="Times New Roman" w:hAnsi="Times New Roman" w:cs="Times New Roman"/>
                <w:sz w:val="24"/>
                <w:szCs w:val="24"/>
                <w:u w:color="FFFFFF"/>
              </w:rPr>
              <w:t>ransaminase (ALT), upper limit of transaminase (AST)</w:t>
            </w:r>
            <w:r>
              <w:rPr>
                <w:rFonts w:hint="default" w:ascii="Times New Roman" w:hAnsi="Times New Roman" w:cs="Times New Roman"/>
                <w:sz w:val="24"/>
                <w:szCs w:val="24"/>
                <w:u w:color="FFFFFF"/>
                <w:lang w:val="en-US" w:eastAsia="zh-CN"/>
              </w:rPr>
              <w:t>≤1.5</w:t>
            </w:r>
            <w:r>
              <w:rPr>
                <w:rFonts w:hint="default" w:ascii="Times New Roman" w:hAnsi="Times New Roman" w:cs="Times New Roman"/>
                <w:sz w:val="24"/>
                <w:szCs w:val="24"/>
                <w:u w:color="FFFFFF"/>
              </w:rPr>
              <w:t xml:space="preserve"> ULN; total bilirubin</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 xml:space="preserve"> 1.5</w:t>
            </w:r>
            <w:r>
              <w:rPr>
                <w:rFonts w:hint="default" w:ascii="Times New Roman" w:hAnsi="Times New Roman" w:cs="Times New Roman"/>
                <w:sz w:val="24"/>
                <w:szCs w:val="24"/>
                <w:u w:color="FFFFFF"/>
                <w:lang w:val="en-US" w:eastAsia="zh-CN"/>
              </w:rPr>
              <w:t>x</w:t>
            </w:r>
            <w:r>
              <w:rPr>
                <w:rFonts w:hint="default" w:ascii="Times New Roman" w:hAnsi="Times New Roman" w:cs="Times New Roman"/>
                <w:sz w:val="24"/>
                <w:szCs w:val="24"/>
                <w:u w:color="FFFFFF"/>
              </w:rPr>
              <w:t xml:space="preserve"> ULN</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cs="Times New Roman"/>
                <w:kern w:val="2"/>
                <w:sz w:val="24"/>
                <w:szCs w:val="24"/>
                <w:u w:color="FFFFFF"/>
                <w:lang w:val="en-US" w:eastAsia="zh-CN"/>
              </w:rPr>
            </w:pPr>
            <w:r>
              <w:rPr>
                <w:rFonts w:hint="default" w:ascii="Times New Roman" w:hAnsi="Times New Roman" w:cs="Times New Roman"/>
                <w:sz w:val="24"/>
                <w:szCs w:val="24"/>
                <w:u w:color="FFFFFF"/>
              </w:rPr>
              <w:t xml:space="preserve">Renal function: creatinine clearance of </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 xml:space="preserve">60 ml/min or serum creatinine of </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1.5 ULN</w:t>
            </w:r>
            <w:r>
              <w:rPr>
                <w:rFonts w:hint="default" w:ascii="Times New Roman" w:hAnsi="Times New Roman" w:cs="Times New Roman"/>
                <w:sz w:val="24"/>
                <w:szCs w:val="24"/>
                <w:u w:color="FFFFFF"/>
                <w:lang w:val="en-US" w:eastAsia="zh-CN"/>
              </w:rPr>
              <w:t>.</w:t>
            </w:r>
            <w:bookmarkEnd w:id="9"/>
          </w:p>
          <w:p>
            <w:pPr>
              <w:keepNext w:val="0"/>
              <w:keepLines w:val="0"/>
              <w:pageBreakBefore w:val="0"/>
              <w:widowControl w:val="0"/>
              <w:numPr>
                <w:ilvl w:val="0"/>
                <w:numId w:val="1"/>
              </w:numPr>
              <w:tabs>
                <w:tab w:val="left" w:pos="420"/>
              </w:tabs>
              <w:kinsoku/>
              <w:wordWrap/>
              <w:overflowPunct/>
              <w:topLinePunct w:val="0"/>
              <w:autoSpaceDE/>
              <w:autoSpaceDN/>
              <w:bidi w:val="0"/>
              <w:adjustRightInd/>
              <w:snapToGrid/>
              <w:spacing w:before="100" w:beforeAutospacing="1" w:after="100" w:afterAutospacing="1" w:line="360" w:lineRule="auto"/>
              <w:textAlignment w:val="auto"/>
              <w:outlineLvl w:val="9"/>
              <w:rPr>
                <w:rFonts w:hint="default" w:ascii="Times New Roman" w:hAnsi="Times New Roman" w:cs="Times New Roman"/>
                <w:kern w:val="2"/>
                <w:sz w:val="24"/>
                <w:szCs w:val="24"/>
                <w:u w:color="FFFFFF"/>
                <w:lang w:val="en-US" w:eastAsia="zh-CN"/>
              </w:rPr>
            </w:pPr>
            <w:r>
              <w:rPr>
                <w:rFonts w:hint="default" w:ascii="Times New Roman" w:hAnsi="Times New Roman" w:cs="Times New Roman"/>
                <w:kern w:val="2"/>
                <w:sz w:val="24"/>
                <w:szCs w:val="24"/>
                <w:u w:color="FFFFFF"/>
                <w:lang w:val="en-US" w:eastAsia="zh-CN"/>
              </w:rPr>
              <w:t>The patient has already signed the informed consent form.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6" w:hRule="atLeast"/>
        </w:trPr>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exact"/>
              <w:jc w:val="center"/>
              <w:textAlignment w:val="auto"/>
              <w:outlineLvl w:val="9"/>
              <w:rPr>
                <w:rFonts w:hint="default" w:ascii="Times New Roman" w:hAnsi="Times New Roman" w:eastAsia="宋体" w:cs="Times New Roman"/>
                <w:i w:val="0"/>
                <w:iCs w:val="0"/>
                <w:caps w:val="0"/>
                <w:color w:val="000033"/>
                <w:spacing w:val="0"/>
                <w:sz w:val="24"/>
                <w:szCs w:val="24"/>
                <w:shd w:val="clear" w:fill="FFFFFF"/>
              </w:rPr>
            </w:pPr>
            <w:r>
              <w:rPr>
                <w:rFonts w:hint="default" w:ascii="Times New Roman" w:hAnsi="Times New Roman" w:cs="Times New Roman"/>
                <w:i w:val="0"/>
                <w:iCs w:val="0"/>
                <w:caps w:val="0"/>
                <w:color w:val="000033"/>
                <w:spacing w:val="0"/>
                <w:sz w:val="24"/>
                <w:szCs w:val="24"/>
                <w:shd w:val="clear" w:fill="FFFFFF"/>
                <w:lang w:val="en-US" w:eastAsia="zh-CN"/>
              </w:rPr>
              <w:t>I</w:t>
            </w:r>
            <w:r>
              <w:rPr>
                <w:rFonts w:hint="default" w:ascii="Times New Roman" w:hAnsi="Times New Roman" w:eastAsia="宋体" w:cs="Times New Roman"/>
                <w:i w:val="0"/>
                <w:iCs w:val="0"/>
                <w:caps w:val="0"/>
                <w:color w:val="000033"/>
                <w:spacing w:val="0"/>
                <w:sz w:val="24"/>
                <w:szCs w:val="24"/>
                <w:shd w:val="clear" w:fill="FFFFFF"/>
              </w:rPr>
              <w:t xml:space="preserve">neligibility </w:t>
            </w:r>
          </w:p>
          <w:p>
            <w:pPr>
              <w:pStyle w:val="6"/>
              <w:keepNext w:val="0"/>
              <w:keepLines w:val="0"/>
              <w:pageBreakBefore w:val="0"/>
              <w:widowControl w:val="0"/>
              <w:kinsoku/>
              <w:wordWrap/>
              <w:overflowPunct/>
              <w:topLinePunct w:val="0"/>
              <w:autoSpaceDE/>
              <w:autoSpaceDN/>
              <w:bidi w:val="0"/>
              <w:adjustRightInd/>
              <w:snapToGrid/>
              <w:spacing w:beforeLines="50" w:afterLines="50" w:line="240" w:lineRule="exact"/>
              <w:jc w:val="center"/>
              <w:textAlignment w:val="auto"/>
              <w:outlineLvl w:val="9"/>
              <w:rPr>
                <w:rFonts w:hint="default" w:ascii="Times New Roman" w:hAnsi="Times New Roman" w:cs="Times New Roman"/>
                <w:kern w:val="2"/>
                <w:sz w:val="24"/>
                <w:szCs w:val="24"/>
                <w:lang w:val="en-US" w:eastAsia="zh-CN"/>
              </w:rPr>
            </w:pPr>
            <w:bookmarkStart w:id="11" w:name="OLE_LINK3"/>
            <w:r>
              <w:rPr>
                <w:rFonts w:hint="default" w:ascii="Times New Roman" w:hAnsi="Times New Roman" w:eastAsia="宋体" w:cs="Times New Roman"/>
                <w:i w:val="0"/>
                <w:iCs w:val="0"/>
                <w:caps w:val="0"/>
                <w:color w:val="000033"/>
                <w:spacing w:val="0"/>
                <w:sz w:val="24"/>
                <w:szCs w:val="24"/>
                <w:shd w:val="clear" w:fill="FFFFFF"/>
              </w:rPr>
              <w:t>criteria</w:t>
            </w:r>
            <w:bookmarkEnd w:id="11"/>
          </w:p>
        </w:tc>
        <w:tc>
          <w:tcPr>
            <w:tcW w:w="0" w:type="auto"/>
            <w:vAlign w:val="center"/>
          </w:tcPr>
          <w:p>
            <w:pPr>
              <w:keepNext w:val="0"/>
              <w:keepLines w:val="0"/>
              <w:pageBreakBefore w:val="0"/>
              <w:widowControl w:val="0"/>
              <w:kinsoku/>
              <w:wordWrap/>
              <w:overflowPunct/>
              <w:topLinePunct w:val="0"/>
              <w:autoSpaceDE/>
              <w:autoSpaceDN/>
              <w:bidi w:val="0"/>
              <w:adjustRightInd/>
              <w:snapToGrid/>
              <w:spacing w:afterLines="50" w:line="360" w:lineRule="auto"/>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1 The pathological type is keratinized squamous cell carcinoma or basal squamous cell carcinoma of WHO</w:t>
            </w:r>
            <w:r>
              <w:rPr>
                <w:rFonts w:hint="default" w:ascii="Times New Roman" w:hAnsi="Times New Roman" w:cs="Times New Roman"/>
                <w:sz w:val="24"/>
                <w:szCs w:val="24"/>
                <w:u w:color="FFFFFF"/>
                <w:lang w:val="en-US" w:eastAsia="zh-CN"/>
              </w:rPr>
              <w:t>.</w:t>
            </w:r>
          </w:p>
          <w:p>
            <w:pPr>
              <w:keepNext w:val="0"/>
              <w:keepLines w:val="0"/>
              <w:pageBreakBefore w:val="0"/>
              <w:widowControl w:val="0"/>
              <w:kinsoku/>
              <w:wordWrap/>
              <w:overflowPunct/>
              <w:topLinePunct w:val="0"/>
              <w:autoSpaceDE/>
              <w:autoSpaceDN/>
              <w:bidi w:val="0"/>
              <w:adjustRightInd/>
              <w:snapToGrid/>
              <w:spacing w:afterLines="50" w:line="360" w:lineRule="auto"/>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 xml:space="preserve">2. Age: </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lang w:eastAsia="zh-CN"/>
              </w:rPr>
              <w:t>70 years or &lt;18 years</w:t>
            </w:r>
            <w:r>
              <w:rPr>
                <w:rFonts w:hint="default" w:ascii="Times New Roman" w:hAnsi="Times New Roman" w:cs="Times New Roman"/>
                <w:sz w:val="24"/>
                <w:szCs w:val="24"/>
                <w:u w:color="FFFFFF"/>
                <w:lang w:val="en-US" w:eastAsia="zh-CN"/>
              </w:rPr>
              <w:t>.</w:t>
            </w:r>
          </w:p>
          <w:p>
            <w:pPr>
              <w:keepNext w:val="0"/>
              <w:keepLines w:val="0"/>
              <w:pageBreakBefore w:val="0"/>
              <w:widowControl w:val="0"/>
              <w:kinsoku/>
              <w:wordWrap/>
              <w:overflowPunct/>
              <w:topLinePunct w:val="0"/>
              <w:autoSpaceDE/>
              <w:autoSpaceDN/>
              <w:bidi w:val="0"/>
              <w:adjustRightInd/>
              <w:snapToGrid/>
              <w:spacing w:afterLines="50" w:line="360" w:lineRule="auto"/>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3. The treatment is palliative</w:t>
            </w:r>
            <w:r>
              <w:rPr>
                <w:rFonts w:hint="default" w:ascii="Times New Roman" w:hAnsi="Times New Roman" w:cs="Times New Roman"/>
                <w:sz w:val="24"/>
                <w:szCs w:val="24"/>
                <w:u w:color="FFFFFF"/>
                <w:lang w:val="en-US" w:eastAsia="zh-CN"/>
              </w:rPr>
              <w:t>.</w:t>
            </w:r>
          </w:p>
          <w:p>
            <w:pPr>
              <w:keepNext w:val="0"/>
              <w:keepLines w:val="0"/>
              <w:pageBreakBefore w:val="0"/>
              <w:widowControl w:val="0"/>
              <w:kinsoku/>
              <w:wordWrap/>
              <w:overflowPunct/>
              <w:topLinePunct w:val="0"/>
              <w:autoSpaceDE/>
              <w:autoSpaceDN/>
              <w:bidi w:val="0"/>
              <w:adjustRightInd/>
              <w:snapToGrid/>
              <w:spacing w:afterLines="50" w:line="360" w:lineRule="auto"/>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4. A previous history of malignancy, except for adequately treated basal cell carcinoma or squamous cell carcinoma and cervical carcinoma in situ</w:t>
            </w:r>
            <w:r>
              <w:rPr>
                <w:rFonts w:hint="default" w:ascii="Times New Roman" w:hAnsi="Times New Roman" w:cs="Times New Roman"/>
                <w:sz w:val="24"/>
                <w:szCs w:val="24"/>
                <w:u w:color="FFFFFF"/>
                <w:lang w:val="en-US" w:eastAsia="zh-CN"/>
              </w:rPr>
              <w:t>.</w:t>
            </w:r>
          </w:p>
          <w:p>
            <w:pPr>
              <w:keepNext w:val="0"/>
              <w:keepLines w:val="0"/>
              <w:pageBreakBefore w:val="0"/>
              <w:widowControl w:val="0"/>
              <w:kinsoku/>
              <w:wordWrap/>
              <w:overflowPunct/>
              <w:topLinePunct w:val="0"/>
              <w:autoSpaceDE/>
              <w:autoSpaceDN/>
              <w:bidi w:val="0"/>
              <w:adjustRightInd/>
              <w:snapToGrid/>
              <w:spacing w:afterLines="50" w:line="360" w:lineRule="auto"/>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5. Women during pregnancy or lactation (pregnancy test examination should be considered for women of childbearing age; effective contraception should be emphasized during treatment)</w:t>
            </w:r>
            <w:r>
              <w:rPr>
                <w:rFonts w:hint="default" w:ascii="Times New Roman" w:hAnsi="Times New Roman" w:cs="Times New Roman"/>
                <w:sz w:val="24"/>
                <w:szCs w:val="24"/>
                <w:u w:color="FFFFFF"/>
                <w:lang w:val="en-US" w:eastAsia="zh-CN"/>
              </w:rPr>
              <w:t>.</w:t>
            </w:r>
          </w:p>
          <w:p>
            <w:pPr>
              <w:keepNext w:val="0"/>
              <w:keepLines w:val="0"/>
              <w:pageBreakBefore w:val="0"/>
              <w:widowControl w:val="0"/>
              <w:kinsoku/>
              <w:wordWrap/>
              <w:overflowPunct/>
              <w:topLinePunct w:val="0"/>
              <w:autoSpaceDE/>
              <w:autoSpaceDN/>
              <w:bidi w:val="0"/>
              <w:adjustRightInd/>
              <w:snapToGrid/>
              <w:spacing w:afterLines="50" w:line="360" w:lineRule="auto"/>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6. Previous radiation therapy (except for non-melanoma skin cancer with previous lesions located outside the target area of radiotherapy)</w:t>
            </w:r>
            <w:r>
              <w:rPr>
                <w:rFonts w:hint="default" w:ascii="Times New Roman" w:hAnsi="Times New Roman" w:cs="Times New Roman"/>
                <w:sz w:val="24"/>
                <w:szCs w:val="24"/>
                <w:u w:color="FFFFFF"/>
                <w:lang w:val="en-US" w:eastAsia="zh-CN"/>
              </w:rPr>
              <w:t>.</w:t>
            </w:r>
          </w:p>
          <w:p>
            <w:pPr>
              <w:keepNext w:val="0"/>
              <w:keepLines w:val="0"/>
              <w:pageBreakBefore w:val="0"/>
              <w:widowControl w:val="0"/>
              <w:kinsoku/>
              <w:wordWrap/>
              <w:overflowPunct/>
              <w:topLinePunct w:val="0"/>
              <w:autoSpaceDE/>
              <w:autoSpaceDN/>
              <w:bidi w:val="0"/>
              <w:adjustRightInd/>
              <w:snapToGrid/>
              <w:spacing w:afterLines="50" w:line="360" w:lineRule="auto"/>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7. Primary lesions and cervical metastatic lesions have been treated with chemotherapy or surgery (except for diagnostic treatment)</w:t>
            </w:r>
            <w:r>
              <w:rPr>
                <w:rFonts w:hint="default" w:ascii="Times New Roman" w:hAnsi="Times New Roman" w:cs="Times New Roman"/>
                <w:sz w:val="24"/>
                <w:szCs w:val="24"/>
                <w:u w:color="FFFFFF"/>
                <w:lang w:val="en-US" w:eastAsia="zh-CN"/>
              </w:rPr>
              <w:t>.</w:t>
            </w:r>
          </w:p>
          <w:p>
            <w:pPr>
              <w:keepNext w:val="0"/>
              <w:keepLines w:val="0"/>
              <w:pageBreakBefore w:val="0"/>
              <w:widowControl w:val="0"/>
              <w:kinsoku/>
              <w:wordWrap/>
              <w:overflowPunct/>
              <w:topLinePunct w:val="0"/>
              <w:autoSpaceDE/>
              <w:autoSpaceDN/>
              <w:bidi w:val="0"/>
              <w:adjustRightInd/>
              <w:snapToGrid/>
              <w:spacing w:afterLines="50" w:line="360" w:lineRule="auto"/>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lang w:eastAsia="zh-CN"/>
              </w:rPr>
              <w:t>8.Having other serious diseases may cause greater risk or affect the compliance of the test. For example: unstable heart disease requiring treatment, kidney disease, chronic hepatitis, unsatisfactory control of diabetes (fasting glucose&gt; 1.5</w:t>
            </w:r>
            <w:r>
              <w:rPr>
                <w:rFonts w:hint="default" w:ascii="Times New Roman" w:hAnsi="Times New Roman" w:cs="Times New Roman"/>
                <w:sz w:val="24"/>
                <w:szCs w:val="24"/>
                <w:u w:color="FFFFFF"/>
                <w:lang w:val="en-US" w:eastAsia="zh-CN"/>
              </w:rPr>
              <w:t>x</w:t>
            </w:r>
            <w:r>
              <w:rPr>
                <w:rFonts w:hint="default" w:ascii="Times New Roman" w:hAnsi="Times New Roman" w:cs="Times New Roman"/>
                <w:sz w:val="24"/>
                <w:szCs w:val="24"/>
                <w:u w:color="FFFFFF"/>
                <w:lang w:eastAsia="zh-CN"/>
              </w:rPr>
              <w:t xml:space="preserve"> ULN), and for psychiatric disorders.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1" w:hRule="atLeast"/>
        </w:trPr>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exact"/>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Reject</w:t>
            </w:r>
          </w:p>
          <w:p>
            <w:pPr>
              <w:pStyle w:val="6"/>
              <w:keepNext w:val="0"/>
              <w:keepLines w:val="0"/>
              <w:pageBreakBefore w:val="0"/>
              <w:widowControl w:val="0"/>
              <w:kinsoku/>
              <w:wordWrap/>
              <w:overflowPunct/>
              <w:topLinePunct w:val="0"/>
              <w:autoSpaceDE/>
              <w:autoSpaceDN/>
              <w:bidi w:val="0"/>
              <w:adjustRightInd/>
              <w:snapToGrid/>
              <w:spacing w:beforeLines="50" w:afterLines="50" w:line="240" w:lineRule="exact"/>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eastAsia="宋体" w:cs="Times New Roman"/>
                <w:i w:val="0"/>
                <w:iCs w:val="0"/>
                <w:caps w:val="0"/>
                <w:color w:val="000033"/>
                <w:spacing w:val="0"/>
                <w:sz w:val="24"/>
                <w:szCs w:val="24"/>
                <w:shd w:val="clear" w:fill="FFFFFF"/>
              </w:rPr>
              <w:t>criteria</w:t>
            </w:r>
          </w:p>
        </w:tc>
        <w:tc>
          <w:tcPr>
            <w:tcW w:w="0" w:type="auto"/>
            <w:vAlign w:val="center"/>
          </w:tcPr>
          <w:p>
            <w:pPr>
              <w:keepNext w:val="0"/>
              <w:keepLines w:val="0"/>
              <w:pageBreakBefore w:val="0"/>
              <w:widowControl w:val="0"/>
              <w:numPr>
                <w:ilvl w:val="0"/>
                <w:numId w:val="2"/>
              </w:numPr>
              <w:tabs>
                <w:tab w:val="left" w:pos="840"/>
                <w:tab w:val="left" w:pos="1440"/>
              </w:tabs>
              <w:kinsoku/>
              <w:wordWrap/>
              <w:overflowPunct/>
              <w:topLinePunct w:val="0"/>
              <w:autoSpaceDE/>
              <w:autoSpaceDN/>
              <w:bidi w:val="0"/>
              <w:adjustRightInd/>
              <w:snapToGrid/>
              <w:spacing w:afterLines="50" w:line="360" w:lineRule="auto"/>
              <w:ind w:left="345" w:leftChars="50" w:hanging="240" w:hangingChars="10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 xml:space="preserve"> Patients who did not take medication as prescribed and failed to complete the schedule (2 cycles of induction chemotherapy, less than 2 cycles of concurrent chemotherapy, IMRT radiotherapy dose less than 90% of the total dose in the trial protocol, and continuous radiotherapy interruption times were longer than 10 days)</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2"/>
              </w:numPr>
              <w:tabs>
                <w:tab w:val="left" w:pos="840"/>
                <w:tab w:val="left" w:pos="1440"/>
              </w:tabs>
              <w:kinsoku/>
              <w:wordWrap/>
              <w:overflowPunct/>
              <w:topLinePunct w:val="0"/>
              <w:autoSpaceDE/>
              <w:autoSpaceDN/>
              <w:bidi w:val="0"/>
              <w:adjustRightInd/>
              <w:snapToGrid/>
              <w:spacing w:afterLines="50" w:line="360" w:lineRule="auto"/>
              <w:ind w:left="105" w:leftChars="5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 xml:space="preserve"> Efficacy analysis for participants not completed due to side effects was not performed (included in side effects statistics)</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2"/>
              </w:numPr>
              <w:tabs>
                <w:tab w:val="left" w:pos="840"/>
                <w:tab w:val="left" w:pos="1440"/>
              </w:tabs>
              <w:kinsoku/>
              <w:wordWrap/>
              <w:overflowPunct/>
              <w:topLinePunct w:val="0"/>
              <w:autoSpaceDE/>
              <w:autoSpaceDN/>
              <w:bidi w:val="0"/>
              <w:adjustRightInd/>
              <w:snapToGrid/>
              <w:spacing w:afterLines="50" w:line="360" w:lineRule="auto"/>
              <w:ind w:left="345" w:leftChars="50" w:hanging="240" w:hangingChars="10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 xml:space="preserve"> Other drugs were used to evaluate efficacy and toxicity</w:t>
            </w:r>
          </w:p>
          <w:p>
            <w:pPr>
              <w:keepNext w:val="0"/>
              <w:keepLines w:val="0"/>
              <w:pageBreakBefore w:val="0"/>
              <w:widowControl w:val="0"/>
              <w:numPr>
                <w:ilvl w:val="0"/>
                <w:numId w:val="2"/>
              </w:numPr>
              <w:tabs>
                <w:tab w:val="left" w:pos="840"/>
                <w:tab w:val="left" w:pos="1440"/>
              </w:tabs>
              <w:kinsoku/>
              <w:wordWrap/>
              <w:overflowPunct/>
              <w:topLinePunct w:val="0"/>
              <w:autoSpaceDE/>
              <w:autoSpaceDN/>
              <w:bidi w:val="0"/>
              <w:adjustRightInd/>
              <w:snapToGrid/>
              <w:spacing w:afterLines="50" w:line="360" w:lineRule="auto"/>
              <w:ind w:left="105" w:leftChars="5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Other related patients violating the trial protocol.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keepNext w:val="0"/>
              <w:keepLines w:val="0"/>
              <w:pageBreakBefore w:val="0"/>
              <w:widowControl w:val="0"/>
              <w:tabs>
                <w:tab w:val="left" w:pos="840"/>
                <w:tab w:val="left" w:pos="1440"/>
              </w:tabs>
              <w:kinsoku/>
              <w:wordWrap/>
              <w:overflowPunct/>
              <w:topLinePunct w:val="0"/>
              <w:autoSpaceDE/>
              <w:autoSpaceDN/>
              <w:bidi w:val="0"/>
              <w:adjustRightInd/>
              <w:snapToGrid/>
              <w:spacing w:beforeLines="50" w:afterLines="50" w:line="240" w:lineRule="exact"/>
              <w:jc w:val="center"/>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 xml:space="preserve"> Exit standard</w:t>
            </w:r>
          </w:p>
        </w:tc>
        <w:tc>
          <w:tcPr>
            <w:tcW w:w="0" w:type="auto"/>
            <w:vAlign w:val="center"/>
          </w:tcPr>
          <w:p>
            <w:pPr>
              <w:keepNext w:val="0"/>
              <w:keepLines w:val="0"/>
              <w:pageBreakBefore w:val="0"/>
              <w:widowControl w:val="0"/>
              <w:numPr>
                <w:ilvl w:val="0"/>
                <w:numId w:val="3"/>
              </w:numPr>
              <w:tabs>
                <w:tab w:val="left" w:pos="840"/>
                <w:tab w:val="left" w:pos="1440"/>
              </w:tabs>
              <w:kinsoku/>
              <w:wordWrap/>
              <w:overflowPunct/>
              <w:topLinePunct w:val="0"/>
              <w:autoSpaceDE/>
              <w:autoSpaceDN/>
              <w:bidi w:val="0"/>
              <w:adjustRightInd/>
              <w:snapToGrid/>
              <w:spacing w:afterLines="50" w:line="360" w:lineRule="auto"/>
              <w:ind w:left="345" w:leftChars="50" w:hanging="240" w:hangingChars="10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 xml:space="preserve"> During the study, if the subject has serious adverse events or intolerable toxic effects, PI approved withdrawal from the study (included in the safety analysis).</w:t>
            </w:r>
          </w:p>
          <w:p>
            <w:pPr>
              <w:keepNext w:val="0"/>
              <w:keepLines w:val="0"/>
              <w:pageBreakBefore w:val="0"/>
              <w:widowControl w:val="0"/>
              <w:numPr>
                <w:ilvl w:val="0"/>
                <w:numId w:val="3"/>
              </w:numPr>
              <w:tabs>
                <w:tab w:val="left" w:pos="840"/>
                <w:tab w:val="left" w:pos="1440"/>
              </w:tabs>
              <w:kinsoku/>
              <w:wordWrap/>
              <w:overflowPunct/>
              <w:topLinePunct w:val="0"/>
              <w:autoSpaceDE/>
              <w:autoSpaceDN/>
              <w:bidi w:val="0"/>
              <w:adjustRightInd/>
              <w:snapToGrid/>
              <w:spacing w:afterLines="50" w:line="360" w:lineRule="auto"/>
              <w:ind w:left="345" w:leftChars="50" w:hanging="240" w:hangingChars="10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 xml:space="preserve"> During the course of the study, if more than half of the subjects develop intolerable toxic reactions, or continuous serious adverse events, the PI may propose to terminate the test early.</w:t>
            </w:r>
          </w:p>
          <w:p>
            <w:pPr>
              <w:keepNext w:val="0"/>
              <w:keepLines w:val="0"/>
              <w:pageBreakBefore w:val="0"/>
              <w:widowControl w:val="0"/>
              <w:numPr>
                <w:ilvl w:val="0"/>
                <w:numId w:val="3"/>
              </w:numPr>
              <w:tabs>
                <w:tab w:val="left" w:pos="840"/>
                <w:tab w:val="left" w:pos="1440"/>
              </w:tabs>
              <w:kinsoku/>
              <w:wordWrap/>
              <w:overflowPunct/>
              <w:topLinePunct w:val="0"/>
              <w:autoSpaceDE/>
              <w:autoSpaceDN/>
              <w:bidi w:val="0"/>
              <w:adjustRightInd/>
              <w:snapToGrid/>
              <w:spacing w:afterLines="50" w:line="360" w:lineRule="auto"/>
              <w:ind w:left="345" w:leftChars="50" w:hanging="240" w:hangingChars="10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 xml:space="preserve"> During the study, the subject experienced a pregnancy event.</w:t>
            </w:r>
          </w:p>
          <w:p>
            <w:pPr>
              <w:keepNext w:val="0"/>
              <w:keepLines w:val="0"/>
              <w:pageBreakBefore w:val="0"/>
              <w:widowControl w:val="0"/>
              <w:numPr>
                <w:ilvl w:val="0"/>
                <w:numId w:val="3"/>
              </w:numPr>
              <w:tabs>
                <w:tab w:val="left" w:pos="840"/>
                <w:tab w:val="left" w:pos="1440"/>
              </w:tabs>
              <w:kinsoku/>
              <w:wordWrap/>
              <w:overflowPunct/>
              <w:topLinePunct w:val="0"/>
              <w:autoSpaceDE/>
              <w:autoSpaceDN/>
              <w:bidi w:val="0"/>
              <w:adjustRightInd/>
              <w:snapToGrid/>
              <w:spacing w:afterLines="50" w:line="360" w:lineRule="auto"/>
              <w:ind w:left="345" w:leftChars="50" w:hanging="240" w:hangingChars="10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lang w:val="en-US" w:eastAsia="zh-CN"/>
              </w:rPr>
              <w:t xml:space="preserve"> </w:t>
            </w:r>
            <w:r>
              <w:rPr>
                <w:rFonts w:hint="default" w:ascii="Times New Roman" w:hAnsi="Times New Roman" w:cs="Times New Roman"/>
                <w:sz w:val="24"/>
                <w:szCs w:val="24"/>
                <w:u w:color="FFFFFF"/>
              </w:rPr>
              <w:t>The subject withdrew his informed consent and requested his withdrawal.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exact"/>
              <w:jc w:val="center"/>
              <w:textAlignment w:val="auto"/>
              <w:outlineLvl w:val="9"/>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 xml:space="preserve">Sample </w:t>
            </w:r>
          </w:p>
        </w:tc>
        <w:tc>
          <w:tcPr>
            <w:tcW w:w="0" w:type="auto"/>
            <w:vAlign w:val="center"/>
          </w:tcPr>
          <w:p>
            <w:pPr>
              <w:pStyle w:val="6"/>
              <w:keepNext w:val="0"/>
              <w:keepLines w:val="0"/>
              <w:pageBreakBefore w:val="0"/>
              <w:widowControl w:val="0"/>
              <w:kinsoku/>
              <w:wordWrap/>
              <w:overflowPunct/>
              <w:topLinePunct w:val="0"/>
              <w:autoSpaceDE/>
              <w:autoSpaceDN/>
              <w:bidi w:val="0"/>
              <w:adjustRightInd/>
              <w:snapToGrid/>
              <w:spacing w:beforeLines="50" w:afterLines="50" w:line="240" w:lineRule="exact"/>
              <w:textAlignment w:val="auto"/>
              <w:outlineLvl w:val="9"/>
              <w:rPr>
                <w:rFonts w:hint="default" w:ascii="Times New Roman" w:hAnsi="Times New Roman" w:cs="Times New Roman"/>
                <w:color w:val="000000"/>
                <w:kern w:val="2"/>
                <w:sz w:val="24"/>
                <w:szCs w:val="24"/>
                <w:lang w:val="en-US" w:eastAsia="zh-CN"/>
              </w:rPr>
            </w:pPr>
            <w:r>
              <w:rPr>
                <w:rFonts w:hint="default" w:ascii="Times New Roman" w:hAnsi="Times New Roman" w:cs="Times New Roman"/>
                <w:color w:val="000000"/>
                <w:kern w:val="2"/>
                <w:sz w:val="24"/>
                <w:szCs w:val="24"/>
                <w:lang w:val="en-US" w:eastAsia="zh-CN"/>
              </w:rPr>
              <w:t>The total number of cases was 266, with 133 cases each group .</w:t>
            </w:r>
          </w:p>
        </w:tc>
      </w:tr>
    </w:tbl>
    <w:p>
      <w:pPr>
        <w:rPr>
          <w:rFonts w:hint="default" w:ascii="Times New Roman" w:hAnsi="Times New Roman" w:cs="Times New Roman"/>
          <w:vanish/>
          <w:sz w:val="24"/>
          <w:szCs w:val="24"/>
        </w:rPr>
      </w:pPr>
    </w:p>
    <w:tbl>
      <w:tblPr>
        <w:tblStyle w:val="10"/>
        <w:tblpPr w:leftFromText="180" w:rightFromText="180" w:vertAnchor="text" w:horzAnchor="margin" w:tblpY="1"/>
        <w:tblW w:w="92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7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5" w:hRule="atLeast"/>
        </w:trPr>
        <w:tc>
          <w:tcPr>
            <w:tcW w:w="1384" w:type="dxa"/>
            <w:vAlign w:val="center"/>
          </w:tcPr>
          <w:p>
            <w:pPr>
              <w:pStyle w:val="6"/>
              <w:spacing w:beforeLines="50" w:afterLines="50"/>
              <w:jc w:val="center"/>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lang w:val="en-US" w:eastAsia="zh-CN"/>
              </w:rPr>
              <w:t>Evaluation criterion</w:t>
            </w:r>
          </w:p>
        </w:tc>
        <w:tc>
          <w:tcPr>
            <w:tcW w:w="7866" w:type="dxa"/>
            <w:vAlign w:val="center"/>
          </w:tcPr>
          <w:p>
            <w:pPr>
              <w:numPr>
                <w:ilvl w:val="0"/>
                <w:numId w:val="4"/>
              </w:numPr>
              <w:spacing w:afterLines="50" w:line="240" w:lineRule="auto"/>
              <w:ind w:left="345" w:leftChars="50" w:hanging="240" w:hangingChars="100"/>
              <w:rPr>
                <w:rFonts w:hint="default" w:ascii="Times New Roman" w:hAnsi="Times New Roman" w:cs="Times New Roman"/>
                <w:sz w:val="24"/>
                <w:szCs w:val="24"/>
              </w:rPr>
            </w:pPr>
            <w:r>
              <w:rPr>
                <w:rFonts w:hint="default" w:ascii="Times New Roman" w:hAnsi="Times New Roman" w:cs="Times New Roman"/>
                <w:sz w:val="24"/>
                <w:szCs w:val="24"/>
              </w:rPr>
              <w:t xml:space="preserve"> Safety evaluation: Adverse events and adverse reactions according to NCI CTCAE 4.0.</w:t>
            </w:r>
          </w:p>
          <w:p>
            <w:pPr>
              <w:numPr>
                <w:ilvl w:val="0"/>
                <w:numId w:val="4"/>
              </w:numPr>
              <w:spacing w:afterLines="50" w:line="240" w:lineRule="auto"/>
              <w:ind w:left="345" w:leftChars="50" w:hanging="240" w:hangingChars="100"/>
              <w:rPr>
                <w:rFonts w:hint="default" w:ascii="Times New Roman" w:hAnsi="Times New Roman" w:cs="Times New Roman"/>
                <w:sz w:val="24"/>
                <w:szCs w:val="24"/>
              </w:rPr>
            </w:pPr>
            <w:r>
              <w:rPr>
                <w:rFonts w:hint="default" w:ascii="Times New Roman" w:hAnsi="Times New Roman" w:cs="Times New Roman"/>
                <w:sz w:val="24"/>
                <w:szCs w:val="24"/>
              </w:rPr>
              <w:t xml:space="preserve"> Evaluation of effectiveness: CR, PR, SD, PD according to the criteria RECIST 1.1.</w:t>
            </w:r>
          </w:p>
          <w:p>
            <w:pPr>
              <w:numPr>
                <w:ilvl w:val="0"/>
                <w:numId w:val="4"/>
              </w:numPr>
              <w:spacing w:afterLines="50" w:line="240" w:lineRule="auto"/>
              <w:ind w:left="345" w:leftChars="50" w:hanging="240" w:hangingChars="100"/>
              <w:rPr>
                <w:rFonts w:hint="default" w:ascii="Times New Roman" w:hAnsi="Times New Roman" w:cs="Times New Roman"/>
                <w:sz w:val="24"/>
                <w:szCs w:val="24"/>
                <w:u w:color="FFFFFF"/>
              </w:rPr>
            </w:pPr>
            <w:r>
              <w:rPr>
                <w:rFonts w:hint="default" w:ascii="Times New Roman" w:hAnsi="Times New Roman" w:cs="Times New Roman"/>
                <w:sz w:val="24"/>
                <w:szCs w:val="24"/>
                <w:u w:color="FFFFFF"/>
              </w:rPr>
              <w:t>Survival benefit evaluation: PFS</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OS</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LRF, DMFS.</w:t>
            </w:r>
          </w:p>
          <w:p>
            <w:pPr>
              <w:numPr>
                <w:ilvl w:val="0"/>
                <w:numId w:val="4"/>
              </w:numPr>
              <w:spacing w:afterLines="50" w:line="240" w:lineRule="auto"/>
              <w:ind w:left="345" w:leftChars="50" w:hanging="240" w:hangingChars="100"/>
              <w:rPr>
                <w:rFonts w:hint="default" w:ascii="Times New Roman" w:hAnsi="Times New Roman" w:cs="Times New Roman"/>
                <w:sz w:val="24"/>
                <w:szCs w:val="24"/>
              </w:rPr>
            </w:pPr>
            <w:r>
              <w:rPr>
                <w:rFonts w:hint="default" w:ascii="Times New Roman" w:hAnsi="Times New Roman" w:cs="Times New Roman"/>
                <w:sz w:val="24"/>
                <w:szCs w:val="24"/>
              </w:rPr>
              <w:t>Evaluation point:</w:t>
            </w:r>
          </w:p>
          <w:p>
            <w:pPr>
              <w:numPr>
                <w:ilvl w:val="0"/>
                <w:numId w:val="5"/>
              </w:numPr>
              <w:spacing w:afterLines="50" w:line="240" w:lineRule="auto"/>
              <w:ind w:left="345" w:leftChars="50" w:hanging="240" w:hangingChars="100"/>
              <w:rPr>
                <w:rFonts w:hint="default" w:ascii="Times New Roman" w:hAnsi="Times New Roman" w:cs="Times New Roman"/>
                <w:sz w:val="24"/>
                <w:szCs w:val="24"/>
              </w:rPr>
            </w:pPr>
            <w:r>
              <w:rPr>
                <w:rFonts w:hint="default" w:ascii="Times New Roman" w:hAnsi="Times New Roman" w:cs="Times New Roman"/>
                <w:sz w:val="24"/>
                <w:szCs w:val="24"/>
              </w:rPr>
              <w:t>And were evaluated at the end of each course of chemotherapy</w:t>
            </w:r>
          </w:p>
          <w:p>
            <w:pPr>
              <w:numPr>
                <w:ilvl w:val="0"/>
                <w:numId w:val="5"/>
              </w:numPr>
              <w:spacing w:afterLines="50" w:line="240" w:lineRule="auto"/>
              <w:ind w:left="345" w:leftChars="50" w:hanging="240" w:hangingChars="100"/>
              <w:rPr>
                <w:rFonts w:hint="default" w:ascii="Times New Roman" w:hAnsi="Times New Roman" w:cs="Times New Roman"/>
                <w:sz w:val="24"/>
                <w:szCs w:val="24"/>
              </w:rPr>
            </w:pPr>
            <w:r>
              <w:rPr>
                <w:rFonts w:hint="default" w:ascii="Times New Roman" w:hAnsi="Times New Roman" w:cs="Times New Roman"/>
                <w:sz w:val="24"/>
                <w:szCs w:val="24"/>
              </w:rPr>
              <w:t>Evaluation at the end of all chemoradiotherapy (end of treatment)</w:t>
            </w:r>
          </w:p>
          <w:p>
            <w:pPr>
              <w:numPr>
                <w:ilvl w:val="0"/>
                <w:numId w:val="5"/>
              </w:numPr>
              <w:spacing w:afterLines="50" w:line="240" w:lineRule="auto"/>
              <w:ind w:left="345" w:leftChars="50" w:hanging="240" w:hangingChars="100"/>
              <w:rPr>
                <w:rFonts w:hint="default" w:ascii="Times New Roman" w:hAnsi="Times New Roman" w:cs="Times New Roman"/>
                <w:sz w:val="24"/>
                <w:szCs w:val="24"/>
              </w:rPr>
            </w:pPr>
            <w:r>
              <w:rPr>
                <w:rFonts w:hint="default" w:ascii="Times New Roman" w:hAnsi="Times New Roman" w:cs="Times New Roman"/>
                <w:sz w:val="24"/>
                <w:szCs w:val="24"/>
                <w:u w:color="FFFFFF"/>
              </w:rPr>
              <w:t>Recent evaluation: 3 months after completion of treatment</w:t>
            </w:r>
          </w:p>
          <w:p>
            <w:pPr>
              <w:numPr>
                <w:ilvl w:val="0"/>
                <w:numId w:val="5"/>
              </w:numPr>
              <w:spacing w:afterLines="50" w:line="240" w:lineRule="auto"/>
              <w:ind w:left="345" w:leftChars="50" w:hanging="240" w:hangingChars="100"/>
              <w:rPr>
                <w:rFonts w:hint="default" w:ascii="Times New Roman" w:hAnsi="Times New Roman" w:cs="Times New Roman"/>
                <w:sz w:val="24"/>
                <w:szCs w:val="24"/>
              </w:rPr>
            </w:pPr>
            <w:r>
              <w:rPr>
                <w:rFonts w:hint="default" w:ascii="Times New Roman" w:hAnsi="Times New Roman" w:cs="Times New Roman"/>
                <w:sz w:val="24"/>
                <w:szCs w:val="24"/>
                <w:u w:color="FFFFFF"/>
              </w:rPr>
              <w:t>Long-term follow-up: 1 to 5 years after the completion of treatment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4" w:hRule="atLeast"/>
        </w:trPr>
        <w:tc>
          <w:tcPr>
            <w:tcW w:w="1384" w:type="dxa"/>
            <w:vAlign w:val="center"/>
          </w:tcPr>
          <w:p>
            <w:pPr>
              <w:widowControl/>
              <w:snapToGrid w:val="0"/>
              <w:spacing w:line="480" w:lineRule="auto"/>
              <w:rPr>
                <w:rFonts w:hint="default" w:ascii="Times New Roman" w:hAnsi="Times New Roman" w:eastAsia="宋体" w:cs="Times New Roman"/>
                <w:i/>
                <w:iCs/>
                <w:kern w:val="0"/>
                <w:sz w:val="24"/>
                <w:szCs w:val="24"/>
              </w:rPr>
            </w:pPr>
            <w:bookmarkStart w:id="12" w:name="OLE_LINK16"/>
            <w:r>
              <w:rPr>
                <w:rFonts w:hint="default" w:ascii="Times New Roman" w:hAnsi="Times New Roman" w:eastAsia="宋体" w:cs="Times New Roman"/>
                <w:b w:val="0"/>
                <w:bCs w:val="0"/>
                <w:i w:val="0"/>
                <w:iCs w:val="0"/>
                <w:color w:val="000000"/>
                <w:kern w:val="0"/>
                <w:sz w:val="24"/>
                <w:szCs w:val="24"/>
              </w:rPr>
              <w:t>Procedures</w:t>
            </w:r>
            <w:bookmarkEnd w:id="12"/>
            <w:r>
              <w:rPr>
                <w:rFonts w:hint="default" w:ascii="Times New Roman" w:hAnsi="Times New Roman" w:eastAsia="宋体" w:cs="Times New Roman"/>
                <w:b w:val="0"/>
                <w:bCs w:val="0"/>
                <w:i/>
                <w:iCs/>
                <w:color w:val="000000"/>
                <w:kern w:val="0"/>
                <w:sz w:val="24"/>
                <w:szCs w:val="24"/>
              </w:rPr>
              <w:t xml:space="preserve"> </w:t>
            </w:r>
          </w:p>
          <w:p>
            <w:pPr>
              <w:pStyle w:val="6"/>
              <w:spacing w:beforeLines="50" w:afterLines="50"/>
              <w:jc w:val="center"/>
              <w:rPr>
                <w:rFonts w:hint="default" w:ascii="Times New Roman" w:hAnsi="Times New Roman" w:cs="Times New Roman"/>
                <w:kern w:val="2"/>
                <w:sz w:val="24"/>
                <w:szCs w:val="24"/>
                <w:lang w:val="en-US" w:eastAsia="zh-CN"/>
              </w:rPr>
            </w:pPr>
          </w:p>
        </w:tc>
        <w:tc>
          <w:tcPr>
            <w:tcW w:w="7866" w:type="dxa"/>
            <w:vAlign w:val="center"/>
          </w:tcPr>
          <w:p>
            <w:pPr>
              <w:numPr>
                <w:ilvl w:val="0"/>
                <w:numId w:val="0"/>
              </w:numPr>
              <w:spacing w:afterLines="50" w:line="360" w:lineRule="auto"/>
              <w:rPr>
                <w:rFonts w:hint="default" w:ascii="Times New Roman" w:hAnsi="Times New Roman" w:cs="Times New Roman"/>
                <w:b/>
                <w:color w:val="000000"/>
                <w:sz w:val="24"/>
                <w:szCs w:val="24"/>
                <w:u w:color="FFFFFF"/>
              </w:rPr>
            </w:pPr>
            <w:r>
              <w:rPr>
                <w:rFonts w:hint="default" w:ascii="Times New Roman" w:hAnsi="Times New Roman" w:cs="Times New Roman"/>
                <w:b/>
                <w:color w:val="000000"/>
                <w:sz w:val="24"/>
                <w:szCs w:val="24"/>
                <w:u w:color="FFFFFF"/>
                <w:lang w:val="en-US" w:eastAsia="zh-CN"/>
              </w:rPr>
              <w:t>1.</w:t>
            </w:r>
            <w:r>
              <w:rPr>
                <w:rFonts w:hint="default" w:ascii="Times New Roman" w:hAnsi="Times New Roman" w:cs="Times New Roman"/>
                <w:b/>
                <w:color w:val="000000"/>
                <w:sz w:val="24"/>
                <w:szCs w:val="24"/>
                <w:u w:color="FFFFFF"/>
              </w:rPr>
              <w:t>Radiation therapy regimen (intensity modulated radiotherapy) target recommendations</w:t>
            </w:r>
          </w:p>
          <w:p>
            <w:pPr>
              <w:numPr>
                <w:ilvl w:val="0"/>
                <w:numId w:val="0"/>
              </w:numPr>
              <w:spacing w:afterLines="50" w:line="360" w:lineRule="auto"/>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rPr>
              <w:t>Radiotherapy plan design: Gross tumor volume (GTV) should be determined by MRI or CT scan.</w:t>
            </w:r>
            <w:r>
              <w:rPr>
                <w:rFonts w:hint="default" w:ascii="Times New Roman" w:hAnsi="Times New Roman" w:cs="Times New Roman"/>
                <w:sz w:val="24"/>
                <w:szCs w:val="24"/>
                <w:u w:color="FFFFFF"/>
                <w:lang w:val="en-US" w:eastAsia="zh-CN"/>
              </w:rPr>
              <w:t xml:space="preserve">   </w:t>
            </w:r>
          </w:p>
          <w:p>
            <w:pPr>
              <w:numPr>
                <w:ilvl w:val="0"/>
                <w:numId w:val="0"/>
              </w:numPr>
              <w:spacing w:afterLines="50" w:line="360" w:lineRule="auto"/>
              <w:rPr>
                <w:rFonts w:hint="default" w:ascii="Times New Roman" w:hAnsi="Times New Roman" w:eastAsia="宋体" w:cs="Times New Roman"/>
                <w:sz w:val="24"/>
                <w:szCs w:val="24"/>
                <w:u w:color="FFFFFF"/>
                <w:lang w:eastAsia="zh-CN"/>
              </w:rPr>
            </w:pPr>
            <w:r>
              <w:rPr>
                <w:rFonts w:hint="default" w:ascii="Times New Roman" w:hAnsi="Times New Roman" w:cs="Times New Roman"/>
                <w:b/>
                <w:bCs/>
                <w:sz w:val="24"/>
                <w:szCs w:val="24"/>
                <w:u w:color="FFFFFF"/>
              </w:rPr>
              <w:t>Dose and segmentation method:</w:t>
            </w:r>
          </w:p>
          <w:p>
            <w:pPr>
              <w:spacing w:after="120" w:afterLines="50" w:line="360" w:lineRule="auto"/>
              <w:jc w:val="both"/>
              <w:rPr>
                <w:rFonts w:hint="default" w:ascii="Times New Roman" w:hAnsi="Times New Roman" w:eastAsia="宋体" w:cs="Times New Roman"/>
                <w:bCs/>
                <w:sz w:val="24"/>
                <w:szCs w:val="24"/>
                <w:u w:val="none" w:color="FFFFFF"/>
                <w:lang w:val="en-US" w:eastAsia="zh-CN"/>
              </w:rPr>
            </w:pPr>
            <w:r>
              <w:rPr>
                <w:rFonts w:hint="default" w:ascii="Times New Roman" w:hAnsi="Times New Roman" w:cs="Times New Roman"/>
                <w:bCs/>
                <w:sz w:val="24"/>
                <w:szCs w:val="24"/>
                <w:u w:val="none" w:color="FFFFFF"/>
              </w:rPr>
              <w:t>Design of the irradiation field (see the schedule for details): 3 D suitability / IMRT / IGRT / VAMT</w:t>
            </w:r>
          </w:p>
          <w:p>
            <w:pPr>
              <w:pStyle w:val="22"/>
              <w:spacing w:line="360" w:lineRule="auto"/>
              <w:jc w:val="both"/>
              <w:rPr>
                <w:rFonts w:hint="default" w:ascii="Times New Roman" w:hAnsi="Times New Roman" w:cs="Times New Roman"/>
                <w:bCs/>
                <w:sz w:val="24"/>
                <w:szCs w:val="24"/>
                <w:u w:val="none" w:color="FFFFFF"/>
              </w:rPr>
            </w:pPr>
            <w:r>
              <w:rPr>
                <w:rFonts w:hint="default" w:ascii="Times New Roman" w:hAnsi="Times New Roman" w:cs="Times New Roman"/>
                <w:bCs/>
                <w:sz w:val="24"/>
                <w:szCs w:val="24"/>
                <w:u w:val="none" w:color="FFFFFF"/>
              </w:rPr>
              <w:t>Radiotherapy dose: (see attached table for details)</w:t>
            </w:r>
          </w:p>
          <w:p>
            <w:pPr>
              <w:pStyle w:val="22"/>
              <w:spacing w:line="360" w:lineRule="auto"/>
              <w:jc w:val="both"/>
              <w:rPr>
                <w:rFonts w:hint="default" w:ascii="Times New Roman" w:hAnsi="Times New Roman" w:cs="Times New Roman"/>
                <w:b/>
                <w:sz w:val="24"/>
                <w:szCs w:val="24"/>
                <w:u w:color="FFFFFF"/>
              </w:rPr>
            </w:pPr>
            <w:r>
              <w:rPr>
                <w:rFonts w:hint="default" w:ascii="Times New Roman" w:hAnsi="Times New Roman" w:cs="Times New Roman"/>
                <w:b/>
                <w:sz w:val="24"/>
                <w:szCs w:val="24"/>
                <w:u w:color="FFFFFF"/>
                <w:lang w:val="en-US" w:eastAsia="zh-CN"/>
              </w:rPr>
              <w:t>2.</w:t>
            </w:r>
            <w:r>
              <w:rPr>
                <w:rFonts w:hint="default" w:ascii="Times New Roman" w:hAnsi="Times New Roman" w:cs="Times New Roman"/>
                <w:b/>
                <w:sz w:val="24"/>
                <w:szCs w:val="24"/>
                <w:u w:color="FFFFFF"/>
              </w:rPr>
              <w:t>Chemotherapy regimen:</w:t>
            </w:r>
          </w:p>
          <w:p>
            <w:pPr>
              <w:keepNext w:val="0"/>
              <w:keepLines w:val="0"/>
              <w:pageBreakBefore w:val="0"/>
              <w:widowControl w:val="0"/>
              <w:kinsoku/>
              <w:wordWrap/>
              <w:overflowPunct/>
              <w:topLinePunct w:val="0"/>
              <w:autoSpaceDE/>
              <w:autoSpaceDN/>
              <w:bidi w:val="0"/>
              <w:adjustRightInd/>
              <w:snapToGrid/>
              <w:spacing w:afterLines="50" w:line="360" w:lineRule="auto"/>
              <w:ind w:left="119"/>
              <w:textAlignment w:val="auto"/>
              <w:outlineLvl w:val="9"/>
              <w:rPr>
                <w:rFonts w:hint="default" w:ascii="Times New Roman" w:hAnsi="Times New Roman" w:cs="Times New Roman"/>
                <w:sz w:val="24"/>
                <w:szCs w:val="24"/>
              </w:rPr>
            </w:pPr>
            <w:r>
              <w:rPr>
                <w:rFonts w:hint="default" w:ascii="Times New Roman" w:hAnsi="Times New Roman" w:cs="Times New Roman"/>
                <w:b/>
                <w:bCs/>
                <w:sz w:val="24"/>
                <w:szCs w:val="24"/>
                <w:u w:color="FFFFFF"/>
              </w:rPr>
              <w:t xml:space="preserve">DDP </w:t>
            </w:r>
            <w:r>
              <w:rPr>
                <w:rFonts w:hint="default" w:ascii="Times New Roman" w:hAnsi="Times New Roman" w:cs="Times New Roman"/>
                <w:b/>
                <w:bCs/>
                <w:sz w:val="24"/>
                <w:szCs w:val="24"/>
                <w:u w:color="FFFFFF"/>
                <w:lang w:val="en-US" w:eastAsia="zh-CN"/>
              </w:rPr>
              <w:t>c</w:t>
            </w:r>
            <w:r>
              <w:rPr>
                <w:rFonts w:hint="default" w:ascii="Times New Roman" w:hAnsi="Times New Roman" w:cs="Times New Roman"/>
                <w:b/>
                <w:bCs/>
                <w:sz w:val="24"/>
                <w:szCs w:val="24"/>
                <w:u w:color="FFFFFF"/>
              </w:rPr>
              <w:t>oncomitant chemoradiotherapy, combined with PF adjuvant chemotherapy (</w:t>
            </w:r>
            <w:r>
              <w:rPr>
                <w:rFonts w:hint="default" w:ascii="Times New Roman" w:hAnsi="Times New Roman" w:cs="Times New Roman"/>
                <w:b/>
                <w:bCs/>
                <w:sz w:val="24"/>
                <w:szCs w:val="24"/>
                <w:u w:color="FFFFFF"/>
                <w:lang w:val="en-US" w:eastAsia="zh-CN"/>
              </w:rPr>
              <w:t>AC</w:t>
            </w:r>
            <w:r>
              <w:rPr>
                <w:rFonts w:hint="default" w:ascii="Times New Roman" w:hAnsi="Times New Roman" w:cs="Times New Roman"/>
                <w:b/>
                <w:bCs/>
                <w:sz w:val="24"/>
                <w:szCs w:val="24"/>
                <w:u w:color="FFFFFF"/>
              </w:rPr>
              <w:t xml:space="preserve"> group):</w:t>
            </w:r>
            <w:r>
              <w:rPr>
                <w:rFonts w:hint="default" w:ascii="Times New Roman" w:hAnsi="Times New Roman" w:cs="Times New Roman"/>
                <w:sz w:val="24"/>
                <w:szCs w:val="24"/>
                <w:u w:color="FFFFFF"/>
              </w:rPr>
              <w:t xml:space="preserve"> Concomitant chemoradiotherapy (cisplatin 100mg</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 xml:space="preserve">㎡, civ, d1 (10:00-22:00), starting on the day of radiotherapy or day 2 of radiotherapy, once every </w:t>
            </w:r>
            <w:r>
              <w:rPr>
                <w:rFonts w:hint="default" w:ascii="Times New Roman" w:hAnsi="Times New Roman" w:cs="Times New Roman"/>
                <w:sz w:val="24"/>
                <w:szCs w:val="24"/>
                <w:u w:color="FFFFFF"/>
                <w:lang w:val="en-US" w:eastAsia="zh-CN"/>
              </w:rPr>
              <w:t>3</w:t>
            </w:r>
            <w:r>
              <w:rPr>
                <w:rFonts w:hint="default" w:ascii="Times New Roman" w:hAnsi="Times New Roman" w:cs="Times New Roman"/>
                <w:sz w:val="24"/>
                <w:szCs w:val="24"/>
                <w:u w:color="FFFFFF"/>
              </w:rPr>
              <w:t xml:space="preserve"> weeks during radiotherapy for 3 c</w:t>
            </w:r>
            <w:r>
              <w:rPr>
                <w:rFonts w:hint="default" w:ascii="Times New Roman" w:hAnsi="Times New Roman" w:cs="Times New Roman"/>
                <w:sz w:val="24"/>
                <w:szCs w:val="24"/>
                <w:u w:color="FFFFFF"/>
                <w:lang w:val="en-US" w:eastAsia="zh-CN"/>
              </w:rPr>
              <w:t>ycle</w:t>
            </w:r>
            <w:r>
              <w:rPr>
                <w:rFonts w:hint="default" w:ascii="Times New Roman" w:hAnsi="Times New Roman" w:cs="Times New Roman"/>
                <w:sz w:val="24"/>
                <w:szCs w:val="24"/>
                <w:u w:color="FFFFFF"/>
              </w:rPr>
              <w:t>)</w:t>
            </w:r>
          </w:p>
          <w:p>
            <w:pPr>
              <w:keepNext w:val="0"/>
              <w:keepLines w:val="0"/>
              <w:pageBreakBefore w:val="0"/>
              <w:widowControl w:val="0"/>
              <w:kinsoku/>
              <w:wordWrap/>
              <w:overflowPunct/>
              <w:topLinePunct w:val="0"/>
              <w:autoSpaceDE/>
              <w:autoSpaceDN/>
              <w:bidi w:val="0"/>
              <w:adjustRightInd/>
              <w:snapToGrid/>
              <w:spacing w:afterLines="50" w:line="360" w:lineRule="auto"/>
              <w:ind w:left="119"/>
              <w:textAlignment w:val="auto"/>
              <w:outlineLvl w:val="9"/>
              <w:rPr>
                <w:rFonts w:hint="default" w:ascii="Times New Roman" w:hAnsi="Times New Roman" w:eastAsia="宋体" w:cs="Times New Roman"/>
                <w:sz w:val="24"/>
                <w:szCs w:val="24"/>
                <w:u w:color="FFFFFF"/>
                <w:lang w:val="en-US" w:eastAsia="zh-CN"/>
              </w:rPr>
            </w:pP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Cisplatin 80mg</w:t>
            </w:r>
            <w:r>
              <w:rPr>
                <w:rFonts w:hint="default" w:ascii="Times New Roman" w:hAnsi="Times New Roman" w:cs="Times New Roman"/>
                <w:sz w:val="24"/>
                <w:szCs w:val="24"/>
                <w:lang w:val="en-US" w:eastAsia="zh-CN"/>
              </w:rPr>
              <w:t>/</w:t>
            </w:r>
            <w:bookmarkStart w:id="13" w:name="OLE_LINK5"/>
            <w:r>
              <w:rPr>
                <w:rFonts w:hint="default" w:ascii="Times New Roman" w:hAnsi="Times New Roman" w:cs="Times New Roman"/>
                <w:sz w:val="24"/>
                <w:szCs w:val="24"/>
                <w:lang w:val="en-US" w:eastAsia="zh-CN"/>
              </w:rPr>
              <w:t>m</w:t>
            </w:r>
            <w:r>
              <w:rPr>
                <w:rFonts w:hint="default" w:ascii="Times New Roman" w:hAnsi="Times New Roman" w:cs="Times New Roman"/>
                <w:sz w:val="24"/>
                <w:szCs w:val="24"/>
                <w:vertAlign w:val="superscript"/>
                <w:lang w:val="en-US" w:eastAsia="zh-CN"/>
              </w:rPr>
              <w:t>2</w:t>
            </w:r>
            <w:bookmarkEnd w:id="13"/>
            <w:r>
              <w:rPr>
                <w:rFonts w:hint="default" w:ascii="Times New Roman" w:hAnsi="Times New Roman" w:cs="Times New Roman"/>
                <w:sz w:val="24"/>
                <w:szCs w:val="24"/>
              </w:rPr>
              <w:t>, civ, q12h, d1-d5 (10:00-22:00), fluorouracil 800mg</w:t>
            </w:r>
            <w:r>
              <w:rPr>
                <w:rFonts w:hint="default" w:ascii="Times New Roman" w:hAnsi="Times New Roman" w:cs="Times New Roman"/>
                <w:sz w:val="24"/>
                <w:szCs w:val="24"/>
                <w:lang w:val="en-US" w:eastAsia="zh-CN"/>
              </w:rPr>
              <w:t>/m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 xml:space="preserve">d, civ, q12h d1-d5 (22:00-10:00) once every 4 weeks for a total of 3 </w:t>
            </w:r>
            <w:r>
              <w:rPr>
                <w:rFonts w:hint="default" w:ascii="Times New Roman" w:hAnsi="Times New Roman" w:cs="Times New Roman"/>
                <w:sz w:val="24"/>
                <w:szCs w:val="24"/>
                <w:lang w:val="en-US" w:eastAsia="zh-CN"/>
              </w:rPr>
              <w:t>cycle</w:t>
            </w:r>
          </w:p>
          <w:p>
            <w:pPr>
              <w:keepNext w:val="0"/>
              <w:keepLines w:val="0"/>
              <w:pageBreakBefore w:val="0"/>
              <w:widowControl w:val="0"/>
              <w:kinsoku/>
              <w:wordWrap/>
              <w:overflowPunct/>
              <w:topLinePunct w:val="0"/>
              <w:autoSpaceDE/>
              <w:autoSpaceDN/>
              <w:bidi w:val="0"/>
              <w:adjustRightInd/>
              <w:snapToGrid/>
              <w:spacing w:afterLines="50" w:line="360" w:lineRule="auto"/>
              <w:jc w:val="both"/>
              <w:textAlignment w:val="auto"/>
              <w:outlineLvl w:val="9"/>
              <w:rPr>
                <w:rFonts w:hint="default" w:ascii="Times New Roman" w:hAnsi="Times New Roman" w:cs="Times New Roman"/>
                <w:b/>
                <w:bCs/>
                <w:sz w:val="24"/>
                <w:szCs w:val="24"/>
                <w:u w:color="FFFFFF"/>
                <w:lang w:val="en-US" w:eastAsia="zh-CN"/>
              </w:rPr>
            </w:pPr>
            <w:r>
              <w:rPr>
                <w:rFonts w:hint="default" w:ascii="Times New Roman" w:hAnsi="Times New Roman" w:cs="Times New Roman"/>
                <w:b/>
                <w:bCs/>
                <w:sz w:val="24"/>
                <w:szCs w:val="24"/>
                <w:u w:color="FFFFFF"/>
              </w:rPr>
              <w:t>All the adjuvant chemotherapy was started 4 weeks after the end of the concurrent</w:t>
            </w:r>
            <w:r>
              <w:rPr>
                <w:rFonts w:hint="default" w:ascii="Times New Roman" w:hAnsi="Times New Roman" w:cs="Times New Roman"/>
                <w:b/>
                <w:bCs/>
                <w:sz w:val="24"/>
                <w:szCs w:val="24"/>
                <w:u w:color="FFFFFF"/>
                <w:lang w:val="en-US" w:eastAsia="zh-CN"/>
              </w:rPr>
              <w:t xml:space="preserve"> </w:t>
            </w:r>
            <w:r>
              <w:rPr>
                <w:rFonts w:hint="default" w:ascii="Times New Roman" w:hAnsi="Times New Roman" w:cs="Times New Roman"/>
                <w:b/>
                <w:bCs/>
                <w:sz w:val="24"/>
                <w:szCs w:val="24"/>
                <w:u w:color="FFFFFF"/>
              </w:rPr>
              <w:t>chemoradiotherapy</w:t>
            </w:r>
          </w:p>
          <w:p>
            <w:pPr>
              <w:spacing w:afterLines="50" w:line="360" w:lineRule="auto"/>
              <w:ind w:left="119"/>
              <w:rPr>
                <w:rFonts w:hint="default" w:ascii="Times New Roman" w:hAnsi="Times New Roman" w:cs="Times New Roman"/>
                <w:sz w:val="24"/>
                <w:szCs w:val="24"/>
              </w:rPr>
            </w:pPr>
            <w:r>
              <w:rPr>
                <w:rFonts w:hint="default" w:ascii="Times New Roman" w:hAnsi="Times New Roman" w:cs="Times New Roman"/>
                <w:b/>
                <w:bCs/>
                <w:sz w:val="24"/>
                <w:szCs w:val="24"/>
              </w:rPr>
              <w:t>TPF induction chemotherapy combined with concurrent DDP radiochemotherapy (</w:t>
            </w:r>
            <w:r>
              <w:rPr>
                <w:rFonts w:hint="default" w:ascii="Times New Roman" w:hAnsi="Times New Roman" w:cs="Times New Roman"/>
                <w:b/>
                <w:bCs/>
                <w:sz w:val="24"/>
                <w:szCs w:val="24"/>
                <w:lang w:val="en-US" w:eastAsia="zh-CN"/>
              </w:rPr>
              <w:t>IC</w:t>
            </w:r>
            <w:r>
              <w:rPr>
                <w:rFonts w:hint="default" w:ascii="Times New Roman" w:hAnsi="Times New Roman" w:cs="Times New Roman"/>
                <w:b/>
                <w:bCs/>
                <w:sz w:val="24"/>
                <w:szCs w:val="24"/>
              </w:rPr>
              <w:t xml:space="preserve"> group): </w:t>
            </w:r>
            <w:r>
              <w:rPr>
                <w:rFonts w:hint="default" w:ascii="Times New Roman" w:hAnsi="Times New Roman" w:cs="Times New Roman"/>
                <w:sz w:val="24"/>
                <w:szCs w:val="24"/>
              </w:rPr>
              <w:t>TPF induction chemotherapy (docetaxel 75mg</w:t>
            </w:r>
            <w:r>
              <w:rPr>
                <w:rFonts w:hint="default" w:ascii="Times New Roman" w:hAnsi="Times New Roman" w:cs="Times New Roman"/>
                <w:sz w:val="24"/>
                <w:szCs w:val="24"/>
                <w:lang w:val="en-US" w:eastAsia="zh-CN"/>
              </w:rPr>
              <w:t>/</w:t>
            </w:r>
            <w:bookmarkStart w:id="14" w:name="OLE_LINK7"/>
            <w:r>
              <w:rPr>
                <w:rFonts w:hint="default" w:ascii="Times New Roman" w:hAnsi="Times New Roman" w:cs="Times New Roman"/>
                <w:sz w:val="24"/>
                <w:szCs w:val="24"/>
                <w:lang w:val="en-US" w:eastAsia="zh-CN"/>
              </w:rPr>
              <w:t>m</w:t>
            </w:r>
            <w:r>
              <w:rPr>
                <w:rFonts w:hint="default" w:ascii="Times New Roman" w:hAnsi="Times New Roman" w:cs="Times New Roman"/>
                <w:sz w:val="24"/>
                <w:szCs w:val="24"/>
                <w:vertAlign w:val="superscript"/>
                <w:lang w:val="en-US" w:eastAsia="zh-CN"/>
              </w:rPr>
              <w:t>2</w:t>
            </w:r>
            <w:bookmarkEnd w:id="14"/>
            <w:r>
              <w:rPr>
                <w:rFonts w:hint="default" w:ascii="Times New Roman" w:hAnsi="Times New Roman" w:cs="Times New Roman"/>
                <w:sz w:val="24"/>
                <w:szCs w:val="24"/>
              </w:rPr>
              <w:t>, ivgtt d1 (03:30-04:30), Cisplatin, 75mg</w:t>
            </w:r>
            <w:r>
              <w:rPr>
                <w:rFonts w:hint="default" w:ascii="Times New Roman" w:hAnsi="Times New Roman" w:cs="Times New Roman"/>
                <w:sz w:val="24"/>
                <w:szCs w:val="24"/>
                <w:lang w:val="en-US" w:eastAsia="zh-CN"/>
              </w:rPr>
              <w:t>/m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rPr>
              <w:t xml:space="preserve">, civ, </w:t>
            </w:r>
            <w:r>
              <w:rPr>
                <w:rFonts w:hint="default" w:ascii="Times New Roman" w:hAnsi="Times New Roman" w:cs="Times New Roman"/>
                <w:sz w:val="24"/>
                <w:szCs w:val="24"/>
                <w:lang w:val="en-US" w:eastAsia="zh-CN"/>
              </w:rPr>
              <w:t>q</w:t>
            </w:r>
            <w:r>
              <w:rPr>
                <w:rFonts w:hint="default" w:ascii="Times New Roman" w:hAnsi="Times New Roman" w:cs="Times New Roman"/>
                <w:sz w:val="24"/>
                <w:szCs w:val="24"/>
              </w:rPr>
              <w:t>12h d1-d5 (10:00-22:00), Fluorouracil, 750mg</w:t>
            </w:r>
            <w:r>
              <w:rPr>
                <w:rFonts w:hint="default" w:ascii="Times New Roman" w:hAnsi="Times New Roman" w:cs="Times New Roman"/>
                <w:sz w:val="24"/>
                <w:szCs w:val="24"/>
                <w:lang w:val="en-US" w:eastAsia="zh-CN"/>
              </w:rPr>
              <w:t>/m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 xml:space="preserve">d, civ, </w:t>
            </w:r>
            <w:bookmarkStart w:id="15" w:name="OLE_LINK6"/>
            <w:r>
              <w:rPr>
                <w:rFonts w:hint="default" w:ascii="Times New Roman" w:hAnsi="Times New Roman" w:cs="Times New Roman"/>
                <w:sz w:val="24"/>
                <w:szCs w:val="24"/>
              </w:rPr>
              <w:t>q12h</w:t>
            </w:r>
            <w:bookmarkEnd w:id="15"/>
            <w:r>
              <w:rPr>
                <w:rFonts w:hint="default" w:ascii="Times New Roman" w:hAnsi="Times New Roman" w:cs="Times New Roman"/>
                <w:sz w:val="24"/>
                <w:szCs w:val="24"/>
              </w:rPr>
              <w:t xml:space="preserve"> d1-d5(22:00-10:00), Once every 3 weeks, A total of 3</w:t>
            </w:r>
            <w:r>
              <w:rPr>
                <w:rFonts w:hint="default" w:ascii="Times New Roman" w:hAnsi="Times New Roman" w:cs="Times New Roman"/>
                <w:sz w:val="24"/>
                <w:szCs w:val="24"/>
                <w:lang w:val="en-US" w:eastAsia="zh-CN"/>
              </w:rPr>
              <w:t>cycle</w:t>
            </w:r>
            <w:r>
              <w:rPr>
                <w:rFonts w:hint="default" w:ascii="Times New Roman" w:hAnsi="Times New Roman" w:cs="Times New Roman"/>
                <w:sz w:val="24"/>
                <w:szCs w:val="24"/>
              </w:rPr>
              <w:t>) + concurrent chemoradiotherapy (cisplatin 100mg</w:t>
            </w:r>
            <w:r>
              <w:rPr>
                <w:rFonts w:hint="default" w:ascii="Times New Roman" w:hAnsi="Times New Roman" w:cs="Times New Roman"/>
                <w:sz w:val="24"/>
                <w:szCs w:val="24"/>
                <w:lang w:val="en-US" w:eastAsia="zh-CN"/>
              </w:rPr>
              <w:t>/m</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rPr>
              <w:t xml:space="preserve">, civ, d1(10:00-22:00), Of radiotherapy, starting on the same day or on day 2, Every </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 xml:space="preserve"> weeks during the radiation treatment period, Total of 3 </w:t>
            </w:r>
            <w:r>
              <w:rPr>
                <w:rFonts w:hint="default" w:ascii="Times New Roman" w:hAnsi="Times New Roman" w:cs="Times New Roman"/>
                <w:sz w:val="24"/>
                <w:szCs w:val="24"/>
                <w:lang w:val="en-US" w:eastAsia="zh-CN"/>
              </w:rPr>
              <w:t>cycle</w:t>
            </w:r>
            <w:r>
              <w:rPr>
                <w:rFonts w:hint="default" w:ascii="Times New Roman" w:hAnsi="Times New Roman" w:cs="Times New Roman"/>
                <w:sz w:val="24"/>
                <w:szCs w:val="24"/>
              </w:rPr>
              <w:t>)</w:t>
            </w:r>
          </w:p>
          <w:p>
            <w:pPr>
              <w:spacing w:afterLines="50" w:line="360" w:lineRule="auto"/>
              <w:rPr>
                <w:rFonts w:hint="default" w:ascii="Times New Roman" w:hAnsi="Times New Roman" w:cs="Times New Roman"/>
                <w:b/>
                <w:bCs/>
                <w:sz w:val="24"/>
                <w:szCs w:val="24"/>
                <w:u w:color="FFFFFF"/>
              </w:rPr>
            </w:pPr>
            <w:r>
              <w:rPr>
                <w:rFonts w:hint="default" w:ascii="Times New Roman" w:hAnsi="Times New Roman" w:cs="Times New Roman"/>
                <w:b/>
                <w:bCs/>
                <w:sz w:val="24"/>
                <w:szCs w:val="24"/>
                <w:u w:color="FFFFFF"/>
              </w:rPr>
              <w:t>All concurrent chemoradiation was started within 3 weeks after the completion of induction che</w:t>
            </w:r>
            <w:r>
              <w:rPr>
                <w:rFonts w:hint="default" w:ascii="Times New Roman" w:hAnsi="Times New Roman" w:cs="Times New Roman"/>
                <w:b/>
                <w:bCs/>
                <w:sz w:val="24"/>
                <w:szCs w:val="24"/>
                <w:u w:color="FFFFFF"/>
                <w:lang w:val="en-US" w:eastAsia="zh-CN"/>
              </w:rPr>
              <w:t>therapy</w:t>
            </w:r>
            <w:r>
              <w:rPr>
                <w:rFonts w:hint="default" w:ascii="Times New Roman" w:hAnsi="Times New Roman" w:cs="Times New Roman"/>
                <w:b/>
                <w:bCs/>
                <w:sz w:val="24"/>
                <w:szCs w:val="24"/>
                <w:u w:color="FFFFFF"/>
              </w:rPr>
              <w:t>.</w:t>
            </w:r>
          </w:p>
          <w:p>
            <w:pPr>
              <w:spacing w:afterLines="50" w:line="240" w:lineRule="auto"/>
              <w:ind w:left="119"/>
              <w:rPr>
                <w:rFonts w:hint="default" w:ascii="Times New Roman" w:hAnsi="Times New Roman" w:cs="Times New Roman"/>
                <w:b/>
                <w:bCs/>
                <w:sz w:val="24"/>
                <w:szCs w:val="24"/>
                <w:u w:color="FFFFFF"/>
              </w:rPr>
            </w:pPr>
          </w:p>
          <w:p>
            <w:pPr>
              <w:spacing w:afterLines="50" w:line="240" w:lineRule="auto"/>
              <w:ind w:left="119"/>
              <w:rPr>
                <w:rFonts w:hint="default" w:ascii="Times New Roman" w:hAnsi="Times New Roman" w:cs="Times New Roman"/>
                <w:b/>
                <w:bCs/>
                <w:sz w:val="24"/>
                <w:szCs w:val="24"/>
                <w:u w:color="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2" w:hRule="atLeast"/>
        </w:trPr>
        <w:tc>
          <w:tcPr>
            <w:tcW w:w="1384" w:type="dxa"/>
            <w:vAlign w:val="center"/>
          </w:tcPr>
          <w:p>
            <w:pPr>
              <w:widowControl/>
              <w:snapToGrid w:val="0"/>
              <w:spacing w:line="480" w:lineRule="auto"/>
              <w:rPr>
                <w:rFonts w:hint="default" w:ascii="Times New Roman" w:hAnsi="Times New Roman" w:cs="Times New Roman"/>
                <w:i w:val="0"/>
                <w:iCs w:val="0"/>
                <w:color w:val="231F20"/>
                <w:kern w:val="0"/>
                <w:sz w:val="24"/>
                <w:szCs w:val="24"/>
              </w:rPr>
            </w:pPr>
            <w:r>
              <w:rPr>
                <w:rFonts w:hint="default" w:ascii="Times New Roman" w:hAnsi="Times New Roman" w:cs="Times New Roman"/>
                <w:b w:val="0"/>
                <w:bCs w:val="0"/>
                <w:i w:val="0"/>
                <w:iCs w:val="0"/>
                <w:color w:val="000000"/>
                <w:sz w:val="24"/>
                <w:szCs w:val="24"/>
              </w:rPr>
              <w:t>Statistical analysis</w:t>
            </w:r>
          </w:p>
          <w:p>
            <w:pPr>
              <w:pStyle w:val="6"/>
              <w:spacing w:beforeLines="50" w:afterLines="50"/>
              <w:jc w:val="center"/>
              <w:rPr>
                <w:rFonts w:hint="default" w:ascii="Times New Roman" w:hAnsi="Times New Roman" w:cs="Times New Roman"/>
                <w:kern w:val="2"/>
                <w:sz w:val="24"/>
                <w:szCs w:val="24"/>
                <w:lang w:val="en-US" w:eastAsia="zh-CN"/>
              </w:rPr>
            </w:pPr>
          </w:p>
        </w:tc>
        <w:tc>
          <w:tcPr>
            <w:tcW w:w="7866" w:type="dxa"/>
            <w:vAlign w:val="center"/>
          </w:tcPr>
          <w:p>
            <w:pPr>
              <w:pStyle w:val="6"/>
              <w:tabs>
                <w:tab w:val="left" w:pos="2040"/>
              </w:tabs>
              <w:spacing w:afterLines="50" w:line="360" w:lineRule="auto"/>
              <w:ind w:left="105" w:leftChars="50"/>
              <w:rPr>
                <w:rFonts w:hint="default" w:ascii="Times New Roman" w:hAnsi="Times New Roman" w:eastAsia="宋体" w:cs="Times New Roman"/>
                <w:kern w:val="2"/>
                <w:sz w:val="24"/>
                <w:szCs w:val="24"/>
                <w:u w:color="FFFFFF"/>
                <w:lang w:val="en-US" w:eastAsia="zh-CN"/>
              </w:rPr>
            </w:pPr>
            <w:r>
              <w:rPr>
                <w:rFonts w:hint="default" w:ascii="Times New Roman" w:hAnsi="Times New Roman" w:cs="Times New Roman"/>
                <w:bCs/>
                <w:sz w:val="24"/>
                <w:szCs w:val="24"/>
                <w:u w:color="FFFFFF"/>
              </w:rPr>
              <w:t xml:space="preserve">Descriptive analysis of </w:t>
            </w:r>
            <w:r>
              <w:rPr>
                <w:rFonts w:hint="default" w:ascii="Times New Roman" w:hAnsi="Times New Roman" w:cs="Times New Roman"/>
                <w:bCs/>
                <w:sz w:val="24"/>
                <w:szCs w:val="24"/>
                <w:u w:color="FFFFFF"/>
                <w:lang w:val="en-US" w:eastAsia="zh-CN"/>
              </w:rPr>
              <w:t>ORR</w:t>
            </w:r>
            <w:r>
              <w:rPr>
                <w:rFonts w:hint="default" w:ascii="Times New Roman" w:hAnsi="Times New Roman" w:cs="Times New Roman"/>
                <w:bCs/>
                <w:sz w:val="24"/>
                <w:szCs w:val="24"/>
                <w:u w:color="FFFFFF"/>
              </w:rPr>
              <w:t>, tolerability, acute toxicity</w:t>
            </w:r>
            <w:r>
              <w:rPr>
                <w:rFonts w:hint="default" w:ascii="Times New Roman" w:hAnsi="Times New Roman" w:cs="Times New Roman"/>
                <w:bCs/>
                <w:sz w:val="24"/>
                <w:szCs w:val="24"/>
                <w:u w:color="FFFFFF"/>
                <w:lang w:val="en-US" w:eastAsia="zh-CN"/>
              </w:rPr>
              <w:t>.</w:t>
            </w:r>
          </w:p>
          <w:p>
            <w:pPr>
              <w:pStyle w:val="6"/>
              <w:tabs>
                <w:tab w:val="left" w:pos="2040"/>
              </w:tabs>
              <w:spacing w:afterLines="50" w:line="360" w:lineRule="auto"/>
              <w:ind w:left="105" w:leftChars="50"/>
              <w:rPr>
                <w:rFonts w:hint="default" w:ascii="Times New Roman" w:hAnsi="Times New Roman" w:cs="Times New Roman"/>
                <w:kern w:val="2"/>
                <w:sz w:val="24"/>
                <w:szCs w:val="24"/>
                <w:lang w:val="en-US" w:eastAsia="zh-CN"/>
              </w:rPr>
            </w:pPr>
            <w:r>
              <w:rPr>
                <w:rFonts w:hint="default" w:ascii="Times New Roman" w:hAnsi="Times New Roman" w:cs="Times New Roman"/>
                <w:kern w:val="2"/>
                <w:sz w:val="24"/>
                <w:szCs w:val="24"/>
                <w:u w:color="FFFFFF"/>
                <w:lang w:val="en-US" w:eastAsia="zh-CN"/>
              </w:rPr>
              <w:t>3-year PFS,OS,LRFS,DMFS, long-term toxicity response evaluation, and Kaplan-Meier curve evaluation survival.</w:t>
            </w:r>
          </w:p>
        </w:tc>
      </w:tr>
    </w:tbl>
    <w:p>
      <w:pPr>
        <w:pStyle w:val="9"/>
        <w:spacing w:line="360" w:lineRule="auto"/>
        <w:ind w:left="0" w:leftChars="0" w:firstLine="0" w:firstLineChars="0"/>
        <w:rPr>
          <w:rFonts w:hint="default" w:ascii="Times New Roman" w:hAnsi="Times New Roman" w:cs="Times New Roman"/>
          <w:b/>
          <w:color w:val="000000"/>
          <w:sz w:val="28"/>
          <w:szCs w:val="28"/>
        </w:rPr>
      </w:pPr>
    </w:p>
    <w:p>
      <w:pPr>
        <w:pStyle w:val="9"/>
        <w:spacing w:line="360" w:lineRule="auto"/>
        <w:ind w:left="0" w:leftChars="0" w:firstLine="0" w:firstLineChars="0"/>
        <w:rPr>
          <w:rFonts w:hint="eastAsia" w:cs="Times New Roman"/>
          <w:b/>
          <w:color w:val="000000"/>
          <w:sz w:val="28"/>
          <w:szCs w:val="28"/>
          <w:lang w:val="en-US" w:eastAsia="zh-CN"/>
        </w:rPr>
      </w:pPr>
    </w:p>
    <w:p>
      <w:pPr>
        <w:pStyle w:val="9"/>
        <w:spacing w:line="360" w:lineRule="auto"/>
        <w:ind w:left="0" w:leftChars="0" w:firstLine="0" w:firstLineChars="0"/>
        <w:rPr>
          <w:rFonts w:hint="eastAsia" w:cs="Times New Roman"/>
          <w:b/>
          <w:color w:val="000000"/>
          <w:sz w:val="28"/>
          <w:szCs w:val="28"/>
          <w:lang w:val="en-US" w:eastAsia="zh-CN"/>
        </w:rPr>
      </w:pPr>
    </w:p>
    <w:p>
      <w:pPr>
        <w:pStyle w:val="9"/>
        <w:spacing w:line="360" w:lineRule="auto"/>
        <w:ind w:left="0" w:leftChars="0" w:firstLine="0" w:firstLineChars="0"/>
        <w:rPr>
          <w:rFonts w:hint="eastAsia" w:cs="Times New Roman"/>
          <w:b/>
          <w:color w:val="000000"/>
          <w:sz w:val="28"/>
          <w:szCs w:val="28"/>
          <w:lang w:val="en-US" w:eastAsia="zh-CN"/>
        </w:rPr>
      </w:pPr>
    </w:p>
    <w:p>
      <w:pPr>
        <w:pStyle w:val="9"/>
        <w:spacing w:line="360" w:lineRule="auto"/>
        <w:ind w:left="0" w:leftChars="0" w:firstLine="0" w:firstLineChars="0"/>
        <w:rPr>
          <w:rFonts w:hint="eastAsia" w:cs="Times New Roman"/>
          <w:b/>
          <w:color w:val="000000"/>
          <w:sz w:val="28"/>
          <w:szCs w:val="28"/>
          <w:lang w:val="en-US" w:eastAsia="zh-CN"/>
        </w:rPr>
      </w:pPr>
    </w:p>
    <w:p>
      <w:pPr>
        <w:pStyle w:val="9"/>
        <w:spacing w:line="360" w:lineRule="auto"/>
        <w:ind w:left="0" w:leftChars="0" w:firstLine="0" w:firstLineChars="0"/>
        <w:rPr>
          <w:rFonts w:hint="eastAsia" w:cs="Times New Roman"/>
          <w:b/>
          <w:color w:val="000000"/>
          <w:sz w:val="28"/>
          <w:szCs w:val="28"/>
          <w:lang w:val="en-US" w:eastAsia="zh-CN"/>
        </w:rPr>
      </w:pPr>
    </w:p>
    <w:p>
      <w:pPr>
        <w:pStyle w:val="9"/>
        <w:spacing w:line="360" w:lineRule="auto"/>
        <w:ind w:left="0" w:leftChars="0" w:firstLine="0" w:firstLineChars="0"/>
        <w:rPr>
          <w:rFonts w:hint="eastAsia" w:cs="Times New Roman"/>
          <w:b/>
          <w:color w:val="000000"/>
          <w:sz w:val="28"/>
          <w:szCs w:val="28"/>
          <w:lang w:val="en-US" w:eastAsia="zh-CN"/>
        </w:rPr>
      </w:pPr>
    </w:p>
    <w:p>
      <w:pPr>
        <w:pStyle w:val="9"/>
        <w:spacing w:line="360" w:lineRule="auto"/>
        <w:ind w:left="0" w:leftChars="0" w:firstLine="0" w:firstLineChars="0"/>
        <w:rPr>
          <w:rFonts w:hint="default" w:ascii="Times New Roman" w:hAnsi="Times New Roman" w:cs="Times New Roman"/>
          <w:b/>
          <w:color w:val="000000"/>
          <w:sz w:val="28"/>
          <w:szCs w:val="28"/>
        </w:rPr>
      </w:pPr>
      <w:r>
        <w:rPr>
          <w:rFonts w:hint="eastAsia" w:cs="Times New Roman"/>
          <w:b/>
          <w:color w:val="000000"/>
          <w:sz w:val="28"/>
          <w:szCs w:val="28"/>
          <w:lang w:val="en-US" w:eastAsia="zh-CN"/>
        </w:rPr>
        <w:t>3</w:t>
      </w:r>
      <w:r>
        <w:rPr>
          <w:rFonts w:hint="default" w:ascii="Times New Roman" w:hAnsi="Times New Roman" w:cs="Times New Roman"/>
          <w:b/>
          <w:color w:val="000000"/>
          <w:sz w:val="28"/>
          <w:szCs w:val="28"/>
        </w:rPr>
        <w:t xml:space="preserve">. </w:t>
      </w:r>
      <w:r>
        <w:rPr>
          <w:rFonts w:ascii="Times New Roman" w:hAnsi="Times New Roman" w:eastAsia="Shaker2Lancet-Bold" w:cs="Times New Roman"/>
          <w:b/>
          <w:bCs/>
          <w:color w:val="000000"/>
          <w:kern w:val="0"/>
          <w:sz w:val="24"/>
          <w:lang w:bidi="ar"/>
        </w:rPr>
        <w:t xml:space="preserve">Study flow chart </w:t>
      </w:r>
    </w:p>
    <w:p/>
    <w:p>
      <w:pPr>
        <w:spacing w:line="360" w:lineRule="auto"/>
        <w:jc w:val="left"/>
        <w:rPr>
          <w:rFonts w:ascii="宋体" w:hAnsi="宋体"/>
          <w:color w:val="000000"/>
        </w:rPr>
      </w:pPr>
      <w:r>
        <w:rPr>
          <w:rFonts w:ascii="宋体" w:hAnsi="宋体"/>
          <w:color w:val="000000"/>
          <w:szCs w:val="24"/>
        </w:rPr>
        <w:pict>
          <v:shape id="文本框 21" o:spid="_x0000_s1026" o:spt="202" type="#_x0000_t202" style="position:absolute;left:0pt;margin-left:36.25pt;margin-top:14.5pt;height:41.55pt;width:384pt;z-index:251660288;mso-width-relative:page;mso-height-relative:page;" fillcolor="#FFFFFF" filled="t" stroked="t" coordsize="21600,21600" o:gfxdata="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7TpZPtgAAAAJAQAADwAAAAAAAAABACAAAAAi&#10;AAAAZHJzL2Rvd25yZXYueG1sUEsBAhQAFAAAAAgAh07iQEMJ8RwKAgAANwQAAA4AAAAAAAAAAQAg&#10;AAAAJwEAAGRycy9lMm9Eb2MueG1sUEsFBgAAAAAGAAYAWQEAAKMFAAAAAA==&#10;">
            <v:path/>
            <v:fill on="t" focussize="0,0"/>
            <v:stroke color="#000000" joinstyle="miter"/>
            <v:imagedata o:title=""/>
            <o:lock v:ext="edit" aspectratio="f"/>
            <v:textbox>
              <w:txbxContent>
                <w:p>
                  <w:pPr>
                    <w:ind w:left="735" w:hanging="738" w:hangingChars="350"/>
                    <w:jc w:val="center"/>
                    <w:rPr>
                      <w:rFonts w:hint="eastAsia"/>
                    </w:rPr>
                  </w:pPr>
                  <w:r>
                    <w:rPr>
                      <w:rFonts w:hint="eastAsia"/>
                      <w:b/>
                      <w:lang w:val="en-US" w:eastAsia="zh-CN"/>
                    </w:rPr>
                    <w:t>Primary any stage III, IVa patients (AJCC Stage 8)</w:t>
                  </w:r>
                </w:p>
                <w:p>
                  <w:pPr>
                    <w:ind w:left="735" w:hanging="735" w:hangingChars="350"/>
                    <w:jc w:val="center"/>
                  </w:pPr>
                  <w:r>
                    <w:rPr>
                      <w:rFonts w:hint="eastAsia"/>
                    </w:rPr>
                    <w:t>The pathology was of type WHO II and III</w:t>
                  </w:r>
                </w:p>
              </w:txbxContent>
            </v:textbox>
          </v:shape>
        </w:pict>
      </w:r>
    </w:p>
    <w:p>
      <w:pPr>
        <w:spacing w:line="360" w:lineRule="auto"/>
        <w:rPr>
          <w:rFonts w:ascii="宋体" w:hAnsi="宋体"/>
          <w:color w:val="000000"/>
        </w:rPr>
      </w:pPr>
    </w:p>
    <w:p>
      <w:pPr>
        <w:spacing w:line="360" w:lineRule="auto"/>
        <w:rPr>
          <w:rFonts w:ascii="宋体" w:hAnsi="宋体"/>
          <w:color w:val="000000"/>
        </w:rPr>
      </w:pPr>
      <w:r>
        <w:rPr>
          <w:rFonts w:ascii="宋体" w:hAnsi="宋体"/>
          <w:color w:val="000000"/>
        </w:rPr>
        <w:pict>
          <v:line id="直线 22" o:spid="_x0000_s1027" o:spt="20" style="position:absolute;left:0pt;margin-left:199.25pt;margin-top:14.65pt;height:12.25pt;width:0.05pt;z-index:251661312;mso-width-relative:page;mso-height-relative:page;" filled="f" stroked="t" coordsize="21600,21600" o:gfxdata="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AZ/M9gAAAAJAQAADwAAAAAAAAABACAAAAAiAAAAZHJzL2Rvd25yZXYueG1sUEsBAhQAFAAAAAgA&#10;h07iQDQU/KjsAQAA3wMAAA4AAAAAAAAAAQAgAAAAJwEAAGRycy9lMm9Eb2MueG1sUEsFBgAAAAAG&#10;AAYAWQEAAIUFAAAAAA==&#10;">
            <v:path arrowok="t"/>
            <v:fill on="f" focussize="0,0"/>
            <v:stroke color="#000000" joinstyle="round" endarrow="block"/>
            <v:imagedata o:title=""/>
            <o:lock v:ext="edit" aspectratio="f"/>
          </v:line>
        </w:pict>
      </w:r>
    </w:p>
    <w:p>
      <w:pPr>
        <w:spacing w:line="360" w:lineRule="auto"/>
        <w:rPr>
          <w:rFonts w:ascii="宋体" w:hAnsi="宋体"/>
          <w:color w:val="000000"/>
        </w:rPr>
      </w:pPr>
      <w:r>
        <w:rPr>
          <w:rFonts w:ascii="宋体" w:hAnsi="宋体"/>
          <w:color w:val="000000"/>
        </w:rPr>
        <w:pict>
          <v:shape id="文本框 23" o:spid="_x0000_s1028" o:spt="202" type="#_x0000_t202" style="position:absolute;left:0pt;margin-left:112.95pt;margin-top:7.85pt;height:39.9pt;width:177.1pt;z-index:251662336;mso-width-relative:page;mso-height-relative:page;" fillcolor="#FFFFFF" filled="t" stroked="t" coordsize="21600,21600" o:gfxdata="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GLNYw2AAAAAoBAAAPAAAAAAAAAAEAIAAA&#10;ACIAAABkcnMvZG93bnJldi54bWxQSwECFAAUAAAACACHTuJAh+ujvQwCAAA3BAAADgAAAAAAAAAB&#10;ACAAAAAnAQAAZHJzL2Uyb0RvYy54bWxQSwUGAAAAAAYABgBZAQAApQUAAAAA&#10;">
            <v:path/>
            <v:fill on="t" color2="#FFFFFF" focussize="0,0"/>
            <v:stroke color="#000000" joinstyle="miter"/>
            <v:imagedata o:title=""/>
            <o:lock v:ext="edit" aspectratio="f"/>
            <v:textbox>
              <w:txbxContent>
                <w:p>
                  <w:pPr>
                    <w:jc w:val="center"/>
                    <w:rPr>
                      <w:rFonts w:hint="eastAsia"/>
                    </w:rPr>
                  </w:pPr>
                  <w:bookmarkStart w:id="35" w:name="OLE_LINK8"/>
                  <w:r>
                    <w:rPr>
                      <w:rFonts w:hint="eastAsia"/>
                    </w:rPr>
                    <w:t>Registration,screening</w:t>
                  </w:r>
                </w:p>
                <w:p>
                  <w:pPr>
                    <w:ind w:firstLine="210" w:firstLineChars="100"/>
                    <w:jc w:val="center"/>
                  </w:pPr>
                  <w:r>
                    <w:rPr>
                      <w:rFonts w:hint="eastAsia"/>
                      <w:lang w:val="en-US" w:eastAsia="zh-CN"/>
                    </w:rPr>
                    <w:t>s</w:t>
                  </w:r>
                  <w:r>
                    <w:rPr>
                      <w:rFonts w:hint="eastAsia"/>
                    </w:rPr>
                    <w:t>igned</w:t>
                  </w:r>
                  <w:r>
                    <w:rPr>
                      <w:rFonts w:hint="eastAsia"/>
                      <w:lang w:val="en-US" w:eastAsia="zh-CN"/>
                    </w:rPr>
                    <w:t xml:space="preserve"> the </w:t>
                  </w:r>
                  <w:r>
                    <w:rPr>
                      <w:rFonts w:hint="eastAsia"/>
                    </w:rPr>
                    <w:t>consent</w:t>
                  </w:r>
                  <w:bookmarkEnd w:id="35"/>
                </w:p>
                <w:p/>
              </w:txbxContent>
            </v:textbox>
          </v:shape>
        </w:pict>
      </w:r>
    </w:p>
    <w:p>
      <w:pPr>
        <w:spacing w:line="360" w:lineRule="auto"/>
        <w:rPr>
          <w:rFonts w:ascii="宋体" w:hAnsi="宋体"/>
          <w:color w:val="000000"/>
        </w:rPr>
      </w:pPr>
    </w:p>
    <w:p>
      <w:pPr>
        <w:spacing w:line="360" w:lineRule="auto"/>
        <w:rPr>
          <w:rFonts w:ascii="宋体" w:hAnsi="宋体"/>
          <w:color w:val="000000"/>
        </w:rPr>
      </w:pPr>
      <w:r>
        <w:rPr>
          <w:rFonts w:ascii="宋体" w:hAnsi="宋体"/>
          <w:color w:val="000000"/>
        </w:rPr>
        <w:pict>
          <v:line id="直线 24" o:spid="_x0000_s1029" o:spt="20" style="position:absolute;left:0pt;margin-left:199.45pt;margin-top:7.05pt;height:20.2pt;width:0.05pt;z-index:251663360;mso-width-relative:page;mso-height-relative:page;" filled="f" stroked="t" coordsize="21600,21600" o:gfxdata="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Dt/WrNgAAAAJAQAADwAAAAAAAAABACAAAAAiAAAAZHJzL2Rvd25yZXYueG1sUEsBAhQAFAAAAAgA&#10;h07iQBZ7qcPsAQAA3wMAAA4AAAAAAAAAAQAgAAAAJwEAAGRycy9lMm9Eb2MueG1sUEsFBgAAAAAG&#10;AAYAWQEAAIUFAAAAAA==&#10;">
            <v:path arrowok="t"/>
            <v:fill on="f" focussize="0,0"/>
            <v:stroke color="#000000" joinstyle="round" endarrow="block"/>
            <v:imagedata o:title=""/>
            <o:lock v:ext="edit" aspectratio="f"/>
          </v:line>
        </w:pict>
      </w:r>
    </w:p>
    <w:p>
      <w:pPr>
        <w:spacing w:line="360" w:lineRule="auto"/>
        <w:rPr>
          <w:rFonts w:ascii="宋体" w:hAnsi="宋体"/>
          <w:color w:val="000000"/>
        </w:rPr>
      </w:pPr>
      <w:r>
        <w:rPr>
          <w:rFonts w:ascii="宋体" w:hAnsi="宋体"/>
          <w:color w:val="000000"/>
        </w:rPr>
        <w:pict>
          <v:shape id="文本框 25" o:spid="_x0000_s1030" o:spt="202" type="#_x0000_t202" style="position:absolute;left:0pt;margin-left:142.85pt;margin-top:7.25pt;height:24.95pt;width:111.45pt;z-index:251664384;mso-width-relative:page;mso-height-relative:page;" fillcolor="#FFFFFF" filled="t" stroked="t" coordsize="21600,21600" o:gfxdata="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AikRdkAAAAJAQAADwAAAAAAAAABACAA&#10;AAAiAAAAZHJzL2Rvd25yZXYueG1sUEsBAhQAFAAAAAgAh07iQBSmnv8MAgAANwQAAA4AAAAAAAAA&#10;AQAgAAAAKAEAAGRycy9lMm9Eb2MueG1sUEsFBgAAAAAGAAYAWQEAAKYFAAAAAA==&#10;">
            <v:path/>
            <v:fill on="t" focussize="0,0"/>
            <v:stroke color="#000000" joinstyle="miter"/>
            <v:imagedata o:title=""/>
            <o:lock v:ext="edit" aspectratio="f"/>
            <v:textbox>
              <w:txbxContent>
                <w:p>
                  <w:pPr>
                    <w:jc w:val="center"/>
                  </w:pPr>
                  <w:r>
                    <w:rPr>
                      <w:rFonts w:hint="eastAsia"/>
                    </w:rPr>
                    <w:t>randomization</w:t>
                  </w:r>
                </w:p>
              </w:txbxContent>
            </v:textbox>
          </v:shape>
        </w:pict>
      </w:r>
    </w:p>
    <w:p>
      <w:pPr>
        <w:spacing w:line="360" w:lineRule="auto"/>
        <w:rPr>
          <w:rFonts w:ascii="宋体" w:hAnsi="宋体"/>
          <w:color w:val="000000"/>
        </w:rPr>
      </w:pPr>
      <w:r>
        <w:rPr>
          <w:rFonts w:ascii="宋体" w:hAnsi="宋体"/>
          <w:color w:val="000000"/>
        </w:rPr>
        <w:pict>
          <v:line id="直线 27" o:spid="_x0000_s1031" o:spt="20" style="position:absolute;left:0pt;margin-left:211.4pt;margin-top:12.95pt;height:28.55pt;width:34.5pt;z-index:251666432;mso-width-relative:page;mso-height-relative:page;" filled="f" stroked="t" coordsize="21600,21600" o:gfxdata="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3D2BQNgAAAAJAQAADwAAAAAAAAABACAAAAAiAAAAZHJzL2Rvd25yZXYueG1sUEsBAhQAFAAAAAgA&#10;h07iQJ4O5R7sAQAA4AMAAA4AAAAAAAAAAQAgAAAAJwEAAGRycy9lMm9Eb2MueG1sUEsFBgAAAAAG&#10;AAYAWQEAAIUFAAAAAA==&#10;">
            <v:path arrowok="t"/>
            <v:fill on="f" focussize="0,0"/>
            <v:stroke color="#000000" joinstyle="round"/>
            <v:imagedata o:title=""/>
            <o:lock v:ext="edit" aspectratio="f"/>
          </v:line>
        </w:pict>
      </w:r>
      <w:r>
        <w:rPr>
          <w:rFonts w:ascii="宋体" w:hAnsi="宋体"/>
          <w:color w:val="000000"/>
        </w:rPr>
        <w:pict>
          <v:line id="直线 26" o:spid="_x0000_s1032" o:spt="20" style="position:absolute;left:0pt;flip:x;margin-left:154.85pt;margin-top:13.25pt;height:29.25pt;width:25.65pt;z-index:251665408;mso-width-relative:page;mso-height-relative:page;" filled="f" stroked="t" coordsize="21600,21600" o:gfxdata="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W5FFI2AAAAAkBAAAPAAAAAAAAAAEAIAAAACIAAABkcnMvZG93bnJldi54bWxQSwEC&#10;FAAUAAAACACHTuJAZaNe7/QBAADqAwAADgAAAAAAAAABACAAAAAnAQAAZHJzL2Uyb0RvYy54bWxQ&#10;SwUGAAAAAAYABgBZAQAAjQUAAAAA&#10;">
            <v:path arrowok="t"/>
            <v:fill on="f" focussize="0,0"/>
            <v:stroke color="#000000" joinstyle="round"/>
            <v:imagedata o:title=""/>
            <o:lock v:ext="edit" aspectratio="f"/>
          </v:line>
        </w:pict>
      </w:r>
    </w:p>
    <w:p>
      <w:pPr>
        <w:spacing w:line="360" w:lineRule="auto"/>
        <w:rPr>
          <w:rFonts w:ascii="宋体" w:hAnsi="宋体"/>
          <w:color w:val="000000"/>
        </w:rPr>
      </w:pPr>
    </w:p>
    <w:p>
      <w:pPr>
        <w:spacing w:line="360" w:lineRule="auto"/>
        <w:rPr>
          <w:rFonts w:ascii="宋体" w:hAnsi="宋体"/>
          <w:color w:val="000000"/>
        </w:rPr>
      </w:pPr>
      <w:r>
        <w:rPr>
          <w:rFonts w:ascii="宋体" w:hAnsi="宋体"/>
          <w:color w:val="000000"/>
        </w:rPr>
        <w:pict>
          <v:shape id="文本框 28" o:spid="_x0000_s1034" o:spt="202" type="#_x0000_t202" style="position:absolute;left:0pt;margin-left:41.35pt;margin-top:3.4pt;height:71.15pt;width:149.15pt;z-index:251667456;mso-width-relative:page;mso-height-relative:page;" fillcolor="#FFFFFF" filled="t" stroked="t" coordsize="21600,21600" o:gfxdata="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3b5ejWAAAACQEAAA8AAAAAAAAAAQAgAAAA&#10;IgAAAGRycy9kb3ducmV2LnhtbFBLAQIUABQAAAAIAIdO4kAnVwmqDQIAADgEAAAOAAAAAAAAAAEA&#10;IAAAACUBAABkcnMvZTJvRG9jLnhtbFBLBQYAAAAABgAGAFkBAACkBQAAAAA=&#10;">
            <v:path/>
            <v:fill on="t" color2="#FFFFFF" focussize="0,0"/>
            <v:stroke color="#000000" joinstyle="miter"/>
            <v:imagedata o:title=""/>
            <o:lock v:ext="edit" aspectratio="f"/>
            <v:textbox>
              <w:txbxContent>
                <w:p>
                  <w:pPr>
                    <w:jc w:val="center"/>
                  </w:pPr>
                  <w:r>
                    <w:rPr>
                      <w:rFonts w:hint="eastAsia"/>
                      <w:lang w:val="en-US" w:eastAsia="zh-CN"/>
                    </w:rPr>
                    <w:t>AC group (133 cases)</w:t>
                  </w:r>
                </w:p>
                <w:p>
                  <w:pPr>
                    <w:jc w:val="both"/>
                    <w:rPr>
                      <w:rFonts w:hint="eastAsia"/>
                    </w:rPr>
                  </w:pPr>
                  <w:r>
                    <w:rPr>
                      <w:rFonts w:hint="eastAsia"/>
                    </w:rPr>
                    <w:t xml:space="preserve">Three </w:t>
                  </w:r>
                  <w:r>
                    <w:rPr>
                      <w:rFonts w:hint="eastAsia"/>
                      <w:lang w:val="en-US" w:eastAsia="zh-CN"/>
                    </w:rPr>
                    <w:t xml:space="preserve">cycle </w:t>
                  </w:r>
                  <w:r>
                    <w:rPr>
                      <w:rFonts w:hint="eastAsia"/>
                    </w:rPr>
                    <w:t>of DDP with concurrent chemoradiotherapy</w:t>
                  </w:r>
                </w:p>
                <w:p>
                  <w:pPr>
                    <w:ind w:left="315" w:leftChars="150"/>
                    <w:jc w:val="center"/>
                  </w:pPr>
                  <w:r>
                    <w:rPr>
                      <w:rFonts w:hint="eastAsia"/>
                      <w:lang w:val="en-US" w:eastAsia="zh-CN"/>
                    </w:rPr>
                    <w:t>Three cycle of adjuvant chemotherapy for PF</w:t>
                  </w:r>
                </w:p>
                <w:p>
                  <w:pPr>
                    <w:ind w:left="315" w:leftChars="150"/>
                    <w:jc w:val="center"/>
                    <w:rPr>
                      <w:rFonts w:hint="eastAsia"/>
                    </w:rPr>
                  </w:pPr>
                </w:p>
              </w:txbxContent>
            </v:textbox>
          </v:shape>
        </w:pict>
      </w:r>
      <w:r>
        <w:rPr>
          <w:rFonts w:ascii="宋体" w:hAnsi="宋体"/>
          <w:color w:val="000000"/>
        </w:rPr>
        <w:pict>
          <v:shape id="文本框 29" o:spid="_x0000_s1033" o:spt="202" type="#_x0000_t202" style="position:absolute;left:0pt;margin-left:217.5pt;margin-top:3.4pt;height:70.05pt;width:156.55pt;z-index:251668480;mso-width-relative:page;mso-height-relative:page;" fillcolor="#FFFFFF" filled="t" stroked="t" coordsize="21600,21600" o:gfxdata="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SAU/NgAAAAJAQAADwAAAAAAAAABACAA&#10;AAAiAAAAZHJzL2Rvd25yZXYueG1sUEsBAhQAFAAAAAgAh07iQCt6Ue4NAgAAOAQAAA4AAAAAAAAA&#10;AQAgAAAAJwEAAGRycy9lMm9Eb2MueG1sUEsFBgAAAAAGAAYAWQEAAKYFAAAAAA==&#10;">
            <v:path/>
            <v:fill on="t" color2="#FFFFFF" focussize="0,0"/>
            <v:stroke color="#000000" joinstyle="miter"/>
            <v:imagedata o:title=""/>
            <o:lock v:ext="edit" aspectratio="f"/>
            <v:textbox>
              <w:txbxContent>
                <w:p>
                  <w:pPr>
                    <w:jc w:val="center"/>
                  </w:pPr>
                  <w:r>
                    <w:rPr>
                      <w:rFonts w:hint="eastAsia"/>
                      <w:lang w:val="en-US" w:eastAsia="zh-CN"/>
                    </w:rPr>
                    <w:t>IC group (133 cases)</w:t>
                  </w:r>
                </w:p>
                <w:p>
                  <w:pPr>
                    <w:jc w:val="center"/>
                  </w:pPr>
                  <w:r>
                    <w:rPr>
                      <w:rFonts w:hint="eastAsia"/>
                      <w:lang w:val="en-US" w:eastAsia="zh-CN"/>
                    </w:rPr>
                    <w:t>Three cycle of TPF induction chemotherapy were combined</w:t>
                  </w:r>
                </w:p>
                <w:p>
                  <w:pPr>
                    <w:jc w:val="center"/>
                  </w:pPr>
                  <w:r>
                    <w:rPr>
                      <w:rFonts w:hint="eastAsia"/>
                    </w:rPr>
                    <w:t xml:space="preserve">Three </w:t>
                  </w:r>
                  <w:r>
                    <w:rPr>
                      <w:rFonts w:hint="eastAsia"/>
                      <w:lang w:val="en-US" w:eastAsia="zh-CN"/>
                    </w:rPr>
                    <w:t>cycle</w:t>
                  </w:r>
                  <w:r>
                    <w:rPr>
                      <w:rFonts w:hint="eastAsia"/>
                    </w:rPr>
                    <w:t xml:space="preserve"> of DDP with concurrent chemoradiotherapy</w:t>
                  </w:r>
                </w:p>
              </w:txbxContent>
            </v:textbox>
          </v:shape>
        </w:pict>
      </w:r>
    </w:p>
    <w:p>
      <w:pPr>
        <w:spacing w:line="360" w:lineRule="auto"/>
        <w:rPr>
          <w:rFonts w:ascii="宋体" w:hAnsi="宋体"/>
          <w:color w:val="000000"/>
        </w:rPr>
      </w:pPr>
    </w:p>
    <w:p>
      <w:pPr>
        <w:spacing w:line="360" w:lineRule="auto"/>
        <w:rPr>
          <w:rFonts w:ascii="宋体" w:hAnsi="宋体"/>
          <w:color w:val="000000"/>
        </w:rPr>
      </w:pPr>
      <w:r>
        <w:rPr>
          <w:rFonts w:ascii="宋体" w:hAnsi="宋体"/>
          <w:color w:val="000000"/>
        </w:rPr>
        <w:pict>
          <v:line id="直线 30" o:spid="_x0000_s1035" o:spt="20" style="position:absolute;left:0pt;margin-left:110.15pt;margin-top:16.95pt;height:46.15pt;width:52.15pt;z-index:251669504;mso-width-relative:page;mso-height-relative:page;" filled="f" stroked="t" coordsize="21600,21600" o:gfxdata="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8MOc8dcAAAAKAQAADwAAAAAAAAABACAAAAAiAAAAZHJzL2Rvd25yZXYueG1sUEsBAhQAFAAAAAgA&#10;h07iQPhFUBDtAQAA4QMAAA4AAAAAAAAAAQAgAAAAJgEAAGRycy9lMm9Eb2MueG1sUEsFBgAAAAAG&#10;AAYAWQEAAIUFAAAAAA==&#10;">
            <v:path arrowok="t"/>
            <v:fill on="f" focussize="0,0"/>
            <v:stroke color="#000000" joinstyle="round"/>
            <v:imagedata o:title=""/>
            <o:lock v:ext="edit" aspectratio="f"/>
          </v:line>
        </w:pict>
      </w:r>
      <w:r>
        <w:rPr>
          <w:rFonts w:ascii="宋体" w:hAnsi="宋体"/>
          <w:color w:val="000000"/>
        </w:rPr>
        <w:pict>
          <v:line id="直线 31" o:spid="_x0000_s1036" o:spt="20" style="position:absolute;left:0pt;flip:x;margin-left:236.6pt;margin-top:15.9pt;height:47.2pt;width:69.45pt;z-index:251670528;mso-width-relative:page;mso-height-relative:page;" filled="f" stroked="t" coordsize="21600,21600" o:gfxdata="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KWVDF1wAAAAoBAAAPAAAAAAAAAAEAIAAAACIAAABkcnMvZG93bnJldi54bWxQSwEC&#10;FAAUAAAACACHTuJABHBggfUBAADrAwAADgAAAAAAAAABACAAAAAmAQAAZHJzL2Uyb0RvYy54bWxQ&#10;SwUGAAAAAAYABgBZAQAAjQUAAAAA&#10;">
            <v:path arrowok="t"/>
            <v:fill on="f" focussize="0,0"/>
            <v:stroke color="#000000" joinstyle="round"/>
            <v:imagedata o:title=""/>
            <o:lock v:ext="edit" aspectratio="f"/>
          </v:line>
        </w:pict>
      </w:r>
    </w:p>
    <w:p>
      <w:pPr>
        <w:spacing w:line="360" w:lineRule="auto"/>
        <w:rPr>
          <w:rFonts w:ascii="宋体" w:hAnsi="宋体"/>
          <w:color w:val="000000"/>
        </w:rPr>
      </w:pPr>
    </w:p>
    <w:p>
      <w:pPr>
        <w:spacing w:line="360" w:lineRule="auto"/>
        <w:rPr>
          <w:rFonts w:ascii="宋体" w:hAnsi="宋体"/>
          <w:color w:val="000000"/>
        </w:rPr>
      </w:pPr>
      <w:r>
        <w:rPr>
          <w:rFonts w:ascii="宋体" w:hAnsi="宋体"/>
          <w:color w:val="000000"/>
        </w:rPr>
        <w:pict>
          <v:shape id="文本框 32" o:spid="_x0000_s1037" o:spt="202" type="#_x0000_t202" style="position:absolute;left:0pt;margin-left:98.45pt;margin-top:17.65pt;height:42.2pt;width:213.65pt;z-index:251671552;mso-width-relative:page;mso-height-relative:page;" fillcolor="#FFFFFF" filled="t" stroked="t" coordsize="21600,21600" o:gfxdata="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Xmp17XAAAACQEAAA8AAAAAAAAAAQAgAAAA&#10;IgAAAGRycy9kb3ducmV2LnhtbFBLAQIUABQAAAAIAIdO4kDBfX3VDAIAADgEAAAOAAAAAAAAAAEA&#10;IAAAACYBAABkcnMvZTJvRG9jLnhtbFBLBQYAAAAABgAGAFkBAACkBQAAAAA=&#10;">
            <v:path/>
            <v:fill on="t" color2="#FFFFFF" focussize="0,0"/>
            <v:stroke color="#000000" joinstyle="miter"/>
            <v:imagedata o:title=""/>
            <o:lock v:ext="edit" aspectratio="f"/>
            <v:textbox>
              <w:txbxContent>
                <w:p>
                  <w:r>
                    <w:rPr>
                      <w:rFonts w:hint="eastAsia"/>
                    </w:rPr>
                    <w:t>Evaluation of efficacy, immune function, and acute toxic response</w:t>
                  </w:r>
                </w:p>
              </w:txbxContent>
            </v:textbox>
          </v:shape>
        </w:pict>
      </w:r>
    </w:p>
    <w:p>
      <w:pPr>
        <w:spacing w:line="360" w:lineRule="auto"/>
        <w:rPr>
          <w:rFonts w:ascii="宋体" w:hAnsi="宋体"/>
          <w:color w:val="000000"/>
        </w:rPr>
      </w:pPr>
    </w:p>
    <w:p>
      <w:pPr>
        <w:spacing w:line="360" w:lineRule="auto"/>
        <w:rPr>
          <w:rFonts w:ascii="宋体" w:hAnsi="宋体"/>
          <w:b/>
          <w:color w:val="000000"/>
        </w:rPr>
      </w:pPr>
      <w:r>
        <w:rPr>
          <w:rFonts w:ascii="宋体" w:hAnsi="宋体"/>
          <w:color w:val="000000"/>
        </w:rPr>
        <w:pict>
          <v:line id="直线 33" o:spid="_x0000_s1038" o:spt="20" style="position:absolute;left:0pt;margin-left:205.45pt;margin-top:11.45pt;height:27.9pt;width:0.05pt;z-index:251672576;mso-width-relative:page;mso-height-relative:page;" filled="f" stroked="t" coordsize="21600,21600" o:gfxdata="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YGZEbZAAAACQEAAA8AAAAAAAAAAQAgAAAAIgAAAGRycy9kb3ducmV2LnhtbFBLAQIUABQAAAAI&#10;AIdO4kB/78Rl7AEAAOADAAAOAAAAAAAAAAEAIAAAACgBAABkcnMvZTJvRG9jLnhtbFBLBQYAAAAA&#10;BgAGAFkBAACGBQAAAAA=&#10;">
            <v:path arrowok="t"/>
            <v:fill on="f" focussize="0,0"/>
            <v:stroke color="#000000" joinstyle="round" endarrow="block"/>
            <v:imagedata o:title=""/>
            <o:lock v:ext="edit" aspectratio="f"/>
          </v:line>
        </w:pict>
      </w:r>
    </w:p>
    <w:p>
      <w:pPr>
        <w:spacing w:line="360" w:lineRule="auto"/>
        <w:rPr>
          <w:rFonts w:ascii="宋体" w:hAnsi="宋体"/>
          <w:b/>
          <w:color w:val="000000"/>
        </w:rPr>
      </w:pPr>
      <w:r>
        <w:rPr>
          <w:rFonts w:ascii="宋体" w:hAnsi="宋体"/>
          <w:color w:val="000000"/>
        </w:rPr>
        <w:pict>
          <v:shape id="文本框 34" o:spid="_x0000_s1039" o:spt="202" type="#_x0000_t202" style="position:absolute;left:0pt;margin-left:99.9pt;margin-top:18.25pt;height:34.2pt;width:213.65pt;z-index:251673600;mso-width-relative:page;mso-height-relative:page;" fillcolor="#FFFFFF" filled="t" stroked="t" coordsize="21600,21600" o:gfxdata="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TSF3R1gAAAAkBAAAPAAAAAAAAAAEAIAAA&#10;ACIAAABkcnMvZG93bnJldi54bWxQSwECFAAUAAAACACHTuJAW37Bdw4CAAA4BAAADgAAAAAAAAAB&#10;ACAAAAAlAQAAZHJzL2Uyb0RvYy54bWxQSwUGAAAAAAYABgBZAQAApQUAAAAA&#10;">
            <v:path/>
            <v:fill on="t" color2="#FFFFFF" focussize="0,0"/>
            <v:stroke color="#000000" joinstyle="miter"/>
            <v:imagedata o:title=""/>
            <o:lock v:ext="edit" aspectratio="f"/>
            <v:textbox>
              <w:txbxContent>
                <w:p>
                  <w:r>
                    <w:rPr>
                      <w:rFonts w:hint="eastAsia"/>
                    </w:rPr>
                    <w:t>Follow-up, long-term efficacy, and long-term toxic response evaluation</w:t>
                  </w:r>
                </w:p>
              </w:txbxContent>
            </v:textbox>
          </v:shape>
        </w:pict>
      </w:r>
    </w:p>
    <w:p>
      <w:pPr>
        <w:spacing w:line="360" w:lineRule="auto"/>
        <w:rPr>
          <w:rFonts w:ascii="宋体" w:hAnsi="宋体"/>
          <w:b/>
          <w:color w:val="000000"/>
        </w:rPr>
      </w:pPr>
    </w:p>
    <w:p>
      <w:pPr>
        <w:spacing w:line="360" w:lineRule="auto"/>
        <w:rPr>
          <w:rFonts w:ascii="宋体" w:hAnsi="宋体"/>
          <w:b/>
          <w:color w:val="000000"/>
        </w:rPr>
      </w:pPr>
      <w:r>
        <w:rPr>
          <w:rFonts w:ascii="宋体" w:hAnsi="宋体"/>
          <w:b/>
          <w:color w:val="000000"/>
        </w:rPr>
        <w:pict>
          <v:line id="直线 35" o:spid="_x0000_s1040" o:spt="20" style="position:absolute;left:0pt;margin-left:205.8pt;margin-top:4.25pt;height:27.85pt;width:0.05pt;z-index:251674624;mso-width-relative:page;mso-height-relative:page;" filled="f" stroked="t" coordsize="21600,21600" o:gfxdata="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uYVx21wAAAAkBAAAPAAAAAAAAAAEAIAAAACIAAABkcnMvZG93bnJldi54bWxQSwECFAAUAAAA&#10;CACHTuJAzTymJu8BAADgAwAADgAAAAAAAAABACAAAAAmAQAAZHJzL2Uyb0RvYy54bWxQSwUGAAAA&#10;AAYABgBZAQAAhwUAAAAA&#10;">
            <v:path arrowok="t"/>
            <v:fill on="f" focussize="0,0"/>
            <v:stroke color="#000000" joinstyle="round" endarrow="block"/>
            <v:imagedata o:title=""/>
            <o:lock v:ext="edit" aspectratio="f"/>
          </v:line>
        </w:pict>
      </w:r>
    </w:p>
    <w:p>
      <w:pPr>
        <w:spacing w:line="400" w:lineRule="exact"/>
        <w:rPr>
          <w:color w:val="000000"/>
        </w:rPr>
      </w:pPr>
      <w:r>
        <w:rPr>
          <w:rFonts w:ascii="宋体" w:hAnsi="宋体"/>
          <w:b/>
          <w:color w:val="000000"/>
        </w:rPr>
        <w:pict>
          <v:shape id="文本框 36" o:spid="_x0000_s1041" o:spt="202" type="#_x0000_t202" style="position:absolute;left:0pt;margin-left:97.3pt;margin-top:6.75pt;height:43.3pt;width:213.65pt;z-index:251675648;mso-width-relative:page;mso-height-relative:page;" fillcolor="#FFFFFF" filled="t" stroked="t" coordsize="21600,21600" o:gfxdata="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EiPyw1gAAAAcBAAAPAAAAAAAAAAEAIAAAACIA&#10;AABkcnMvZG93bnJldi54bWxQSwECFAAUAAAACACHTuJA6pW6hgsCAAA4BAAADgAAAAAAAAABACAA&#10;AAAlAQAAZHJzL2Uyb0RvYy54bWxQSwUGAAAAAAYABgBZAQAAogUAAAAA&#10;">
            <v:path/>
            <v:fill on="t" color2="#FFFFFF" focussize="0,0"/>
            <v:stroke color="#000000" joinstyle="miter"/>
            <v:imagedata o:title=""/>
            <o:lock v:ext="edit" aspectratio="f"/>
            <v:textbox>
              <w:txbxContent>
                <w:p>
                  <w:r>
                    <w:rPr>
                      <w:rFonts w:hint="eastAsia"/>
                    </w:rPr>
                    <w:t>Analyzed, summarized, and published summary reports and articles</w:t>
                  </w:r>
                </w:p>
              </w:txbxContent>
            </v:textbox>
          </v:shape>
        </w:pict>
      </w:r>
    </w:p>
    <w:p>
      <w:pPr>
        <w:spacing w:line="400" w:lineRule="exact"/>
        <w:rPr>
          <w:color w:val="000000"/>
        </w:rPr>
      </w:pPr>
    </w:p>
    <w:p/>
    <w:p>
      <w:pPr>
        <w:pStyle w:val="2"/>
        <w:numPr>
          <w:ilvl w:val="0"/>
          <w:numId w:val="0"/>
        </w:numPr>
        <w:rPr>
          <w:rFonts w:hint="eastAsia" w:ascii="Times New Roman" w:hAnsi="Times New Roman" w:cs="Times New Roman"/>
          <w:sz w:val="28"/>
          <w:szCs w:val="28"/>
          <w:u w:color="FFFFFF"/>
          <w:lang w:val="en-US" w:eastAsia="zh-CN"/>
        </w:rPr>
      </w:pPr>
      <w:bookmarkStart w:id="16" w:name="_Toc297725128"/>
    </w:p>
    <w:p>
      <w:pPr>
        <w:pStyle w:val="2"/>
        <w:numPr>
          <w:ilvl w:val="0"/>
          <w:numId w:val="0"/>
        </w:numPr>
        <w:rPr>
          <w:rFonts w:hint="eastAsia" w:ascii="Times New Roman" w:hAnsi="Times New Roman" w:cs="Times New Roman"/>
          <w:sz w:val="28"/>
          <w:szCs w:val="28"/>
          <w:u w:color="FFFFFF"/>
          <w:lang w:val="en-US" w:eastAsia="zh-CN"/>
        </w:rPr>
      </w:pPr>
    </w:p>
    <w:p>
      <w:pPr>
        <w:pStyle w:val="2"/>
        <w:numPr>
          <w:ilvl w:val="0"/>
          <w:numId w:val="0"/>
        </w:numPr>
        <w:rPr>
          <w:rFonts w:hint="eastAsia" w:ascii="Times New Roman" w:hAnsi="Times New Roman" w:cs="Times New Roman"/>
          <w:sz w:val="28"/>
          <w:szCs w:val="28"/>
          <w:u w:color="FFFFFF"/>
          <w:lang w:val="en-US" w:eastAsia="zh-CN"/>
        </w:rPr>
      </w:pPr>
    </w:p>
    <w:p>
      <w:pPr>
        <w:pStyle w:val="2"/>
        <w:numPr>
          <w:ilvl w:val="0"/>
          <w:numId w:val="0"/>
        </w:numPr>
        <w:rPr>
          <w:rFonts w:hint="default" w:ascii="Times New Roman" w:hAnsi="Times New Roman" w:cs="Times New Roman"/>
          <w:sz w:val="24"/>
          <w:szCs w:val="24"/>
          <w:u w:color="FFFFFF"/>
        </w:rPr>
      </w:pPr>
      <w:r>
        <w:rPr>
          <w:rFonts w:hint="default" w:ascii="Times New Roman" w:hAnsi="Times New Roman" w:cs="Times New Roman"/>
          <w:sz w:val="24"/>
          <w:szCs w:val="24"/>
          <w:u w:color="FFFFFF"/>
          <w:lang w:val="en-US" w:eastAsia="zh-CN"/>
        </w:rPr>
        <w:t>4.</w:t>
      </w:r>
      <w:r>
        <w:rPr>
          <w:rFonts w:hint="default" w:ascii="Times New Roman" w:hAnsi="Times New Roman" w:cs="Times New Roman"/>
          <w:sz w:val="24"/>
          <w:szCs w:val="24"/>
          <w:u w:color="FFFFFF"/>
        </w:rPr>
        <w:t>Study process table</w:t>
      </w:r>
      <w:bookmarkEnd w:id="16"/>
    </w:p>
    <w:tbl>
      <w:tblPr>
        <w:tblStyle w:val="10"/>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0"/>
        <w:gridCol w:w="1039"/>
        <w:gridCol w:w="997"/>
        <w:gridCol w:w="790"/>
        <w:gridCol w:w="577"/>
        <w:gridCol w:w="532"/>
        <w:gridCol w:w="853"/>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Merge w:val="restart"/>
            <w:vAlign w:val="center"/>
          </w:tcPr>
          <w:p>
            <w:pPr>
              <w:widowControl/>
              <w:jc w:val="center"/>
              <w:rPr>
                <w:rFonts w:hint="default" w:ascii="Times New Roman" w:hAnsi="Times New Roman" w:cs="Times New Roman"/>
                <w:kern w:val="0"/>
                <w:sz w:val="24"/>
                <w:szCs w:val="24"/>
                <w:u w:color="FFFFFF"/>
              </w:rPr>
            </w:pPr>
          </w:p>
        </w:tc>
        <w:tc>
          <w:tcPr>
            <w:tcW w:w="1039" w:type="dxa"/>
            <w:vAlign w:val="center"/>
          </w:tcPr>
          <w:p>
            <w:pPr>
              <w:widowControl/>
              <w:spacing w:before="120"/>
              <w:jc w:val="center"/>
              <w:rPr>
                <w:rFonts w:hint="default" w:ascii="Times New Roman" w:hAnsi="Times New Roman" w:cs="Times New Roman"/>
                <w:b/>
                <w:bCs w:val="0"/>
                <w:kern w:val="0"/>
                <w:sz w:val="24"/>
                <w:szCs w:val="24"/>
                <w:u w:color="FFFFFF"/>
              </w:rPr>
            </w:pPr>
            <w:r>
              <w:rPr>
                <w:rFonts w:hint="default" w:ascii="Times New Roman" w:hAnsi="Times New Roman" w:cs="Times New Roman"/>
                <w:b/>
                <w:bCs w:val="0"/>
                <w:kern w:val="0"/>
                <w:sz w:val="24"/>
                <w:szCs w:val="24"/>
                <w:u w:color="FFFFFF"/>
              </w:rPr>
              <w:t>Screening period</w:t>
            </w:r>
          </w:p>
        </w:tc>
        <w:tc>
          <w:tcPr>
            <w:tcW w:w="2896" w:type="dxa"/>
            <w:gridSpan w:val="4"/>
            <w:vAlign w:val="center"/>
          </w:tcPr>
          <w:p>
            <w:pPr>
              <w:widowControl/>
              <w:spacing w:before="120"/>
              <w:jc w:val="center"/>
              <w:rPr>
                <w:rFonts w:hint="default" w:ascii="Times New Roman" w:hAnsi="Times New Roman" w:cs="Times New Roman"/>
                <w:b/>
                <w:bCs w:val="0"/>
                <w:kern w:val="0"/>
                <w:sz w:val="24"/>
                <w:szCs w:val="24"/>
                <w:u w:color="FFFFFF"/>
              </w:rPr>
            </w:pPr>
            <w:r>
              <w:rPr>
                <w:rFonts w:hint="default" w:ascii="Times New Roman" w:hAnsi="Times New Roman" w:cs="Times New Roman"/>
                <w:b/>
                <w:bCs w:val="0"/>
                <w:kern w:val="0"/>
                <w:sz w:val="24"/>
                <w:szCs w:val="24"/>
                <w:u w:color="FFFFFF"/>
              </w:rPr>
              <w:t>In the treatment</w:t>
            </w:r>
          </w:p>
        </w:tc>
        <w:tc>
          <w:tcPr>
            <w:tcW w:w="853" w:type="dxa"/>
            <w:vAlign w:val="center"/>
          </w:tcPr>
          <w:p>
            <w:pPr>
              <w:widowControl/>
              <w:spacing w:before="120"/>
              <w:jc w:val="center"/>
              <w:rPr>
                <w:rFonts w:hint="default" w:ascii="Times New Roman" w:hAnsi="Times New Roman" w:cs="Times New Roman"/>
                <w:b/>
                <w:bCs w:val="0"/>
                <w:kern w:val="0"/>
                <w:sz w:val="24"/>
                <w:szCs w:val="24"/>
                <w:u w:color="FFFFFF"/>
              </w:rPr>
            </w:pPr>
            <w:r>
              <w:rPr>
                <w:rFonts w:hint="default" w:ascii="Times New Roman" w:hAnsi="Times New Roman" w:cs="Times New Roman"/>
                <w:b/>
                <w:bCs w:val="0"/>
                <w:kern w:val="0"/>
                <w:sz w:val="24"/>
                <w:szCs w:val="24"/>
                <w:u w:color="FFFFFF"/>
              </w:rPr>
              <w:t>post-treatment</w:t>
            </w:r>
          </w:p>
        </w:tc>
        <w:tc>
          <w:tcPr>
            <w:tcW w:w="1290" w:type="dxa"/>
            <w:vAlign w:val="center"/>
          </w:tcPr>
          <w:p>
            <w:pPr>
              <w:widowControl/>
              <w:spacing w:before="120"/>
              <w:jc w:val="center"/>
              <w:rPr>
                <w:rFonts w:hint="default" w:ascii="Times New Roman" w:hAnsi="Times New Roman" w:cs="Times New Roman"/>
                <w:b/>
                <w:bCs w:val="0"/>
                <w:kern w:val="0"/>
                <w:sz w:val="24"/>
                <w:szCs w:val="24"/>
                <w:u w:color="FFFFFF"/>
              </w:rPr>
            </w:pPr>
            <w:r>
              <w:rPr>
                <w:rFonts w:hint="default" w:ascii="Times New Roman" w:hAnsi="Times New Roman" w:cs="Times New Roman"/>
                <w:b/>
                <w:bCs w:val="0"/>
                <w:kern w:val="0"/>
                <w:sz w:val="24"/>
                <w:szCs w:val="24"/>
                <w:u w:color="FFFFFF"/>
              </w:rPr>
              <w:t>follow-up period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Merge w:val="continue"/>
            <w:vAlign w:val="center"/>
          </w:tcPr>
          <w:p>
            <w:pPr>
              <w:widowControl/>
              <w:spacing w:before="120"/>
              <w:jc w:val="center"/>
              <w:rPr>
                <w:rFonts w:hint="default" w:ascii="Times New Roman" w:hAnsi="Times New Roman" w:cs="Times New Roman"/>
                <w:kern w:val="0"/>
                <w:sz w:val="24"/>
                <w:szCs w:val="24"/>
                <w:u w:color="FFFFFF"/>
              </w:rPr>
            </w:pPr>
          </w:p>
        </w:tc>
        <w:tc>
          <w:tcPr>
            <w:tcW w:w="1039" w:type="dxa"/>
            <w:vAlign w:val="center"/>
          </w:tcPr>
          <w:p>
            <w:pPr>
              <w:widowControl/>
              <w:spacing w:before="120"/>
              <w:jc w:val="center"/>
              <w:rPr>
                <w:rFonts w:hint="default" w:ascii="Times New Roman" w:hAnsi="Times New Roman" w:cs="Times New Roman"/>
                <w:b/>
                <w:bCs w:val="0"/>
                <w:kern w:val="0"/>
                <w:sz w:val="24"/>
                <w:szCs w:val="24"/>
                <w:u w:color="FFFFFF"/>
              </w:rPr>
            </w:pPr>
            <w:r>
              <w:rPr>
                <w:rFonts w:hint="default" w:ascii="Times New Roman" w:hAnsi="Times New Roman" w:cs="Times New Roman"/>
                <w:b/>
                <w:bCs w:val="0"/>
                <w:kern w:val="0"/>
                <w:sz w:val="24"/>
                <w:szCs w:val="24"/>
                <w:u w:color="FFFFFF"/>
              </w:rPr>
              <w:t>From 0 to 14 days prior to the treatment</w:t>
            </w:r>
          </w:p>
        </w:tc>
        <w:tc>
          <w:tcPr>
            <w:tcW w:w="997" w:type="dxa"/>
            <w:vAlign w:val="center"/>
          </w:tcPr>
          <w:p>
            <w:pPr>
              <w:widowControl/>
              <w:spacing w:before="120"/>
              <w:jc w:val="left"/>
              <w:rPr>
                <w:rFonts w:hint="default" w:ascii="Times New Roman" w:hAnsi="Times New Roman" w:cs="Times New Roman"/>
                <w:b/>
                <w:bCs w:val="0"/>
                <w:kern w:val="0"/>
                <w:sz w:val="24"/>
                <w:szCs w:val="24"/>
                <w:u w:color="FFFFFF"/>
                <w:lang w:val="en-US" w:eastAsia="zh-CN"/>
              </w:rPr>
            </w:pPr>
            <w:r>
              <w:rPr>
                <w:rFonts w:hint="default" w:ascii="Times New Roman" w:hAnsi="Times New Roman" w:cs="Times New Roman"/>
                <w:b/>
                <w:bCs w:val="0"/>
                <w:kern w:val="0"/>
                <w:sz w:val="24"/>
                <w:szCs w:val="24"/>
                <w:u w:color="FFFFFF"/>
                <w:lang w:val="en-US" w:eastAsia="zh-CN"/>
              </w:rPr>
              <w:t>IC group</w:t>
            </w:r>
          </w:p>
        </w:tc>
        <w:tc>
          <w:tcPr>
            <w:tcW w:w="790" w:type="dxa"/>
            <w:vAlign w:val="center"/>
          </w:tcPr>
          <w:p>
            <w:pPr>
              <w:widowControl/>
              <w:spacing w:before="120"/>
              <w:jc w:val="both"/>
              <w:rPr>
                <w:rFonts w:hint="default" w:ascii="Times New Roman" w:hAnsi="Times New Roman" w:eastAsia="宋体" w:cs="Times New Roman"/>
                <w:b/>
                <w:bCs w:val="0"/>
                <w:kern w:val="0"/>
                <w:sz w:val="24"/>
                <w:szCs w:val="24"/>
                <w:u w:color="FFFFFF"/>
                <w:lang w:val="en-US" w:eastAsia="zh-CN"/>
              </w:rPr>
            </w:pPr>
            <w:r>
              <w:rPr>
                <w:rFonts w:hint="default" w:ascii="Times New Roman" w:hAnsi="Times New Roman" w:cs="Times New Roman"/>
                <w:b/>
                <w:bCs w:val="0"/>
                <w:kern w:val="0"/>
                <w:sz w:val="24"/>
                <w:szCs w:val="24"/>
                <w:u w:color="FFFFFF"/>
              </w:rPr>
              <w:t>After chemo</w:t>
            </w:r>
            <w:r>
              <w:rPr>
                <w:rFonts w:hint="default" w:ascii="Times New Roman" w:hAnsi="Times New Roman" w:cs="Times New Roman"/>
                <w:b/>
                <w:bCs w:val="0"/>
                <w:kern w:val="0"/>
                <w:sz w:val="24"/>
                <w:szCs w:val="24"/>
                <w:u w:color="FFFFFF"/>
                <w:lang w:val="en-US" w:eastAsia="zh-CN"/>
              </w:rPr>
              <w:t>-</w:t>
            </w:r>
            <w:r>
              <w:rPr>
                <w:rFonts w:hint="default" w:ascii="Times New Roman" w:hAnsi="Times New Roman" w:cs="Times New Roman"/>
                <w:b/>
                <w:bCs w:val="0"/>
                <w:kern w:val="0"/>
                <w:sz w:val="24"/>
                <w:szCs w:val="24"/>
                <w:u w:color="FFFFFF"/>
              </w:rPr>
              <w:t>radiation</w:t>
            </w:r>
          </w:p>
        </w:tc>
        <w:tc>
          <w:tcPr>
            <w:tcW w:w="1109" w:type="dxa"/>
            <w:gridSpan w:val="2"/>
            <w:vAlign w:val="center"/>
          </w:tcPr>
          <w:p>
            <w:pPr>
              <w:widowControl/>
              <w:spacing w:before="120"/>
              <w:jc w:val="center"/>
              <w:rPr>
                <w:rFonts w:hint="default" w:ascii="Times New Roman" w:hAnsi="Times New Roman" w:cs="Times New Roman"/>
                <w:b/>
                <w:bCs w:val="0"/>
                <w:kern w:val="0"/>
                <w:sz w:val="24"/>
                <w:szCs w:val="24"/>
                <w:u w:color="FFFFFF"/>
                <w:lang w:val="en-US" w:eastAsia="zh-CN"/>
              </w:rPr>
            </w:pPr>
            <w:r>
              <w:rPr>
                <w:rFonts w:hint="default" w:ascii="Times New Roman" w:hAnsi="Times New Roman" w:cs="Times New Roman"/>
                <w:b/>
                <w:bCs w:val="0"/>
                <w:kern w:val="0"/>
                <w:sz w:val="24"/>
                <w:szCs w:val="24"/>
                <w:u w:color="FFFFFF"/>
                <w:lang w:val="en-US" w:eastAsia="zh-CN"/>
              </w:rPr>
              <w:t>AC group</w:t>
            </w:r>
          </w:p>
        </w:tc>
        <w:tc>
          <w:tcPr>
            <w:tcW w:w="853" w:type="dxa"/>
            <w:vAlign w:val="center"/>
          </w:tcPr>
          <w:p>
            <w:pPr>
              <w:widowControl/>
              <w:spacing w:before="120"/>
              <w:jc w:val="center"/>
              <w:rPr>
                <w:rFonts w:hint="default" w:ascii="Times New Roman" w:hAnsi="Times New Roman" w:cs="Times New Roman"/>
                <w:b/>
                <w:bCs w:val="0"/>
                <w:kern w:val="0"/>
                <w:sz w:val="24"/>
                <w:szCs w:val="24"/>
                <w:u w:color="FFFFFF"/>
              </w:rPr>
            </w:pPr>
            <w:r>
              <w:rPr>
                <w:rFonts w:hint="default" w:ascii="Times New Roman" w:hAnsi="Times New Roman" w:cs="Times New Roman"/>
                <w:b/>
                <w:bCs w:val="0"/>
                <w:kern w:val="0"/>
                <w:sz w:val="24"/>
                <w:szCs w:val="24"/>
                <w:u w:color="FFFFFF"/>
              </w:rPr>
              <w:t>Mon</w:t>
            </w:r>
            <w:r>
              <w:rPr>
                <w:rFonts w:hint="default" w:ascii="Times New Roman" w:hAnsi="Times New Roman" w:cs="Times New Roman"/>
                <w:b/>
                <w:bCs w:val="0"/>
                <w:kern w:val="0"/>
                <w:sz w:val="24"/>
                <w:szCs w:val="24"/>
                <w:u w:color="FFFFFF"/>
                <w:lang w:val="en-US" w:eastAsia="zh-CN"/>
              </w:rPr>
              <w:t>t</w:t>
            </w:r>
            <w:r>
              <w:rPr>
                <w:rFonts w:hint="default" w:ascii="Times New Roman" w:hAnsi="Times New Roman" w:cs="Times New Roman"/>
                <w:b/>
                <w:bCs w:val="0"/>
                <w:kern w:val="0"/>
                <w:sz w:val="24"/>
                <w:szCs w:val="24"/>
                <w:u w:color="FFFFFF"/>
              </w:rPr>
              <w:t>h 3</w:t>
            </w:r>
          </w:p>
        </w:tc>
        <w:tc>
          <w:tcPr>
            <w:tcW w:w="1290" w:type="dxa"/>
            <w:vAlign w:val="center"/>
          </w:tcPr>
          <w:p>
            <w:pPr>
              <w:widowControl/>
              <w:spacing w:before="120"/>
              <w:jc w:val="center"/>
              <w:rPr>
                <w:rFonts w:hint="default" w:ascii="Times New Roman" w:hAnsi="Times New Roman" w:cs="Times New Roman"/>
                <w:b/>
                <w:bCs w:val="0"/>
                <w:kern w:val="0"/>
                <w:sz w:val="24"/>
                <w:szCs w:val="24"/>
                <w:u w:color="FFFFFF"/>
              </w:rPr>
            </w:pPr>
            <w:r>
              <w:rPr>
                <w:rFonts w:hint="default" w:ascii="Times New Roman" w:hAnsi="Times New Roman" w:cs="Times New Roman"/>
                <w:b/>
                <w:bCs w:val="0"/>
                <w:kern w:val="0"/>
                <w:sz w:val="24"/>
                <w:szCs w:val="24"/>
                <w:u w:color="FFFFFF"/>
              </w:rPr>
              <w:t>1 to 5 years after completion of treatment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lang w:val="en-US" w:eastAsia="zh-CN"/>
              </w:rPr>
              <w:t>I</w:t>
            </w:r>
            <w:r>
              <w:rPr>
                <w:rFonts w:hint="default" w:ascii="Times New Roman" w:hAnsi="Times New Roman" w:cs="Times New Roman"/>
                <w:kern w:val="0"/>
                <w:sz w:val="24"/>
                <w:szCs w:val="24"/>
                <w:u w:color="FFFFFF"/>
              </w:rPr>
              <w:t>nformed consent</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p>
        </w:tc>
        <w:tc>
          <w:tcPr>
            <w:tcW w:w="790" w:type="dxa"/>
            <w:vAlign w:val="center"/>
          </w:tcPr>
          <w:p>
            <w:pPr>
              <w:widowControl/>
              <w:adjustRightInd w:val="0"/>
              <w:jc w:val="center"/>
              <w:rPr>
                <w:rFonts w:hint="default" w:ascii="Times New Roman" w:hAnsi="Times New Roman" w:cs="Times New Roman"/>
                <w:b/>
                <w:kern w:val="0"/>
                <w:sz w:val="24"/>
                <w:szCs w:val="24"/>
                <w:u w:color="FFFFFF"/>
              </w:rPr>
            </w:pP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p>
        </w:tc>
        <w:tc>
          <w:tcPr>
            <w:tcW w:w="853" w:type="dxa"/>
            <w:vAlign w:val="center"/>
          </w:tcPr>
          <w:p>
            <w:pPr>
              <w:widowControl/>
              <w:adjustRightInd w:val="0"/>
              <w:jc w:val="center"/>
              <w:rPr>
                <w:rFonts w:hint="default" w:ascii="Times New Roman" w:hAnsi="Times New Roman" w:cs="Times New Roman"/>
                <w:b/>
                <w:kern w:val="0"/>
                <w:sz w:val="24"/>
                <w:szCs w:val="24"/>
                <w:u w:color="FFFFFF"/>
              </w:rPr>
            </w:pPr>
          </w:p>
        </w:tc>
        <w:tc>
          <w:tcPr>
            <w:tcW w:w="1290" w:type="dxa"/>
            <w:vAlign w:val="center"/>
          </w:tcPr>
          <w:p>
            <w:pPr>
              <w:widowControl/>
              <w:adjustRightInd w:val="0"/>
              <w:jc w:val="center"/>
              <w:rPr>
                <w:rFonts w:hint="default" w:ascii="Times New Roman" w:hAnsi="Times New Roman" w:cs="Times New Roman"/>
                <w:b/>
                <w:kern w:val="0"/>
                <w:sz w:val="24"/>
                <w:szCs w:val="24"/>
                <w:u w:color="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Selection criteria</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p>
        </w:tc>
        <w:tc>
          <w:tcPr>
            <w:tcW w:w="790" w:type="dxa"/>
            <w:vAlign w:val="center"/>
          </w:tcPr>
          <w:p>
            <w:pPr>
              <w:widowControl/>
              <w:adjustRightInd w:val="0"/>
              <w:jc w:val="center"/>
              <w:rPr>
                <w:rFonts w:hint="default" w:ascii="Times New Roman" w:hAnsi="Times New Roman" w:cs="Times New Roman"/>
                <w:b/>
                <w:kern w:val="0"/>
                <w:sz w:val="24"/>
                <w:szCs w:val="24"/>
                <w:u w:color="FFFFFF"/>
              </w:rPr>
            </w:pP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p>
        </w:tc>
        <w:tc>
          <w:tcPr>
            <w:tcW w:w="853" w:type="dxa"/>
            <w:vAlign w:val="center"/>
          </w:tcPr>
          <w:p>
            <w:pPr>
              <w:widowControl/>
              <w:adjustRightInd w:val="0"/>
              <w:jc w:val="center"/>
              <w:rPr>
                <w:rFonts w:hint="default" w:ascii="Times New Roman" w:hAnsi="Times New Roman" w:cs="Times New Roman"/>
                <w:b/>
                <w:kern w:val="0"/>
                <w:sz w:val="24"/>
                <w:szCs w:val="24"/>
                <w:u w:color="FFFFFF"/>
              </w:rPr>
            </w:pPr>
          </w:p>
        </w:tc>
        <w:tc>
          <w:tcPr>
            <w:tcW w:w="1290" w:type="dxa"/>
            <w:vAlign w:val="center"/>
          </w:tcPr>
          <w:p>
            <w:pPr>
              <w:widowControl/>
              <w:adjustRightInd w:val="0"/>
              <w:jc w:val="center"/>
              <w:rPr>
                <w:rFonts w:hint="default" w:ascii="Times New Roman" w:hAnsi="Times New Roman" w:cs="Times New Roman"/>
                <w:b/>
                <w:kern w:val="0"/>
                <w:sz w:val="24"/>
                <w:szCs w:val="24"/>
                <w:u w:color="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Exclusion criteria</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p>
        </w:tc>
        <w:tc>
          <w:tcPr>
            <w:tcW w:w="790" w:type="dxa"/>
            <w:vAlign w:val="center"/>
          </w:tcPr>
          <w:p>
            <w:pPr>
              <w:widowControl/>
              <w:adjustRightInd w:val="0"/>
              <w:jc w:val="center"/>
              <w:rPr>
                <w:rFonts w:hint="default" w:ascii="Times New Roman" w:hAnsi="Times New Roman" w:cs="Times New Roman"/>
                <w:b/>
                <w:kern w:val="0"/>
                <w:sz w:val="24"/>
                <w:szCs w:val="24"/>
                <w:u w:color="FFFFFF"/>
              </w:rPr>
            </w:pP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p>
        </w:tc>
        <w:tc>
          <w:tcPr>
            <w:tcW w:w="853" w:type="dxa"/>
            <w:vAlign w:val="center"/>
          </w:tcPr>
          <w:p>
            <w:pPr>
              <w:widowControl/>
              <w:adjustRightInd w:val="0"/>
              <w:jc w:val="center"/>
              <w:rPr>
                <w:rFonts w:hint="default" w:ascii="Times New Roman" w:hAnsi="Times New Roman" w:cs="Times New Roman"/>
                <w:b/>
                <w:kern w:val="0"/>
                <w:sz w:val="24"/>
                <w:szCs w:val="24"/>
                <w:u w:color="FFFFFF"/>
              </w:rPr>
            </w:pPr>
          </w:p>
        </w:tc>
        <w:tc>
          <w:tcPr>
            <w:tcW w:w="1290" w:type="dxa"/>
            <w:vAlign w:val="center"/>
          </w:tcPr>
          <w:p>
            <w:pPr>
              <w:widowControl/>
              <w:adjustRightInd w:val="0"/>
              <w:jc w:val="center"/>
              <w:rPr>
                <w:rFonts w:hint="default" w:ascii="Times New Roman" w:hAnsi="Times New Roman" w:cs="Times New Roman"/>
                <w:b/>
                <w:kern w:val="0"/>
                <w:sz w:val="24"/>
                <w:szCs w:val="24"/>
                <w:u w:color="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lang w:val="en-US" w:eastAsia="zh-CN"/>
              </w:rPr>
              <w:t>H</w:t>
            </w:r>
            <w:r>
              <w:rPr>
                <w:rFonts w:hint="default" w:ascii="Times New Roman" w:hAnsi="Times New Roman" w:cs="Times New Roman"/>
                <w:kern w:val="0"/>
                <w:sz w:val="24"/>
                <w:szCs w:val="24"/>
                <w:u w:color="FFFFFF"/>
              </w:rPr>
              <w:t>istory-taking</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p>
        </w:tc>
        <w:tc>
          <w:tcPr>
            <w:tcW w:w="790" w:type="dxa"/>
            <w:vAlign w:val="center"/>
          </w:tcPr>
          <w:p>
            <w:pPr>
              <w:widowControl/>
              <w:adjustRightInd w:val="0"/>
              <w:jc w:val="center"/>
              <w:rPr>
                <w:rFonts w:hint="default" w:ascii="Times New Roman" w:hAnsi="Times New Roman" w:cs="Times New Roman"/>
                <w:b/>
                <w:kern w:val="0"/>
                <w:sz w:val="24"/>
                <w:szCs w:val="24"/>
                <w:u w:color="FFFFFF"/>
              </w:rPr>
            </w:pP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p>
        </w:tc>
        <w:tc>
          <w:tcPr>
            <w:tcW w:w="853" w:type="dxa"/>
            <w:vAlign w:val="center"/>
          </w:tcPr>
          <w:p>
            <w:pPr>
              <w:widowControl/>
              <w:adjustRightInd w:val="0"/>
              <w:jc w:val="center"/>
              <w:rPr>
                <w:rFonts w:hint="default" w:ascii="Times New Roman" w:hAnsi="Times New Roman" w:cs="Times New Roman"/>
                <w:b/>
                <w:kern w:val="0"/>
                <w:sz w:val="24"/>
                <w:szCs w:val="24"/>
                <w:u w:color="FFFFFF"/>
              </w:rPr>
            </w:pPr>
          </w:p>
        </w:tc>
        <w:tc>
          <w:tcPr>
            <w:tcW w:w="1290" w:type="dxa"/>
            <w:vAlign w:val="center"/>
          </w:tcPr>
          <w:p>
            <w:pPr>
              <w:widowControl/>
              <w:adjustRightInd w:val="0"/>
              <w:jc w:val="center"/>
              <w:rPr>
                <w:rFonts w:hint="default" w:ascii="Times New Roman" w:hAnsi="Times New Roman" w:cs="Times New Roman"/>
                <w:b/>
                <w:kern w:val="0"/>
                <w:sz w:val="24"/>
                <w:szCs w:val="24"/>
                <w:u w:color="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Nasal endoscopy and biopsy for tissue pathology examination</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p>
        </w:tc>
        <w:tc>
          <w:tcPr>
            <w:tcW w:w="790" w:type="dxa"/>
            <w:vAlign w:val="center"/>
          </w:tcPr>
          <w:p>
            <w:pPr>
              <w:widowControl/>
              <w:adjustRightInd w:val="0"/>
              <w:jc w:val="center"/>
              <w:rPr>
                <w:rFonts w:hint="default" w:ascii="Times New Roman" w:hAnsi="Times New Roman" w:cs="Times New Roman"/>
                <w:b/>
                <w:kern w:val="0"/>
                <w:sz w:val="24"/>
                <w:szCs w:val="24"/>
                <w:u w:color="FFFFFF"/>
              </w:rPr>
            </w:pP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p>
        </w:tc>
        <w:tc>
          <w:tcPr>
            <w:tcW w:w="853" w:type="dxa"/>
            <w:vAlign w:val="center"/>
          </w:tcPr>
          <w:p>
            <w:pPr>
              <w:widowControl/>
              <w:adjustRightInd w:val="0"/>
              <w:jc w:val="center"/>
              <w:rPr>
                <w:rFonts w:hint="default" w:ascii="Times New Roman" w:hAnsi="Times New Roman" w:cs="Times New Roman"/>
                <w:b/>
                <w:kern w:val="0"/>
                <w:sz w:val="24"/>
                <w:szCs w:val="24"/>
                <w:u w:color="FFFFFF"/>
              </w:rPr>
            </w:pPr>
          </w:p>
        </w:tc>
        <w:tc>
          <w:tcPr>
            <w:tcW w:w="1290" w:type="dxa"/>
            <w:vAlign w:val="center"/>
          </w:tcPr>
          <w:p>
            <w:pPr>
              <w:widowControl/>
              <w:adjustRightInd w:val="0"/>
              <w:jc w:val="center"/>
              <w:rPr>
                <w:rFonts w:hint="default" w:ascii="Times New Roman" w:hAnsi="Times New Roman" w:cs="Times New Roman"/>
                <w:b/>
                <w:kern w:val="0"/>
                <w:sz w:val="24"/>
                <w:szCs w:val="24"/>
                <w:u w:color="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lang w:val="en-US" w:eastAsia="zh-CN"/>
              </w:rPr>
              <w:t>C</w:t>
            </w:r>
            <w:r>
              <w:rPr>
                <w:rFonts w:hint="default" w:ascii="Times New Roman" w:hAnsi="Times New Roman" w:cs="Times New Roman"/>
                <w:kern w:val="0"/>
                <w:sz w:val="24"/>
                <w:szCs w:val="24"/>
                <w:u w:color="FFFFFF"/>
              </w:rPr>
              <w:t>heck-up</w:t>
            </w:r>
            <w:r>
              <w:rPr>
                <w:rFonts w:hint="default" w:ascii="Times New Roman" w:hAnsi="Times New Roman" w:cs="Times New Roman"/>
                <w:b/>
                <w:kern w:val="0"/>
                <w:sz w:val="24"/>
                <w:szCs w:val="24"/>
                <w:u w:color="FFFFFF"/>
                <w:vertAlign w:val="superscript"/>
              </w:rPr>
              <w:t>[1]</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7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853"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lang w:val="en-US" w:eastAsia="zh-CN"/>
              </w:rPr>
              <w:t>R</w:t>
            </w:r>
            <w:r>
              <w:rPr>
                <w:rFonts w:hint="default" w:ascii="Times New Roman" w:hAnsi="Times New Roman" w:cs="Times New Roman"/>
                <w:kern w:val="0"/>
                <w:sz w:val="24"/>
                <w:szCs w:val="24"/>
                <w:u w:color="FFFFFF"/>
              </w:rPr>
              <w:t>outine blood test</w:t>
            </w:r>
            <w:r>
              <w:rPr>
                <w:rFonts w:hint="default" w:ascii="Times New Roman" w:hAnsi="Times New Roman" w:cs="Times New Roman"/>
                <w:b/>
                <w:kern w:val="0"/>
                <w:sz w:val="24"/>
                <w:szCs w:val="24"/>
                <w:u w:color="FFFFFF"/>
                <w:vertAlign w:val="superscript"/>
              </w:rPr>
              <w:t>[1,3]</w:t>
            </w:r>
            <w:r>
              <w:rPr>
                <w:rFonts w:hint="default" w:ascii="Times New Roman" w:hAnsi="Times New Roman" w:cs="Times New Roman"/>
                <w:kern w:val="0"/>
                <w:sz w:val="24"/>
                <w:szCs w:val="24"/>
                <w:u w:color="FFFFFF"/>
              </w:rPr>
              <w:t>, routine urine test</w:t>
            </w:r>
            <w:r>
              <w:rPr>
                <w:rFonts w:hint="default" w:ascii="Times New Roman" w:hAnsi="Times New Roman" w:cs="Times New Roman"/>
                <w:b/>
                <w:kern w:val="0"/>
                <w:sz w:val="24"/>
                <w:szCs w:val="24"/>
                <w:u w:color="FFFFFF"/>
                <w:vertAlign w:val="superscript"/>
              </w:rPr>
              <w:t>[2]</w:t>
            </w:r>
            <w:r>
              <w:rPr>
                <w:rFonts w:hint="default" w:ascii="Times New Roman" w:hAnsi="Times New Roman" w:cs="Times New Roman"/>
                <w:kern w:val="0"/>
                <w:sz w:val="24"/>
                <w:szCs w:val="24"/>
                <w:u w:color="FFFFFF"/>
              </w:rPr>
              <w:t>check up</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7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853"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Biochemical routine</w:t>
            </w:r>
            <w:r>
              <w:rPr>
                <w:rFonts w:hint="default" w:ascii="Times New Roman" w:hAnsi="Times New Roman" w:cs="Times New Roman"/>
                <w:b/>
                <w:kern w:val="0"/>
                <w:sz w:val="24"/>
                <w:szCs w:val="24"/>
                <w:u w:color="FFFFFF"/>
                <w:vertAlign w:val="superscript"/>
              </w:rPr>
              <w:t>[1,3]</w:t>
            </w:r>
            <w:r>
              <w:rPr>
                <w:rFonts w:hint="default" w:ascii="Times New Roman" w:hAnsi="Times New Roman" w:cs="Times New Roman"/>
                <w:kern w:val="0"/>
                <w:sz w:val="24"/>
                <w:szCs w:val="24"/>
                <w:u w:color="FFFFFF"/>
              </w:rPr>
              <w:t>check up</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7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853"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eastAsia="宋体" w:cs="Times New Roman"/>
                <w:kern w:val="0"/>
                <w:sz w:val="24"/>
                <w:szCs w:val="24"/>
                <w:u w:color="FFFFFF"/>
                <w:lang w:val="en-US" w:eastAsia="zh-CN"/>
              </w:rPr>
            </w:pPr>
            <w:r>
              <w:rPr>
                <w:rFonts w:hint="default" w:ascii="Times New Roman" w:hAnsi="Times New Roman" w:cs="Times New Roman"/>
                <w:kern w:val="0"/>
                <w:sz w:val="24"/>
                <w:szCs w:val="24"/>
                <w:u w:color="FFFFFF"/>
                <w:lang w:val="en-US" w:eastAsia="zh-CN"/>
              </w:rPr>
              <w:t>Full line of lymphatic immunity</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7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853"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Quantitative tification of EB viral DNA</w:t>
            </w:r>
            <w:r>
              <w:rPr>
                <w:rFonts w:hint="default" w:ascii="Times New Roman" w:hAnsi="Times New Roman" w:cs="Times New Roman"/>
                <w:b/>
                <w:kern w:val="0"/>
                <w:sz w:val="24"/>
                <w:szCs w:val="24"/>
                <w:u w:color="FFFFFF"/>
                <w:vertAlign w:val="superscript"/>
              </w:rPr>
              <w:t>[1]</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7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853"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lang w:val="en-US" w:eastAsia="zh-CN"/>
              </w:rPr>
              <w:t>E</w:t>
            </w:r>
            <w:r>
              <w:rPr>
                <w:rFonts w:hint="default" w:ascii="Times New Roman" w:hAnsi="Times New Roman" w:cs="Times New Roman"/>
                <w:kern w:val="0"/>
                <w:sz w:val="24"/>
                <w:szCs w:val="24"/>
                <w:u w:color="FFFFFF"/>
              </w:rPr>
              <w:t>lectrocardiographic examination</w:t>
            </w:r>
            <w:r>
              <w:rPr>
                <w:rFonts w:hint="default" w:ascii="Times New Roman" w:hAnsi="Times New Roman" w:cs="Times New Roman"/>
                <w:b/>
                <w:kern w:val="0"/>
                <w:sz w:val="24"/>
                <w:szCs w:val="24"/>
                <w:u w:color="FFFFFF"/>
                <w:vertAlign w:val="superscript"/>
              </w:rPr>
              <w:t>[2]</w:t>
            </w:r>
          </w:p>
        </w:tc>
        <w:tc>
          <w:tcPr>
            <w:tcW w:w="1039"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7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109" w:type="dxa"/>
            <w:gridSpan w:val="2"/>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853"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adjustRightInd w:val="0"/>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Imaging examination</w:t>
            </w:r>
            <w:r>
              <w:rPr>
                <w:rFonts w:hint="default" w:ascii="Times New Roman" w:hAnsi="Times New Roman" w:cs="Times New Roman"/>
                <w:b/>
                <w:kern w:val="0"/>
                <w:sz w:val="24"/>
                <w:szCs w:val="24"/>
                <w:u w:color="FFFFFF"/>
                <w:vertAlign w:val="superscript"/>
              </w:rPr>
              <w:t>[1]</w:t>
            </w:r>
          </w:p>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(chest CT</w:t>
            </w:r>
            <w:r>
              <w:rPr>
                <w:rFonts w:hint="default" w:ascii="Times New Roman" w:hAnsi="Times New Roman" w:cs="Times New Roman"/>
                <w:b/>
                <w:kern w:val="0"/>
                <w:sz w:val="24"/>
                <w:szCs w:val="24"/>
                <w:u w:color="FFFFFF"/>
                <w:vertAlign w:val="superscript"/>
              </w:rPr>
              <w:t>[1]</w:t>
            </w:r>
            <w:r>
              <w:rPr>
                <w:rFonts w:hint="default" w:ascii="Times New Roman" w:hAnsi="Times New Roman" w:cs="Times New Roman"/>
                <w:kern w:val="0"/>
                <w:sz w:val="24"/>
                <w:szCs w:val="24"/>
                <w:u w:color="FFFFFF"/>
              </w:rPr>
              <w:t>, Abdominal B-ultrasound, or CT</w:t>
            </w:r>
            <w:r>
              <w:rPr>
                <w:rFonts w:hint="default" w:ascii="Times New Roman" w:hAnsi="Times New Roman" w:cs="Times New Roman"/>
                <w:b/>
                <w:kern w:val="0"/>
                <w:sz w:val="24"/>
                <w:szCs w:val="24"/>
                <w:u w:color="FFFFFF"/>
                <w:vertAlign w:val="superscript"/>
              </w:rPr>
              <w:t>[1]</w:t>
            </w:r>
            <w:r>
              <w:rPr>
                <w:rFonts w:hint="default" w:ascii="Times New Roman" w:hAnsi="Times New Roman" w:cs="Times New Roman"/>
                <w:kern w:val="0"/>
                <w:sz w:val="24"/>
                <w:szCs w:val="24"/>
                <w:u w:color="FFFFFF"/>
              </w:rPr>
              <w:t>, An ECT scan of the bone</w:t>
            </w:r>
            <w:r>
              <w:rPr>
                <w:rFonts w:hint="default" w:ascii="Times New Roman" w:hAnsi="Times New Roman" w:cs="Times New Roman"/>
                <w:b/>
                <w:kern w:val="0"/>
                <w:sz w:val="24"/>
                <w:szCs w:val="24"/>
                <w:u w:color="FFFFFF"/>
                <w:vertAlign w:val="superscript"/>
              </w:rPr>
              <w:t>[4]</w:t>
            </w:r>
            <w:r>
              <w:rPr>
                <w:rFonts w:hint="default" w:ascii="Times New Roman" w:hAnsi="Times New Roman" w:cs="Times New Roman"/>
                <w:kern w:val="0"/>
                <w:sz w:val="24"/>
                <w:szCs w:val="24"/>
                <w:u w:color="FFFFFF"/>
              </w:rPr>
              <w:t>Or whole-body PET / CT, nasopharyngeal MRI, plus neck CT or MRI</w:t>
            </w:r>
            <w:r>
              <w:rPr>
                <w:rFonts w:hint="default" w:ascii="Times New Roman" w:hAnsi="Times New Roman" w:cs="Times New Roman"/>
                <w:b/>
                <w:kern w:val="0"/>
                <w:sz w:val="24"/>
                <w:szCs w:val="24"/>
                <w:u w:color="FFFFFF"/>
                <w:vertAlign w:val="superscript"/>
              </w:rPr>
              <w:t>[1]</w:t>
            </w:r>
            <w:r>
              <w:rPr>
                <w:rFonts w:hint="default" w:ascii="Times New Roman" w:hAnsi="Times New Roman" w:cs="Times New Roman"/>
                <w:kern w:val="0"/>
                <w:sz w:val="24"/>
                <w:szCs w:val="24"/>
                <w:u w:color="FFFFFF"/>
              </w:rPr>
              <w:t>）</w:t>
            </w:r>
          </w:p>
        </w:tc>
        <w:tc>
          <w:tcPr>
            <w:tcW w:w="1039"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790"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109" w:type="dxa"/>
            <w:gridSpan w:val="2"/>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853"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eastAsia="宋体" w:cs="Times New Roman"/>
                <w:kern w:val="0"/>
                <w:sz w:val="24"/>
                <w:szCs w:val="24"/>
                <w:u w:color="FFFFFF"/>
                <w:lang w:val="en-US" w:eastAsia="zh-CN"/>
              </w:rPr>
            </w:pPr>
            <w:r>
              <w:rPr>
                <w:rFonts w:hint="default" w:ascii="Times New Roman" w:hAnsi="Times New Roman" w:cs="Times New Roman"/>
                <w:kern w:val="0"/>
                <w:sz w:val="24"/>
                <w:szCs w:val="24"/>
                <w:u w:color="FFFFFF"/>
                <w:lang w:val="en-US" w:eastAsia="zh-CN"/>
              </w:rPr>
              <w:t>Weight, KPS</w:t>
            </w:r>
          </w:p>
        </w:tc>
        <w:tc>
          <w:tcPr>
            <w:tcW w:w="1039"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790"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109" w:type="dxa"/>
            <w:gridSpan w:val="2"/>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853"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Efficacy assessment</w:t>
            </w:r>
            <w:r>
              <w:rPr>
                <w:rFonts w:hint="default" w:ascii="Times New Roman" w:hAnsi="Times New Roman" w:cs="Times New Roman"/>
                <w:b/>
                <w:kern w:val="0"/>
                <w:sz w:val="24"/>
                <w:szCs w:val="24"/>
                <w:u w:color="FFFFFF"/>
                <w:vertAlign w:val="superscript"/>
              </w:rPr>
              <w:t>[6]</w:t>
            </w:r>
          </w:p>
        </w:tc>
        <w:tc>
          <w:tcPr>
            <w:tcW w:w="1039" w:type="dxa"/>
            <w:vAlign w:val="center"/>
          </w:tcPr>
          <w:p>
            <w:pPr>
              <w:widowControl/>
              <w:jc w:val="center"/>
              <w:rPr>
                <w:rFonts w:hint="default" w:ascii="Times New Roman" w:hAnsi="Times New Roman" w:cs="Times New Roman"/>
                <w:b/>
                <w:kern w:val="0"/>
                <w:sz w:val="24"/>
                <w:szCs w:val="24"/>
                <w:u w:color="FFFFFF"/>
              </w:rPr>
            </w:pPr>
          </w:p>
        </w:tc>
        <w:tc>
          <w:tcPr>
            <w:tcW w:w="997"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790"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109" w:type="dxa"/>
            <w:gridSpan w:val="2"/>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853"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Adverse Events Serious adverse event record</w:t>
            </w:r>
          </w:p>
        </w:tc>
        <w:tc>
          <w:tcPr>
            <w:tcW w:w="6078" w:type="dxa"/>
            <w:gridSpan w:val="7"/>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t>Record it and report it as required at any 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Combined drug treatment</w:t>
            </w:r>
          </w:p>
        </w:tc>
        <w:tc>
          <w:tcPr>
            <w:tcW w:w="1039"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997"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367" w:type="dxa"/>
            <w:gridSpan w:val="2"/>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385" w:type="dxa"/>
            <w:gridSpan w:val="2"/>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c>
          <w:tcPr>
            <w:tcW w:w="1290"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Study discontinuation records</w:t>
            </w:r>
          </w:p>
        </w:tc>
        <w:tc>
          <w:tcPr>
            <w:tcW w:w="6078" w:type="dxa"/>
            <w:gridSpan w:val="7"/>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t>Record it and report it as required at any 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80" w:type="dxa"/>
            <w:vAlign w:val="center"/>
          </w:tcPr>
          <w:p>
            <w:pPr>
              <w:widowControl/>
              <w:adjustRightInd w:val="0"/>
              <w:snapToGrid w:val="0"/>
              <w:jc w:val="center"/>
              <w:rPr>
                <w:rFonts w:hint="default" w:ascii="Times New Roman" w:hAnsi="Times New Roman" w:cs="Times New Roman"/>
                <w:kern w:val="0"/>
                <w:sz w:val="24"/>
                <w:szCs w:val="24"/>
                <w:u w:color="FFFFFF"/>
              </w:rPr>
            </w:pPr>
            <w:r>
              <w:rPr>
                <w:rFonts w:hint="default" w:ascii="Times New Roman" w:hAnsi="Times New Roman" w:cs="Times New Roman"/>
                <w:kern w:val="0"/>
                <w:sz w:val="24"/>
                <w:szCs w:val="24"/>
                <w:u w:color="FFFFFF"/>
              </w:rPr>
              <w:t>Study end record</w:t>
            </w:r>
            <w:r>
              <w:rPr>
                <w:rFonts w:hint="default" w:ascii="Times New Roman" w:hAnsi="Times New Roman" w:cs="Times New Roman"/>
                <w:b/>
                <w:kern w:val="0"/>
                <w:sz w:val="24"/>
                <w:szCs w:val="24"/>
                <w:u w:color="FFFFFF"/>
                <w:vertAlign w:val="superscript"/>
              </w:rPr>
              <w:t>[7]</w:t>
            </w:r>
          </w:p>
        </w:tc>
        <w:tc>
          <w:tcPr>
            <w:tcW w:w="2036" w:type="dxa"/>
            <w:gridSpan w:val="2"/>
            <w:vAlign w:val="center"/>
          </w:tcPr>
          <w:p>
            <w:pPr>
              <w:widowControl/>
              <w:jc w:val="center"/>
              <w:rPr>
                <w:rFonts w:hint="default" w:ascii="Times New Roman" w:hAnsi="Times New Roman" w:cs="Times New Roman"/>
                <w:kern w:val="0"/>
                <w:sz w:val="24"/>
                <w:szCs w:val="24"/>
                <w:u w:color="FFFFFF"/>
              </w:rPr>
            </w:pPr>
          </w:p>
        </w:tc>
        <w:tc>
          <w:tcPr>
            <w:tcW w:w="2752" w:type="dxa"/>
            <w:gridSpan w:val="4"/>
            <w:vAlign w:val="center"/>
          </w:tcPr>
          <w:p>
            <w:pPr>
              <w:widowControl/>
              <w:jc w:val="center"/>
              <w:rPr>
                <w:rFonts w:hint="default" w:ascii="Times New Roman" w:hAnsi="Times New Roman" w:cs="Times New Roman"/>
                <w:kern w:val="0"/>
                <w:sz w:val="24"/>
                <w:szCs w:val="24"/>
                <w:u w:color="FFFFFF"/>
              </w:rPr>
            </w:pPr>
          </w:p>
        </w:tc>
        <w:tc>
          <w:tcPr>
            <w:tcW w:w="1290" w:type="dxa"/>
            <w:vAlign w:val="center"/>
          </w:tcPr>
          <w:p>
            <w:pPr>
              <w:widowControl/>
              <w:jc w:val="center"/>
              <w:rPr>
                <w:rFonts w:hint="default" w:ascii="Times New Roman" w:hAnsi="Times New Roman" w:cs="Times New Roman"/>
                <w:b/>
                <w:kern w:val="0"/>
                <w:sz w:val="24"/>
                <w:szCs w:val="24"/>
                <w:u w:color="FFFFFF"/>
              </w:rPr>
            </w:pPr>
            <w:r>
              <w:rPr>
                <w:rFonts w:hint="default" w:ascii="Times New Roman" w:hAnsi="Times New Roman" w:cs="Times New Roman"/>
                <w:b/>
                <w:kern w:val="0"/>
                <w:sz w:val="24"/>
                <w:szCs w:val="24"/>
                <w:u w:color="FFFFFF"/>
              </w:rPr>
              <w:sym w:font="Symbol" w:char="F0B4"/>
            </w:r>
          </w:p>
        </w:tc>
      </w:tr>
    </w:tbl>
    <w:p>
      <w:pPr>
        <w:widowControl/>
        <w:spacing w:line="240" w:lineRule="auto"/>
        <w:rPr>
          <w:rFonts w:hint="default" w:ascii="Times New Roman" w:hAnsi="Times New Roman" w:eastAsia="宋体" w:cs="Times New Roman"/>
          <w:kern w:val="0"/>
          <w:sz w:val="24"/>
          <w:szCs w:val="24"/>
          <w:lang w:val="en-US" w:eastAsia="zh-CN"/>
        </w:rPr>
      </w:pPr>
      <w:r>
        <w:rPr>
          <w:rFonts w:hint="default" w:ascii="Times New Roman" w:hAnsi="Times New Roman" w:cs="Times New Roman"/>
          <w:kern w:val="0"/>
          <w:sz w:val="24"/>
          <w:szCs w:val="24"/>
          <w:lang w:val="en-US" w:eastAsia="zh-CN"/>
        </w:rPr>
        <w:t>Footnote:</w:t>
      </w:r>
    </w:p>
    <w:p>
      <w:pPr>
        <w:widowControl/>
        <w:numPr>
          <w:ilvl w:val="0"/>
          <w:numId w:val="6"/>
        </w:numPr>
        <w:spacing w:line="240" w:lineRule="auto"/>
        <w:rPr>
          <w:rFonts w:hint="default" w:ascii="Times New Roman" w:hAnsi="Times New Roman" w:cs="Times New Roman"/>
          <w:b w:val="0"/>
          <w:bCs w:val="0"/>
          <w:kern w:val="0"/>
          <w:sz w:val="24"/>
          <w:szCs w:val="24"/>
        </w:rPr>
      </w:pPr>
      <w:r>
        <w:rPr>
          <w:rFonts w:hint="default" w:ascii="Times New Roman" w:hAnsi="Times New Roman" w:cs="Times New Roman"/>
          <w:b w:val="0"/>
          <w:bCs w:val="0"/>
          <w:sz w:val="24"/>
          <w:szCs w:val="24"/>
        </w:rPr>
        <w:t>Physical examination (including height, weight, etc.), blood routine, biochemical routine, EB viral DNA quantification, imaging examination are pre-enrollment screening stage, induction chemotherapy, 3 months at the end of treatment (recent efficacy evaluation), follow-up period (5 years after the recent efficacy evaluation);</w:t>
      </w:r>
      <w:r>
        <w:rPr>
          <w:rFonts w:hint="default" w:ascii="Times New Roman" w:hAnsi="Times New Roman" w:cs="Times New Roman"/>
          <w:b w:val="0"/>
          <w:bCs w:val="0"/>
          <w:sz w:val="24"/>
          <w:szCs w:val="24"/>
          <w:lang w:eastAsia="zh-CN"/>
        </w:rPr>
        <w:t>Examination excluding metastasis: X-ray of the chest + ultrasound scan of the liver (such as N3 patients with chest / abdominal CT enhancement) + ECT of bone,</w:t>
      </w:r>
      <w:r>
        <w:rPr>
          <w:rFonts w:hint="default" w:ascii="Times New Roman" w:hAnsi="Times New Roman" w:cs="Times New Roman"/>
          <w:b w:val="0"/>
          <w:bCs w:val="0"/>
          <w:sz w:val="24"/>
          <w:szCs w:val="24"/>
        </w:rPr>
        <w:t>Or PET / CT examination (preferred)</w:t>
      </w:r>
    </w:p>
    <w:p>
      <w:pPr>
        <w:widowControl/>
        <w:numPr>
          <w:ilvl w:val="0"/>
          <w:numId w:val="6"/>
        </w:numPr>
        <w:spacing w:line="240" w:lineRule="auto"/>
        <w:rPr>
          <w:rFonts w:hint="default" w:ascii="Times New Roman" w:hAnsi="Times New Roman" w:cs="Times New Roman"/>
          <w:b w:val="0"/>
          <w:bCs w:val="0"/>
          <w:kern w:val="0"/>
          <w:sz w:val="24"/>
          <w:szCs w:val="24"/>
        </w:rPr>
      </w:pPr>
      <w:r>
        <w:rPr>
          <w:rFonts w:hint="default" w:ascii="Times New Roman" w:hAnsi="Times New Roman" w:cs="Times New Roman"/>
          <w:b w:val="0"/>
          <w:bCs w:val="0"/>
          <w:kern w:val="0"/>
          <w:sz w:val="24"/>
          <w:szCs w:val="24"/>
        </w:rPr>
        <w:t>Urine routine and electrocardiogram are required in the screening stage before enrollment, and the other stages can be selected according to the specific situation of patients, not required items;</w:t>
      </w:r>
    </w:p>
    <w:p>
      <w:pPr>
        <w:widowControl/>
        <w:numPr>
          <w:ilvl w:val="0"/>
          <w:numId w:val="6"/>
        </w:numPr>
        <w:spacing w:line="240" w:lineRule="auto"/>
        <w:rPr>
          <w:rFonts w:hint="default" w:ascii="Times New Roman" w:hAnsi="Times New Roman" w:cs="Times New Roman"/>
          <w:b w:val="0"/>
          <w:bCs w:val="0"/>
          <w:kern w:val="0"/>
          <w:sz w:val="24"/>
          <w:szCs w:val="24"/>
        </w:rPr>
      </w:pPr>
      <w:r>
        <w:rPr>
          <w:rFonts w:hint="default" w:ascii="Times New Roman" w:hAnsi="Times New Roman" w:cs="Times New Roman"/>
          <w:b w:val="0"/>
          <w:bCs w:val="0"/>
          <w:kern w:val="0"/>
          <w:sz w:val="24"/>
          <w:szCs w:val="24"/>
        </w:rPr>
        <w:t>Blood routine and biochemical routine: test at least once a week during the trial medication;</w:t>
      </w:r>
    </w:p>
    <w:p>
      <w:pPr>
        <w:widowControl/>
        <w:numPr>
          <w:ilvl w:val="0"/>
          <w:numId w:val="6"/>
        </w:numPr>
        <w:spacing w:line="240" w:lineRule="auto"/>
        <w:rPr>
          <w:rFonts w:hint="default" w:ascii="Times New Roman" w:hAnsi="Times New Roman" w:cs="Times New Roman"/>
          <w:b w:val="0"/>
          <w:bCs w:val="0"/>
          <w:kern w:val="0"/>
          <w:sz w:val="24"/>
          <w:szCs w:val="24"/>
        </w:rPr>
      </w:pPr>
      <w:r>
        <w:rPr>
          <w:rFonts w:hint="default" w:ascii="Times New Roman" w:hAnsi="Times New Roman" w:cs="Times New Roman"/>
          <w:b w:val="0"/>
          <w:bCs w:val="0"/>
          <w:kern w:val="0"/>
          <w:sz w:val="24"/>
          <w:szCs w:val="24"/>
        </w:rPr>
        <w:t>Bone ECT examination: the screening stage is required before enrollment, and the rest stages can be selected according to the specific situation of patients, not required;</w:t>
      </w:r>
    </w:p>
    <w:p>
      <w:pPr>
        <w:widowControl/>
        <w:numPr>
          <w:ilvl w:val="0"/>
          <w:numId w:val="6"/>
        </w:numPr>
        <w:spacing w:line="240" w:lineRule="auto"/>
        <w:rPr>
          <w:rFonts w:hint="default" w:ascii="Times New Roman" w:hAnsi="Times New Roman" w:cs="Times New Roman"/>
          <w:b w:val="0"/>
          <w:bCs w:val="0"/>
          <w:kern w:val="0"/>
          <w:sz w:val="24"/>
          <w:szCs w:val="24"/>
          <w:u w:color="FFFFFF"/>
        </w:rPr>
      </w:pPr>
      <w:r>
        <w:rPr>
          <w:rFonts w:hint="default" w:ascii="Times New Roman" w:hAnsi="Times New Roman" w:cs="Times New Roman"/>
          <w:b w:val="0"/>
          <w:bCs w:val="0"/>
          <w:kern w:val="0"/>
          <w:sz w:val="24"/>
          <w:szCs w:val="24"/>
        </w:rPr>
        <w:t>Vital signs are observation items during medication;</w:t>
      </w:r>
    </w:p>
    <w:p>
      <w:pPr>
        <w:widowControl/>
        <w:numPr>
          <w:ilvl w:val="0"/>
          <w:numId w:val="6"/>
        </w:numPr>
        <w:spacing w:line="240" w:lineRule="auto"/>
        <w:rPr>
          <w:rFonts w:hint="default" w:ascii="Times New Roman" w:hAnsi="Times New Roman" w:cs="Times New Roman"/>
          <w:b w:val="0"/>
          <w:bCs w:val="0"/>
          <w:kern w:val="0"/>
          <w:sz w:val="24"/>
          <w:szCs w:val="24"/>
          <w:u w:color="FFFFFF"/>
        </w:rPr>
      </w:pPr>
      <w:r>
        <w:rPr>
          <w:rFonts w:hint="default" w:ascii="Times New Roman" w:hAnsi="Times New Roman" w:cs="Times New Roman"/>
          <w:b w:val="0"/>
          <w:bCs w:val="0"/>
          <w:kern w:val="0"/>
          <w:sz w:val="24"/>
          <w:szCs w:val="24"/>
          <w:u w:color="FFFFFF"/>
        </w:rPr>
        <w:t>Efficacy assessment: After induction chemotherapy, immediate assessment after all treatment; recent efficacy assessment is the third month after treatment; long-term efficacy assessment is follow-up every 1 year after recent evaluation and every 1 year after 1 year;</w:t>
      </w:r>
    </w:p>
    <w:p>
      <w:pPr>
        <w:widowControl/>
        <w:numPr>
          <w:ilvl w:val="0"/>
          <w:numId w:val="6"/>
        </w:numPr>
        <w:spacing w:line="240" w:lineRule="auto"/>
        <w:rPr>
          <w:rFonts w:hint="default" w:ascii="Times New Roman" w:hAnsi="Times New Roman" w:cs="Times New Roman"/>
          <w:b w:val="0"/>
          <w:bCs w:val="0"/>
          <w:kern w:val="0"/>
          <w:sz w:val="24"/>
          <w:szCs w:val="24"/>
        </w:rPr>
      </w:pPr>
      <w:r>
        <w:rPr>
          <w:rFonts w:hint="default" w:ascii="Times New Roman" w:hAnsi="Times New Roman" w:cs="Times New Roman"/>
          <w:b w:val="0"/>
          <w:bCs w:val="0"/>
          <w:kern w:val="0"/>
          <w:sz w:val="24"/>
          <w:szCs w:val="24"/>
        </w:rPr>
        <w:t>End of the five-year follow-up visit</w:t>
      </w:r>
    </w:p>
    <w:p>
      <w:pPr>
        <w:rPr>
          <w:rFonts w:hint="default" w:ascii="Times New Roman" w:hAnsi="Times New Roman" w:cs="Times New Roman"/>
          <w:sz w:val="24"/>
          <w:szCs w:val="24"/>
        </w:rPr>
      </w:pPr>
    </w:p>
    <w:p>
      <w:pPr>
        <w:pStyle w:val="2"/>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rPr>
          <w:rFonts w:hint="default" w:ascii="Times New Roman" w:hAnsi="Times New Roman" w:cs="Times New Roman"/>
          <w:sz w:val="24"/>
          <w:szCs w:val="24"/>
          <w:u w:color="FFFFFF"/>
        </w:rPr>
      </w:pP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cs="Times New Roman"/>
          <w:sz w:val="24"/>
          <w:szCs w:val="24"/>
        </w:rPr>
      </w:pPr>
      <w:r>
        <w:rPr>
          <w:rFonts w:hint="eastAsia" w:eastAsia="TimesNewRomanPS-BoldMT" w:cs="Times New Roman"/>
          <w:b/>
          <w:bCs/>
          <w:color w:val="000000"/>
          <w:kern w:val="0"/>
          <w:sz w:val="24"/>
          <w:szCs w:val="24"/>
          <w:lang w:val="en-US" w:eastAsia="zh-CN" w:bidi="ar"/>
        </w:rPr>
        <w:t>5.</w:t>
      </w:r>
      <w:r>
        <w:rPr>
          <w:rFonts w:hint="default" w:ascii="Times New Roman" w:hAnsi="Times New Roman" w:eastAsia="TimesNewRomanPS-BoldMT" w:cs="Times New Roman"/>
          <w:b/>
          <w:bCs/>
          <w:color w:val="000000"/>
          <w:kern w:val="0"/>
          <w:sz w:val="24"/>
          <w:szCs w:val="24"/>
          <w:lang w:val="en-US" w:eastAsia="zh-CN" w:bidi="ar"/>
        </w:rPr>
        <w:t xml:space="preserve"> Objectives </w:t>
      </w:r>
    </w:p>
    <w:p>
      <w:pPr>
        <w:keepNext w:val="0"/>
        <w:keepLines w:val="0"/>
        <w:widowControl/>
        <w:suppressLineNumbers w:val="0"/>
        <w:spacing w:line="360" w:lineRule="auto"/>
        <w:jc w:val="left"/>
        <w:rPr>
          <w:rFonts w:hint="default" w:ascii="Times New Roman" w:hAnsi="Times New Roman" w:cs="Times New Roman"/>
          <w:sz w:val="24"/>
          <w:szCs w:val="24"/>
        </w:rPr>
      </w:pPr>
      <w:r>
        <w:rPr>
          <w:rFonts w:hint="eastAsia" w:eastAsia="TimesNewRomanPS-BoldMT" w:cs="Times New Roman"/>
          <w:b/>
          <w:bCs/>
          <w:color w:val="000000"/>
          <w:kern w:val="0"/>
          <w:sz w:val="24"/>
          <w:szCs w:val="24"/>
          <w:lang w:val="en-US" w:eastAsia="zh-CN" w:bidi="ar"/>
        </w:rPr>
        <w:t>5</w:t>
      </w:r>
      <w:r>
        <w:rPr>
          <w:rFonts w:hint="default" w:ascii="Times New Roman" w:hAnsi="Times New Roman" w:eastAsia="TimesNewRomanPS-BoldMT" w:cs="Times New Roman"/>
          <w:b/>
          <w:bCs/>
          <w:color w:val="000000"/>
          <w:kern w:val="0"/>
          <w:sz w:val="24"/>
          <w:szCs w:val="24"/>
          <w:lang w:val="en-US" w:eastAsia="zh-CN" w:bidi="ar"/>
        </w:rPr>
        <w:t xml:space="preserve">.1 Primary Objectives </w:t>
      </w:r>
    </w:p>
    <w:p>
      <w:pPr>
        <w:keepNext w:val="0"/>
        <w:keepLines w:val="0"/>
        <w:widowControl/>
        <w:suppressLineNumbers w:val="0"/>
        <w:spacing w:line="360" w:lineRule="auto"/>
        <w:jc w:val="both"/>
        <w:rPr>
          <w:rFonts w:hint="default" w:ascii="Times New Roman" w:hAnsi="Times New Roman" w:cs="Times New Roman"/>
          <w:b w:val="0"/>
          <w:bCs w:val="0"/>
          <w:sz w:val="24"/>
          <w:szCs w:val="24"/>
        </w:rPr>
      </w:pPr>
      <w:r>
        <w:rPr>
          <w:rFonts w:hint="default" w:ascii="Times New Roman" w:hAnsi="Times New Roman" w:eastAsia="宋体" w:cs="Times New Roman"/>
          <w:b w:val="0"/>
          <w:bCs w:val="0"/>
          <w:color w:val="000000"/>
          <w:kern w:val="0"/>
          <w:sz w:val="24"/>
          <w:szCs w:val="24"/>
          <w:lang w:val="en-US" w:eastAsia="zh-CN" w:bidi="ar"/>
        </w:rPr>
        <w:t xml:space="preserve">To assess </w:t>
      </w:r>
      <w:r>
        <w:rPr>
          <w:rFonts w:hint="default" w:ascii="Times New Roman" w:hAnsi="Times New Roman" w:cs="Times New Roman"/>
          <w:b w:val="0"/>
          <w:bCs w:val="0"/>
          <w:kern w:val="2"/>
          <w:sz w:val="24"/>
          <w:szCs w:val="24"/>
          <w:u w:color="FFFFFF"/>
          <w:lang w:val="en-US" w:eastAsia="zh-CN"/>
        </w:rPr>
        <w:t>3-year progression-free survival rate (PFS)</w:t>
      </w:r>
      <w:r>
        <w:rPr>
          <w:rFonts w:hint="default" w:ascii="Times New Roman" w:hAnsi="Times New Roman" w:eastAsia="宋体" w:cs="Times New Roman"/>
          <w:b w:val="0"/>
          <w:bCs w:val="0"/>
          <w:color w:val="000000"/>
          <w:kern w:val="0"/>
          <w:sz w:val="24"/>
          <w:szCs w:val="24"/>
          <w:lang w:val="en-US" w:eastAsia="zh-CN" w:bidi="ar"/>
        </w:rPr>
        <w:t xml:space="preserve"> of </w:t>
      </w:r>
      <w:r>
        <w:rPr>
          <w:rFonts w:hint="default" w:ascii="Times New Roman" w:hAnsi="Times New Roman" w:cs="Times New Roman"/>
          <w:b w:val="0"/>
          <w:bCs w:val="0"/>
          <w:sz w:val="24"/>
          <w:szCs w:val="24"/>
        </w:rPr>
        <w:t>TPF</w:t>
      </w:r>
      <w:r>
        <w:rPr>
          <w:rFonts w:hint="default" w:ascii="Times New Roman" w:hAnsi="Times New Roman" w:cs="Times New Roman"/>
          <w:b w:val="0"/>
          <w:bCs w:val="0"/>
          <w:sz w:val="24"/>
          <w:szCs w:val="24"/>
          <w:lang w:val="en-US" w:eastAsia="zh-CN"/>
        </w:rPr>
        <w:t xml:space="preserve"> </w:t>
      </w:r>
      <w:r>
        <w:rPr>
          <w:rFonts w:hint="eastAsia" w:cs="Times New Roman"/>
          <w:b w:val="0"/>
          <w:bCs w:val="0"/>
          <w:sz w:val="24"/>
          <w:szCs w:val="24"/>
          <w:lang w:val="en-US" w:eastAsia="zh-CN"/>
        </w:rPr>
        <w:t>(</w:t>
      </w:r>
      <w:r>
        <w:rPr>
          <w:rFonts w:hint="default" w:ascii="Times New Roman" w:hAnsi="Times New Roman" w:cs="Times New Roman"/>
          <w:sz w:val="24"/>
          <w:szCs w:val="24"/>
        </w:rPr>
        <w:t xml:space="preserve">docetaxel </w:t>
      </w:r>
      <w:r>
        <w:rPr>
          <w:rFonts w:hint="eastAsia" w:cs="Times New Roman"/>
          <w:sz w:val="24"/>
          <w:szCs w:val="24"/>
          <w:lang w:val="en-US" w:eastAsia="zh-CN"/>
        </w:rPr>
        <w:t>,c</w:t>
      </w:r>
      <w:r>
        <w:rPr>
          <w:rFonts w:hint="default" w:ascii="Times New Roman" w:hAnsi="Times New Roman" w:cs="Times New Roman"/>
          <w:sz w:val="24"/>
          <w:szCs w:val="24"/>
        </w:rPr>
        <w:t xml:space="preserve">isplatin, </w:t>
      </w:r>
      <w:r>
        <w:rPr>
          <w:rFonts w:hint="eastAsia" w:cs="Times New Roman"/>
          <w:sz w:val="24"/>
          <w:szCs w:val="24"/>
          <w:lang w:val="en-US" w:eastAsia="zh-CN"/>
        </w:rPr>
        <w:t>f</w:t>
      </w:r>
      <w:r>
        <w:rPr>
          <w:rFonts w:hint="default" w:ascii="Times New Roman" w:hAnsi="Times New Roman" w:cs="Times New Roman"/>
          <w:sz w:val="24"/>
          <w:szCs w:val="24"/>
        </w:rPr>
        <w:t>luorouracil</w:t>
      </w:r>
      <w:r>
        <w:rPr>
          <w:rFonts w:hint="eastAsia" w:cs="Times New Roman"/>
          <w:b w:val="0"/>
          <w:bCs w:val="0"/>
          <w:sz w:val="24"/>
          <w:szCs w:val="24"/>
          <w:lang w:val="en-US" w:eastAsia="zh-CN"/>
        </w:rPr>
        <w:t>)</w:t>
      </w:r>
      <w:r>
        <w:rPr>
          <w:rFonts w:hint="default" w:ascii="Times New Roman" w:hAnsi="Times New Roman" w:cs="Times New Roman"/>
          <w:b w:val="0"/>
          <w:bCs w:val="0"/>
          <w:sz w:val="24"/>
          <w:szCs w:val="24"/>
        </w:rPr>
        <w:t>induction</w:t>
      </w:r>
      <w:r>
        <w:rPr>
          <w:rFonts w:hint="default"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rPr>
        <w:t>chemotherapy versus PF</w:t>
      </w:r>
      <w:r>
        <w:rPr>
          <w:rFonts w:hint="eastAsia" w:cs="Times New Roman"/>
          <w:b w:val="0"/>
          <w:bCs w:val="0"/>
          <w:sz w:val="24"/>
          <w:szCs w:val="24"/>
          <w:lang w:val="en-US" w:eastAsia="zh-CN"/>
        </w:rPr>
        <w:t>(</w:t>
      </w:r>
      <w:r>
        <w:rPr>
          <w:rFonts w:hint="eastAsia" w:cs="Times New Roman"/>
          <w:sz w:val="24"/>
          <w:szCs w:val="24"/>
          <w:lang w:val="en-US" w:eastAsia="zh-CN"/>
        </w:rPr>
        <w:t>c</w:t>
      </w:r>
      <w:r>
        <w:rPr>
          <w:rFonts w:hint="default" w:ascii="Times New Roman" w:hAnsi="Times New Roman" w:cs="Times New Roman"/>
          <w:sz w:val="24"/>
          <w:szCs w:val="24"/>
        </w:rPr>
        <w:t xml:space="preserve">isplatin, </w:t>
      </w:r>
      <w:r>
        <w:rPr>
          <w:rFonts w:hint="eastAsia" w:cs="Times New Roman"/>
          <w:sz w:val="24"/>
          <w:szCs w:val="24"/>
          <w:lang w:val="en-US" w:eastAsia="zh-CN"/>
        </w:rPr>
        <w:t>f</w:t>
      </w:r>
      <w:r>
        <w:rPr>
          <w:rFonts w:hint="default" w:ascii="Times New Roman" w:hAnsi="Times New Roman" w:cs="Times New Roman"/>
          <w:sz w:val="24"/>
          <w:szCs w:val="24"/>
        </w:rPr>
        <w:t>luorouracil</w:t>
      </w:r>
      <w:r>
        <w:rPr>
          <w:rFonts w:hint="eastAsia" w:cs="Times New Roman"/>
          <w:b w:val="0"/>
          <w:bCs w:val="0"/>
          <w:sz w:val="24"/>
          <w:szCs w:val="24"/>
          <w:lang w:val="en-US" w:eastAsia="zh-CN"/>
        </w:rPr>
        <w:t>)</w:t>
      </w:r>
      <w:r>
        <w:rPr>
          <w:rFonts w:hint="default" w:ascii="Times New Roman" w:hAnsi="Times New Roman" w:cs="Times New Roman"/>
          <w:b w:val="0"/>
          <w:bCs w:val="0"/>
          <w:sz w:val="24"/>
          <w:szCs w:val="24"/>
        </w:rPr>
        <w:t xml:space="preserve"> adjuvant</w:t>
      </w:r>
      <w:r>
        <w:rPr>
          <w:rFonts w:hint="default"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rPr>
        <w:t>chemotherapy plus concurrent chemoradiotherapy for locally advanced nasopharyngeal carcinoma</w:t>
      </w:r>
      <w:r>
        <w:rPr>
          <w:rFonts w:hint="default" w:ascii="Times New Roman" w:hAnsi="Times New Roman" w:eastAsia="宋体"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cs="Times New Roman"/>
          <w:sz w:val="24"/>
          <w:szCs w:val="24"/>
        </w:rPr>
      </w:pPr>
      <w:r>
        <w:rPr>
          <w:rFonts w:hint="eastAsia" w:eastAsia="TimesNewRomanPS-BoldMT" w:cs="Times New Roman"/>
          <w:b/>
          <w:bCs/>
          <w:color w:val="000000"/>
          <w:kern w:val="0"/>
          <w:sz w:val="24"/>
          <w:szCs w:val="24"/>
          <w:lang w:val="en-US" w:eastAsia="zh-CN" w:bidi="ar"/>
        </w:rPr>
        <w:t>5</w:t>
      </w:r>
      <w:r>
        <w:rPr>
          <w:rFonts w:hint="default" w:ascii="Times New Roman" w:hAnsi="Times New Roman" w:eastAsia="TimesNewRomanPS-BoldMT" w:cs="Times New Roman"/>
          <w:b/>
          <w:bCs/>
          <w:color w:val="000000"/>
          <w:kern w:val="0"/>
          <w:sz w:val="24"/>
          <w:szCs w:val="24"/>
          <w:lang w:val="en-US" w:eastAsia="zh-CN" w:bidi="ar"/>
        </w:rPr>
        <w:t xml:space="preserve">.2 Secondary Objectives </w:t>
      </w:r>
    </w:p>
    <w:p>
      <w:pPr>
        <w:pStyle w:val="2"/>
        <w:spacing w:line="360" w:lineRule="auto"/>
        <w:jc w:val="both"/>
        <w:rPr>
          <w:rFonts w:hint="default" w:ascii="Times New Roman" w:hAnsi="Times New Roman" w:cs="Times New Roman"/>
          <w:b w:val="0"/>
          <w:bCs w:val="0"/>
          <w:sz w:val="24"/>
          <w:szCs w:val="24"/>
          <w:u w:color="FFFFFF"/>
        </w:rPr>
      </w:pPr>
      <w:r>
        <w:rPr>
          <w:rFonts w:hint="default" w:ascii="Times New Roman" w:hAnsi="Times New Roman" w:cs="Times New Roman"/>
          <w:b w:val="0"/>
          <w:bCs w:val="0"/>
          <w:sz w:val="24"/>
          <w:szCs w:val="24"/>
          <w:u w:color="FFFFFF"/>
        </w:rPr>
        <w:t>To compare the overall survival between the two</w:t>
      </w:r>
      <w:r>
        <w:rPr>
          <w:rFonts w:hint="default" w:ascii="Times New Roman" w:hAnsi="Times New Roman" w:cs="Times New Roman"/>
          <w:b w:val="0"/>
          <w:bCs w:val="0"/>
          <w:sz w:val="24"/>
          <w:szCs w:val="24"/>
          <w:u w:color="FFFFFF"/>
          <w:lang w:val="en-US" w:eastAsia="zh-CN"/>
        </w:rPr>
        <w:t xml:space="preserve"> </w:t>
      </w:r>
      <w:r>
        <w:rPr>
          <w:rFonts w:hint="default" w:ascii="Times New Roman" w:hAnsi="Times New Roman" w:cs="Times New Roman"/>
          <w:b w:val="0"/>
          <w:bCs w:val="0"/>
          <w:sz w:val="24"/>
          <w:szCs w:val="24"/>
          <w:u w:color="FFFFFF"/>
        </w:rPr>
        <w:t xml:space="preserve">groups (Overall survival, OS), Locoregional relapse-free Surviva(LRFS), </w:t>
      </w:r>
      <w:r>
        <w:rPr>
          <w:rFonts w:hint="default" w:ascii="Times New Roman" w:hAnsi="Times New Roman" w:cs="Times New Roman"/>
          <w:b w:val="0"/>
          <w:bCs w:val="0"/>
          <w:sz w:val="24"/>
          <w:szCs w:val="24"/>
          <w:u w:color="FFFFFF"/>
          <w:lang w:val="en-US" w:eastAsia="zh-CN"/>
        </w:rPr>
        <w:t>D</w:t>
      </w:r>
      <w:r>
        <w:rPr>
          <w:rFonts w:hint="default" w:ascii="Times New Roman" w:hAnsi="Times New Roman" w:cs="Times New Roman"/>
          <w:b w:val="0"/>
          <w:bCs w:val="0"/>
          <w:sz w:val="24"/>
          <w:szCs w:val="24"/>
          <w:u w:color="FFFFFF"/>
        </w:rPr>
        <w:t>istant metastasis-free survival (</w:t>
      </w:r>
      <w:r>
        <w:rPr>
          <w:rFonts w:hint="default" w:ascii="Times New Roman" w:hAnsi="Times New Roman" w:cs="Times New Roman"/>
          <w:b w:val="0"/>
          <w:bCs w:val="0"/>
          <w:sz w:val="24"/>
          <w:szCs w:val="24"/>
          <w:u w:color="FFFFFF"/>
          <w:lang w:val="en-US" w:eastAsia="zh-CN"/>
        </w:rPr>
        <w:t>DMFS</w:t>
      </w:r>
      <w:r>
        <w:rPr>
          <w:rFonts w:hint="default" w:ascii="Times New Roman" w:hAnsi="Times New Roman" w:cs="Times New Roman"/>
          <w:b w:val="0"/>
          <w:bCs w:val="0"/>
          <w:sz w:val="24"/>
          <w:szCs w:val="24"/>
          <w:u w:color="FFFFFF"/>
        </w:rPr>
        <w:t xml:space="preserve">), </w:t>
      </w:r>
      <w:r>
        <w:rPr>
          <w:rFonts w:hint="default" w:ascii="Times New Roman" w:hAnsi="Times New Roman" w:eastAsia="宋体" w:cs="Times New Roman"/>
          <w:b w:val="0"/>
          <w:bCs w:val="0"/>
          <w:i w:val="0"/>
          <w:iCs w:val="0"/>
          <w:caps w:val="0"/>
          <w:color w:val="auto"/>
          <w:spacing w:val="0"/>
          <w:sz w:val="24"/>
          <w:szCs w:val="24"/>
          <w:shd w:val="clear" w:fill="FFFFFF"/>
        </w:rPr>
        <w:t>Objective</w:t>
      </w:r>
      <w:r>
        <w:rPr>
          <w:rFonts w:hint="default" w:ascii="Times New Roman" w:hAnsi="Times New Roman" w:cs="Times New Roman"/>
          <w:b w:val="0"/>
          <w:bCs w:val="0"/>
          <w:i w:val="0"/>
          <w:iCs w:val="0"/>
          <w:caps w:val="0"/>
          <w:color w:val="auto"/>
          <w:spacing w:val="0"/>
          <w:sz w:val="24"/>
          <w:szCs w:val="24"/>
          <w:shd w:val="clear" w:fill="FFFFFF"/>
          <w:lang w:val="en-US" w:eastAsia="zh-CN"/>
        </w:rPr>
        <w:t xml:space="preserve"> </w:t>
      </w:r>
      <w:r>
        <w:rPr>
          <w:rFonts w:hint="default" w:ascii="Times New Roman" w:hAnsi="Times New Roman" w:eastAsia="宋体" w:cs="Times New Roman"/>
          <w:b w:val="0"/>
          <w:bCs w:val="0"/>
          <w:i w:val="0"/>
          <w:iCs w:val="0"/>
          <w:caps w:val="0"/>
          <w:color w:val="auto"/>
          <w:spacing w:val="0"/>
          <w:sz w:val="24"/>
          <w:szCs w:val="24"/>
          <w:shd w:val="clear" w:fill="FFFFFF"/>
        </w:rPr>
        <w:t>response rate</w:t>
      </w:r>
      <w:r>
        <w:rPr>
          <w:rFonts w:hint="default" w:ascii="Times New Roman" w:hAnsi="Times New Roman" w:cs="Times New Roman"/>
          <w:b w:val="0"/>
          <w:bCs w:val="0"/>
          <w:i w:val="0"/>
          <w:iCs w:val="0"/>
          <w:caps w:val="0"/>
          <w:color w:val="auto"/>
          <w:spacing w:val="0"/>
          <w:sz w:val="24"/>
          <w:szCs w:val="24"/>
          <w:shd w:val="clear" w:fill="FFFFFF"/>
          <w:lang w:val="en-US" w:eastAsia="zh-CN"/>
        </w:rPr>
        <w:t>(ORR)</w:t>
      </w:r>
      <w:r>
        <w:rPr>
          <w:rFonts w:hint="default" w:ascii="Times New Roman" w:hAnsi="Times New Roman" w:cs="Times New Roman"/>
          <w:b w:val="0"/>
          <w:bCs w:val="0"/>
          <w:sz w:val="24"/>
          <w:szCs w:val="24"/>
          <w:u w:color="FFFFFF"/>
        </w:rPr>
        <w:t>, tolerance, acute toxicity (gastrointestinal tract, hematology, liver and kidney function toxicity, etc.), long-term toxicity (neurotoxicity and ototoxicity, etc.), quality of life, etc.</w:t>
      </w:r>
    </w:p>
    <w:p>
      <w:pPr>
        <w:rPr>
          <w:rFonts w:hint="default"/>
        </w:rPr>
      </w:pPr>
    </w:p>
    <w:p>
      <w:pPr>
        <w:keepNext w:val="0"/>
        <w:keepLines w:val="0"/>
        <w:widowControl/>
        <w:suppressLineNumbers w:val="0"/>
        <w:spacing w:line="360" w:lineRule="auto"/>
        <w:jc w:val="left"/>
        <w:rPr>
          <w:rFonts w:hint="default" w:ascii="Times New Roman" w:hAnsi="Times New Roman" w:cs="Times New Roman"/>
          <w:sz w:val="24"/>
          <w:szCs w:val="24"/>
        </w:rPr>
      </w:pPr>
      <w:r>
        <w:rPr>
          <w:rFonts w:hint="eastAsia" w:eastAsia="TimesNewRomanPS-BoldMT" w:cs="Times New Roman"/>
          <w:b/>
          <w:bCs/>
          <w:color w:val="000000"/>
          <w:kern w:val="0"/>
          <w:sz w:val="24"/>
          <w:szCs w:val="24"/>
          <w:lang w:val="en-US" w:eastAsia="zh-CN" w:bidi="ar"/>
        </w:rPr>
        <w:t>6.</w:t>
      </w:r>
      <w:r>
        <w:rPr>
          <w:rFonts w:hint="default" w:ascii="Times New Roman" w:hAnsi="Times New Roman" w:eastAsia="TimesNewRomanPS-BoldMT" w:cs="Times New Roman"/>
          <w:b/>
          <w:bCs/>
          <w:color w:val="000000"/>
          <w:kern w:val="0"/>
          <w:sz w:val="24"/>
          <w:szCs w:val="24"/>
          <w:lang w:val="en-US" w:eastAsia="zh-CN" w:bidi="ar"/>
        </w:rPr>
        <w:t xml:space="preserve">Subject Enrollment </w:t>
      </w: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4"/>
          <w:szCs w:val="24"/>
          <w:lang w:val="en-US" w:eastAsia="zh-CN" w:bidi="ar"/>
        </w:rPr>
      </w:pPr>
      <w:r>
        <w:rPr>
          <w:rFonts w:hint="eastAsia" w:eastAsia="TimesNewRomanPS-BoldMT" w:cs="Times New Roman"/>
          <w:b/>
          <w:bCs/>
          <w:color w:val="000000"/>
          <w:kern w:val="0"/>
          <w:sz w:val="24"/>
          <w:szCs w:val="24"/>
          <w:lang w:val="en-US" w:eastAsia="zh-CN" w:bidi="ar"/>
        </w:rPr>
        <w:t>6</w:t>
      </w:r>
      <w:r>
        <w:rPr>
          <w:rFonts w:hint="default" w:ascii="Times New Roman" w:hAnsi="Times New Roman" w:eastAsia="TimesNewRomanPS-BoldMT" w:cs="Times New Roman"/>
          <w:b/>
          <w:bCs/>
          <w:color w:val="000000"/>
          <w:kern w:val="0"/>
          <w:sz w:val="24"/>
          <w:szCs w:val="24"/>
          <w:lang w:val="en-US" w:eastAsia="zh-CN" w:bidi="ar"/>
        </w:rPr>
        <w:t>.1 Eligibility Criteria</w:t>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Initial diagnosed patients, who did not undergo radiotherapy or chemotherapy before the clinical trial</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Pathological diagnosis of nasopharyngeal non-keratotic carcinoma (differentiated or undifferentiated type, namely WHO type III or III)</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fldChar w:fldCharType="begin"/>
      </w:r>
      <w:r>
        <w:rPr>
          <w:rFonts w:hint="default" w:ascii="Times New Roman" w:hAnsi="Times New Roman" w:cs="Times New Roman"/>
          <w:sz w:val="24"/>
          <w:szCs w:val="24"/>
          <w:u w:color="FFFFFF"/>
        </w:rPr>
        <w:instrText xml:space="preserve">= 2 \* ROMAN</w:instrText>
      </w:r>
      <w:r>
        <w:rPr>
          <w:rFonts w:hint="default" w:ascii="Times New Roman" w:hAnsi="Times New Roman" w:cs="Times New Roman"/>
          <w:sz w:val="24"/>
          <w:szCs w:val="24"/>
          <w:u w:color="FFFFFF"/>
        </w:rPr>
        <w:fldChar w:fldCharType="separate"/>
      </w:r>
      <w:r>
        <w:rPr>
          <w:rFonts w:hint="default" w:ascii="Times New Roman" w:hAnsi="Times New Roman" w:cs="Times New Roman"/>
          <w:sz w:val="24"/>
          <w:szCs w:val="24"/>
          <w:u w:color="FFFFFF"/>
        </w:rPr>
        <w:fldChar w:fldCharType="end"/>
      </w:r>
      <w:r>
        <w:rPr>
          <w:rFonts w:hint="default" w:ascii="Times New Roman" w:hAnsi="Times New Roman" w:cs="Times New Roman"/>
          <w:sz w:val="24"/>
          <w:szCs w:val="24"/>
          <w:u w:color="FFFFFF"/>
        </w:rPr>
        <w:fldChar w:fldCharType="begin"/>
      </w:r>
      <w:r>
        <w:rPr>
          <w:rFonts w:hint="default" w:ascii="Times New Roman" w:hAnsi="Times New Roman" w:cs="Times New Roman"/>
          <w:sz w:val="24"/>
          <w:szCs w:val="24"/>
          <w:u w:color="FFFFFF"/>
        </w:rPr>
        <w:instrText xml:space="preserve">= 3 \* ROMAN</w:instrText>
      </w:r>
      <w:r>
        <w:rPr>
          <w:rFonts w:hint="default" w:ascii="Times New Roman" w:hAnsi="Times New Roman" w:cs="Times New Roman"/>
          <w:sz w:val="24"/>
          <w:szCs w:val="24"/>
          <w:u w:color="FFFFFF"/>
        </w:rPr>
        <w:fldChar w:fldCharType="separate"/>
      </w:r>
      <w:r>
        <w:rPr>
          <w:rFonts w:hint="default" w:ascii="Times New Roman" w:hAnsi="Times New Roman" w:cs="Times New Roman"/>
          <w:sz w:val="24"/>
          <w:szCs w:val="24"/>
          <w:u w:color="FFFFFF"/>
        </w:rPr>
        <w:fldChar w:fldCharType="end"/>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cs="Times New Roman"/>
          <w:sz w:val="24"/>
          <w:szCs w:val="24"/>
          <w:u w:color="FFFFFF"/>
        </w:rPr>
      </w:pPr>
      <w:r>
        <w:rPr>
          <w:rFonts w:hint="default" w:ascii="Times New Roman" w:hAnsi="Times New Roman" w:cs="Times New Roman"/>
          <w:b w:val="0"/>
          <w:bCs/>
          <w:sz w:val="24"/>
          <w:szCs w:val="24"/>
          <w:lang w:val="en-US" w:eastAsia="zh-CN"/>
        </w:rPr>
        <w:t>Stage III, IVa patients (AJCC Stage 8).</w:t>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eastAsia="宋体" w:cs="Times New Roman"/>
          <w:sz w:val="24"/>
          <w:szCs w:val="24"/>
          <w:lang w:eastAsia="zh-CN"/>
        </w:rPr>
      </w:pPr>
      <w:r>
        <w:rPr>
          <w:rFonts w:hint="default" w:ascii="Times New Roman" w:hAnsi="Times New Roman" w:cs="Times New Roman"/>
          <w:sz w:val="24"/>
          <w:szCs w:val="24"/>
          <w:u w:color="FFFFFF"/>
        </w:rPr>
        <w:t>Male women or non-pregnant women</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eastAsia="宋体" w:cs="Times New Roman"/>
          <w:sz w:val="24"/>
          <w:szCs w:val="24"/>
          <w:u w:color="FFFFFF"/>
          <w:lang w:eastAsia="zh-CN"/>
        </w:rPr>
      </w:pPr>
      <w:r>
        <w:rPr>
          <w:rFonts w:hint="default" w:ascii="Times New Roman" w:hAnsi="Times New Roman" w:cs="Times New Roman"/>
          <w:sz w:val="24"/>
          <w:szCs w:val="24"/>
          <w:u w:color="FFFFFF"/>
        </w:rPr>
        <w:t>Age: 18 and &lt;70 years</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cs="Times New Roman"/>
          <w:sz w:val="24"/>
          <w:szCs w:val="24"/>
          <w:u w:color="FFFFFF"/>
        </w:rPr>
      </w:pPr>
      <w:r>
        <w:rPr>
          <w:rFonts w:hint="default" w:ascii="Times New Roman" w:hAnsi="Times New Roman" w:eastAsia="宋体" w:cs="Times New Roman"/>
          <w:sz w:val="24"/>
          <w:szCs w:val="24"/>
        </w:rPr>
        <w:t>Functional status: Casco score (Karnofsky scale, KPS)</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rPr>
        <w:t xml:space="preserve"> 70</w:t>
      </w:r>
      <w:r>
        <w:rPr>
          <w:rFonts w:hint="default" w:ascii="Times New Roman" w:hAnsi="Times New Roman" w:cs="Times New Roman"/>
          <w:sz w:val="24"/>
          <w:szCs w:val="24"/>
          <w:lang w:val="en-US" w:eastAsia="zh-CN"/>
        </w:rPr>
        <w:t>.</w:t>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 xml:space="preserve">White blood cells (WBC) </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4</w:t>
      </w:r>
      <w:r>
        <w:rPr>
          <w:rFonts w:hint="default" w:ascii="Times New Roman" w:hAnsi="Times New Roman" w:cs="Times New Roman"/>
          <w:sz w:val="24"/>
          <w:szCs w:val="24"/>
          <w:u w:color="FFFFFF"/>
          <w:lang w:val="en-US" w:eastAsia="zh-CN"/>
        </w:rPr>
        <w:t>x</w:t>
      </w:r>
      <w:r>
        <w:rPr>
          <w:rFonts w:hint="default" w:ascii="Times New Roman" w:hAnsi="Times New Roman" w:cs="Times New Roman"/>
          <w:sz w:val="24"/>
          <w:szCs w:val="24"/>
          <w:u w:color="FFFFFF"/>
        </w:rPr>
        <w:t>10</w:t>
      </w:r>
      <w:r>
        <w:rPr>
          <w:rFonts w:hint="default" w:ascii="Times New Roman" w:hAnsi="Times New Roman" w:cs="Times New Roman"/>
          <w:sz w:val="24"/>
          <w:szCs w:val="24"/>
          <w:u w:color="FFFFFF"/>
          <w:vertAlign w:val="superscript"/>
        </w:rPr>
        <w:t>9</w:t>
      </w:r>
      <w:r>
        <w:rPr>
          <w:rFonts w:hint="default" w:ascii="Times New Roman" w:hAnsi="Times New Roman" w:cs="Times New Roman"/>
          <w:sz w:val="24"/>
          <w:szCs w:val="24"/>
          <w:u w:color="FFFFFF"/>
        </w:rPr>
        <w:t>/ L, Hemoglobin (HGB)</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90</w:t>
      </w:r>
      <w:r>
        <w:rPr>
          <w:rFonts w:hint="default" w:ascii="Times New Roman" w:hAnsi="Times New Roman" w:cs="Times New Roman"/>
          <w:sz w:val="24"/>
          <w:szCs w:val="24"/>
          <w:u w:color="FFFFFF"/>
          <w:lang w:val="en-US" w:eastAsia="zh-CN"/>
        </w:rPr>
        <w:t>g</w:t>
      </w:r>
      <w:r>
        <w:rPr>
          <w:rFonts w:hint="default" w:ascii="Times New Roman" w:hAnsi="Times New Roman" w:cs="Times New Roman"/>
          <w:sz w:val="24"/>
          <w:szCs w:val="24"/>
          <w:u w:color="FFFFFF"/>
        </w:rPr>
        <w:t>/</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 xml:space="preserve">L, Platelet (PLT) </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100</w:t>
      </w:r>
      <w:r>
        <w:rPr>
          <w:rFonts w:hint="default" w:ascii="Times New Roman" w:hAnsi="Times New Roman" w:cs="Times New Roman"/>
          <w:sz w:val="24"/>
          <w:szCs w:val="24"/>
          <w:u w:color="FFFFFF"/>
          <w:lang w:val="en-US" w:eastAsia="zh-CN"/>
        </w:rPr>
        <w:t>x</w:t>
      </w:r>
      <w:r>
        <w:rPr>
          <w:rFonts w:hint="default" w:ascii="Times New Roman" w:hAnsi="Times New Roman" w:cs="Times New Roman"/>
          <w:sz w:val="24"/>
          <w:szCs w:val="24"/>
          <w:u w:color="FFFFFF"/>
        </w:rPr>
        <w:t>10</w:t>
      </w:r>
      <w:r>
        <w:rPr>
          <w:rFonts w:hint="default" w:ascii="Times New Roman" w:hAnsi="Times New Roman" w:cs="Times New Roman"/>
          <w:sz w:val="24"/>
          <w:szCs w:val="24"/>
          <w:u w:color="FFFFFF"/>
          <w:vertAlign w:val="superscript"/>
        </w:rPr>
        <w:t>9</w:t>
      </w:r>
      <w:r>
        <w:rPr>
          <w:rFonts w:hint="default" w:ascii="Times New Roman" w:hAnsi="Times New Roman" w:cs="Times New Roman"/>
          <w:sz w:val="24"/>
          <w:szCs w:val="24"/>
          <w:u w:color="FFFFFF"/>
        </w:rPr>
        <w:t xml:space="preserve">/L </w:t>
      </w:r>
      <w:r>
        <w:rPr>
          <w:rFonts w:hint="default" w:ascii="Times New Roman" w:hAnsi="Times New Roman" w:cs="Times New Roman"/>
          <w:sz w:val="24"/>
          <w:szCs w:val="24"/>
          <w:u w:color="FFFFFF"/>
          <w:lang w:val="en-US" w:eastAsia="zh-CN"/>
        </w:rPr>
        <w:t>(Or within the laboratory normal range).</w:t>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Liver function:</w:t>
      </w:r>
      <w:r>
        <w:rPr>
          <w:rFonts w:hint="default" w:ascii="Times New Roman" w:hAnsi="Times New Roman" w:cs="Times New Roman"/>
          <w:sz w:val="24"/>
          <w:szCs w:val="24"/>
          <w:u w:color="FFFFFF"/>
          <w:lang w:val="en-US" w:eastAsia="zh-CN"/>
        </w:rPr>
        <w:t>t</w:t>
      </w:r>
      <w:r>
        <w:rPr>
          <w:rFonts w:hint="default" w:ascii="Times New Roman" w:hAnsi="Times New Roman" w:cs="Times New Roman"/>
          <w:sz w:val="24"/>
          <w:szCs w:val="24"/>
          <w:u w:color="FFFFFF"/>
        </w:rPr>
        <w:t>ransaminase (ALT), upper limit of transaminase (AST)</w:t>
      </w:r>
      <w:r>
        <w:rPr>
          <w:rFonts w:hint="default" w:ascii="Times New Roman" w:hAnsi="Times New Roman" w:cs="Times New Roman"/>
          <w:sz w:val="24"/>
          <w:szCs w:val="24"/>
          <w:u w:color="FFFFFF"/>
          <w:lang w:val="en-US" w:eastAsia="zh-CN"/>
        </w:rPr>
        <w:t>≤1.5</w:t>
      </w:r>
      <w:r>
        <w:rPr>
          <w:rFonts w:hint="default" w:ascii="Times New Roman" w:hAnsi="Times New Roman" w:cs="Times New Roman"/>
          <w:sz w:val="24"/>
          <w:szCs w:val="24"/>
          <w:u w:color="FFFFFF"/>
        </w:rPr>
        <w:t xml:space="preserve"> ULN; total bilirubin</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 xml:space="preserve"> 1.5</w:t>
      </w:r>
      <w:r>
        <w:rPr>
          <w:rFonts w:hint="default" w:ascii="Times New Roman" w:hAnsi="Times New Roman" w:cs="Times New Roman"/>
          <w:sz w:val="24"/>
          <w:szCs w:val="24"/>
          <w:u w:color="FFFFFF"/>
          <w:lang w:val="en-US" w:eastAsia="zh-CN"/>
        </w:rPr>
        <w:t>x</w:t>
      </w:r>
      <w:r>
        <w:rPr>
          <w:rFonts w:hint="default" w:ascii="Times New Roman" w:hAnsi="Times New Roman" w:cs="Times New Roman"/>
          <w:sz w:val="24"/>
          <w:szCs w:val="24"/>
          <w:u w:color="FFFFFF"/>
        </w:rPr>
        <w:t xml:space="preserve"> ULN</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eastAsia="TimesNewRomanPS-BoldMT" w:cs="Times New Roman"/>
          <w:b/>
          <w:bCs/>
          <w:color w:val="000000"/>
          <w:kern w:val="0"/>
          <w:sz w:val="24"/>
          <w:szCs w:val="24"/>
          <w:lang w:val="en-US" w:eastAsia="zh-CN" w:bidi="ar"/>
        </w:rPr>
      </w:pPr>
      <w:r>
        <w:rPr>
          <w:rFonts w:hint="default" w:ascii="Times New Roman" w:hAnsi="Times New Roman" w:cs="Times New Roman"/>
          <w:sz w:val="24"/>
          <w:szCs w:val="24"/>
          <w:u w:color="FFFFFF"/>
        </w:rPr>
        <w:t xml:space="preserve">Renal function: creatinine clearance of </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 xml:space="preserve">60 ml/min or serum creatinine of </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rPr>
        <w:t>1.5 ULN</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7"/>
        </w:numPr>
        <w:tabs>
          <w:tab w:val="left" w:pos="420"/>
        </w:tabs>
        <w:kinsoku/>
        <w:wordWrap/>
        <w:overflowPunct/>
        <w:topLinePunct w:val="0"/>
        <w:autoSpaceDE/>
        <w:autoSpaceDN/>
        <w:bidi w:val="0"/>
        <w:adjustRightInd/>
        <w:snapToGrid/>
        <w:spacing w:before="100" w:beforeAutospacing="1" w:after="100" w:afterAutospacing="1" w:line="360" w:lineRule="auto"/>
        <w:ind w:left="0" w:leftChars="0" w:firstLine="0" w:firstLineChars="0"/>
        <w:textAlignment w:val="auto"/>
        <w:outlineLvl w:val="9"/>
        <w:rPr>
          <w:rFonts w:hint="default" w:ascii="Times New Roman" w:hAnsi="Times New Roman" w:eastAsia="TimesNewRomanPS-BoldMT" w:cs="Times New Roman"/>
          <w:b/>
          <w:bCs/>
          <w:color w:val="000000"/>
          <w:kern w:val="0"/>
          <w:sz w:val="24"/>
          <w:szCs w:val="24"/>
          <w:lang w:val="en-US" w:eastAsia="zh-CN" w:bidi="ar"/>
        </w:rPr>
      </w:pPr>
      <w:r>
        <w:rPr>
          <w:rFonts w:hint="default" w:ascii="Times New Roman" w:hAnsi="Times New Roman" w:cs="Times New Roman"/>
          <w:kern w:val="2"/>
          <w:sz w:val="24"/>
          <w:szCs w:val="24"/>
          <w:u w:color="FFFFFF"/>
          <w:lang w:val="en-US" w:eastAsia="zh-CN"/>
        </w:rPr>
        <w:t>The patient has already signed the informed consent form.</w:t>
      </w:r>
    </w:p>
    <w:p>
      <w:pPr>
        <w:keepNext w:val="0"/>
        <w:keepLines w:val="0"/>
        <w:widowControl/>
        <w:suppressLineNumbers w:val="0"/>
        <w:jc w:val="left"/>
        <w:rPr>
          <w:rFonts w:hint="default" w:ascii="Times New Roman" w:hAnsi="Times New Roman" w:cs="Times New Roman"/>
          <w:b/>
          <w:bCs/>
          <w:sz w:val="24"/>
          <w:szCs w:val="24"/>
        </w:rPr>
      </w:pPr>
      <w:r>
        <w:rPr>
          <w:rFonts w:hint="default" w:ascii="Times New Roman" w:hAnsi="Times New Roman" w:cs="Times New Roman"/>
          <w:b/>
          <w:bCs/>
          <w:kern w:val="2"/>
          <w:sz w:val="24"/>
          <w:szCs w:val="24"/>
          <w:u w:color="FFFFFF"/>
          <w:lang w:val="en-US" w:eastAsia="zh-CN"/>
        </w:rPr>
        <w:t xml:space="preserve">6.2 </w:t>
      </w:r>
      <w:r>
        <w:rPr>
          <w:rFonts w:hint="default" w:ascii="Times New Roman" w:hAnsi="Times New Roman" w:eastAsia="TimesNewRomanPS-BoldMT" w:cs="Times New Roman"/>
          <w:b/>
          <w:bCs/>
          <w:color w:val="000000"/>
          <w:kern w:val="0"/>
          <w:sz w:val="24"/>
          <w:szCs w:val="24"/>
          <w:lang w:val="en-US" w:eastAsia="zh-CN" w:bidi="ar"/>
        </w:rPr>
        <w:t>Exclusion Criteria</w:t>
      </w:r>
    </w:p>
    <w:p>
      <w:pPr>
        <w:keepNext w:val="0"/>
        <w:keepLines w:val="0"/>
        <w:pageBreakBefore w:val="0"/>
        <w:widowControl w:val="0"/>
        <w:numPr>
          <w:ilvl w:val="0"/>
          <w:numId w:val="8"/>
        </w:numPr>
        <w:kinsoku/>
        <w:wordWrap/>
        <w:overflowPunct/>
        <w:topLinePunct w:val="0"/>
        <w:autoSpaceDE/>
        <w:autoSpaceDN/>
        <w:bidi w:val="0"/>
        <w:adjustRightInd/>
        <w:snapToGrid/>
        <w:spacing w:afterLines="50" w:line="240" w:lineRule="auto"/>
        <w:ind w:left="425" w:leftChars="0" w:hanging="425" w:firstLineChars="0"/>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The pathological type is keratinized squamous cell carcinoma or basal squamous cell carcinoma of WHO</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afterLines="50" w:line="240" w:lineRule="auto"/>
        <w:ind w:left="425" w:leftChars="0" w:hanging="425" w:firstLineChars="0"/>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 xml:space="preserve">Age: </w:t>
      </w:r>
      <w:r>
        <w:rPr>
          <w:rFonts w:hint="default" w:ascii="Times New Roman" w:hAnsi="Times New Roman" w:cs="Times New Roman"/>
          <w:sz w:val="24"/>
          <w:szCs w:val="24"/>
          <w:u w:color="FFFFFF"/>
          <w:lang w:val="en-US" w:eastAsia="zh-CN"/>
        </w:rPr>
        <w:t>≥</w:t>
      </w:r>
      <w:r>
        <w:rPr>
          <w:rFonts w:hint="default" w:ascii="Times New Roman" w:hAnsi="Times New Roman" w:cs="Times New Roman"/>
          <w:sz w:val="24"/>
          <w:szCs w:val="24"/>
          <w:u w:color="FFFFFF"/>
          <w:lang w:eastAsia="zh-CN"/>
        </w:rPr>
        <w:t>70 years or &lt;18 years</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afterLines="50" w:line="240" w:lineRule="auto"/>
        <w:ind w:left="425" w:leftChars="0" w:hanging="425" w:firstLineChars="0"/>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The treatment is palliative</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afterLines="50" w:line="240" w:lineRule="auto"/>
        <w:ind w:left="425" w:leftChars="0" w:hanging="425" w:firstLineChars="0"/>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A previous history of malignancy, except for adequately treated basal cell carcinoma or squamous cell carcinoma and cervical carcinoma in situ</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afterLines="50" w:line="240" w:lineRule="auto"/>
        <w:ind w:left="425" w:leftChars="0" w:hanging="425" w:firstLineChars="0"/>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Women during pregnancy or lactation (pregnancy test examination should be considered for women of childbearing age; effective contraception should be emphasized during treatment)</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afterLines="50" w:line="240" w:lineRule="auto"/>
        <w:ind w:left="425" w:leftChars="0" w:hanging="425" w:firstLineChars="0"/>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Previous radiation therapy (except for non-melanoma skin cancer with previous lesions located outside the target area of radiotherapy)</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afterLines="50" w:line="240" w:lineRule="auto"/>
        <w:ind w:left="425" w:leftChars="0" w:hanging="425" w:firstLineChars="0"/>
        <w:textAlignment w:val="auto"/>
        <w:outlineLvl w:val="9"/>
        <w:rPr>
          <w:rFonts w:hint="default" w:ascii="Times New Roman" w:hAnsi="Times New Roman" w:cs="Times New Roman"/>
          <w:sz w:val="24"/>
          <w:szCs w:val="24"/>
          <w:u w:color="FFFFFF"/>
          <w:lang w:val="en-US" w:eastAsia="zh-CN"/>
        </w:rPr>
      </w:pPr>
      <w:r>
        <w:rPr>
          <w:rFonts w:hint="default" w:ascii="Times New Roman" w:hAnsi="Times New Roman" w:cs="Times New Roman"/>
          <w:sz w:val="24"/>
          <w:szCs w:val="24"/>
          <w:u w:color="FFFFFF"/>
          <w:lang w:eastAsia="zh-CN"/>
        </w:rPr>
        <w:t>Primary lesions and cervical metastatic lesions have been treated with chemotherapy or surgery (except for diagnostic treatment)</w:t>
      </w:r>
      <w:r>
        <w:rPr>
          <w:rFonts w:hint="default" w:ascii="Times New Roman" w:hAnsi="Times New Roman" w:cs="Times New Roman"/>
          <w:sz w:val="24"/>
          <w:szCs w:val="24"/>
          <w:u w:color="FFFFFF"/>
          <w:lang w:val="en-US" w:eastAsia="zh-CN"/>
        </w:rPr>
        <w:t>.</w:t>
      </w:r>
    </w:p>
    <w:p>
      <w:pPr>
        <w:keepNext w:val="0"/>
        <w:keepLines w:val="0"/>
        <w:pageBreakBefore w:val="0"/>
        <w:widowControl w:val="0"/>
        <w:numPr>
          <w:ilvl w:val="0"/>
          <w:numId w:val="8"/>
        </w:numPr>
        <w:tabs>
          <w:tab w:val="left" w:pos="420"/>
        </w:tabs>
        <w:kinsoku/>
        <w:wordWrap/>
        <w:overflowPunct/>
        <w:topLinePunct w:val="0"/>
        <w:autoSpaceDE/>
        <w:autoSpaceDN/>
        <w:bidi w:val="0"/>
        <w:adjustRightInd/>
        <w:snapToGrid/>
        <w:spacing w:before="100" w:beforeAutospacing="1" w:after="100" w:afterAutospacing="1" w:line="360" w:lineRule="auto"/>
        <w:ind w:left="425" w:leftChars="0" w:hanging="425" w:firstLineChars="0"/>
        <w:textAlignment w:val="auto"/>
        <w:outlineLvl w:val="9"/>
        <w:rPr>
          <w:rFonts w:hint="default" w:ascii="Times New Roman" w:hAnsi="Times New Roman" w:eastAsia="TimesNewRomanPS-BoldMT" w:cs="Times New Roman"/>
          <w:b/>
          <w:bCs/>
          <w:color w:val="000000"/>
          <w:kern w:val="0"/>
          <w:sz w:val="24"/>
          <w:szCs w:val="24"/>
          <w:lang w:val="en-US" w:eastAsia="zh-CN" w:bidi="ar"/>
        </w:rPr>
      </w:pPr>
      <w:r>
        <w:rPr>
          <w:rFonts w:hint="default" w:ascii="Times New Roman" w:hAnsi="Times New Roman" w:cs="Times New Roman"/>
          <w:sz w:val="24"/>
          <w:szCs w:val="24"/>
          <w:u w:color="FFFFFF"/>
          <w:lang w:eastAsia="zh-CN"/>
        </w:rPr>
        <w:t>Having other serious diseases may cause greater risk or affect the compliance of the test. For example: unstable heart disease requiring treatment, kidney disease, chronic hepatitis, unsatisfactory control of diabetes (fasting glucose&gt; 1.5</w:t>
      </w:r>
      <w:r>
        <w:rPr>
          <w:rFonts w:hint="default" w:ascii="Times New Roman" w:hAnsi="Times New Roman" w:cs="Times New Roman"/>
          <w:sz w:val="24"/>
          <w:szCs w:val="24"/>
          <w:u w:color="FFFFFF"/>
          <w:lang w:val="en-US" w:eastAsia="zh-CN"/>
        </w:rPr>
        <w:t>x</w:t>
      </w:r>
      <w:r>
        <w:rPr>
          <w:rFonts w:hint="default" w:ascii="Times New Roman" w:hAnsi="Times New Roman" w:cs="Times New Roman"/>
          <w:sz w:val="24"/>
          <w:szCs w:val="24"/>
          <w:u w:color="FFFFFF"/>
          <w:lang w:eastAsia="zh-CN"/>
        </w:rPr>
        <w:t xml:space="preserve"> ULN), and for psychiatric disorders.</w:t>
      </w:r>
    </w:p>
    <w:p>
      <w:pPr>
        <w:keepNext w:val="0"/>
        <w:keepLines w:val="0"/>
        <w:widowControl/>
        <w:suppressLineNumbers w:val="0"/>
        <w:jc w:val="left"/>
        <w:rPr>
          <w:rFonts w:hint="default" w:ascii="Times New Roman" w:hAnsi="Times New Roman" w:eastAsia="TimesNewRomanPS-BoldMT" w:cs="Times New Roman"/>
          <w:b/>
          <w:bCs/>
          <w:color w:val="000000"/>
          <w:kern w:val="0"/>
          <w:sz w:val="24"/>
          <w:szCs w:val="24"/>
          <w:lang w:val="en-US" w:eastAsia="zh-CN" w:bidi="ar"/>
        </w:rPr>
      </w:pPr>
      <w:r>
        <w:rPr>
          <w:rFonts w:hint="default" w:ascii="Times New Roman" w:hAnsi="Times New Roman" w:cs="Times New Roman"/>
          <w:b/>
          <w:bCs/>
          <w:sz w:val="24"/>
          <w:szCs w:val="24"/>
          <w:u w:color="FFFFFF"/>
          <w:lang w:val="en-US" w:eastAsia="zh-CN"/>
        </w:rPr>
        <w:t>6.3</w:t>
      </w:r>
      <w:r>
        <w:rPr>
          <w:rFonts w:hint="eastAsia" w:cs="Times New Roman"/>
          <w:b/>
          <w:bCs/>
          <w:sz w:val="24"/>
          <w:szCs w:val="24"/>
          <w:u w:color="FFFFFF"/>
          <w:lang w:val="en-US" w:eastAsia="zh-CN"/>
        </w:rPr>
        <w:t xml:space="preserve"> </w:t>
      </w:r>
      <w:r>
        <w:rPr>
          <w:rFonts w:hint="default" w:ascii="Times New Roman" w:hAnsi="Times New Roman" w:eastAsia="TimesNewRomanPS-BoldMT" w:cs="Times New Roman"/>
          <w:b/>
          <w:bCs/>
          <w:color w:val="000000"/>
          <w:kern w:val="0"/>
          <w:sz w:val="24"/>
          <w:szCs w:val="24"/>
          <w:lang w:val="en-US" w:eastAsia="zh-CN" w:bidi="ar"/>
        </w:rPr>
        <w:t>Criteria for withdrawal from protocol treatment</w:t>
      </w:r>
    </w:p>
    <w:p>
      <w:pPr>
        <w:keepNext w:val="0"/>
        <w:keepLines w:val="0"/>
        <w:pageBreakBefore w:val="0"/>
        <w:widowControl w:val="0"/>
        <w:numPr>
          <w:ilvl w:val="0"/>
          <w:numId w:val="9"/>
        </w:numPr>
        <w:tabs>
          <w:tab w:val="left" w:pos="840"/>
          <w:tab w:val="left" w:pos="1440"/>
        </w:tabs>
        <w:kinsoku/>
        <w:wordWrap/>
        <w:overflowPunct/>
        <w:topLinePunct w:val="0"/>
        <w:autoSpaceDE/>
        <w:autoSpaceDN/>
        <w:bidi w:val="0"/>
        <w:adjustRightInd/>
        <w:snapToGrid/>
        <w:spacing w:afterLines="50" w:line="360" w:lineRule="auto"/>
        <w:ind w:left="345" w:leftChars="50" w:hanging="240" w:hangingChars="10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During the study, if the subject has serious adverse events or intolerable toxic effects, PI approved withdrawal from the study (included in the safety analysis).</w:t>
      </w:r>
    </w:p>
    <w:p>
      <w:pPr>
        <w:keepNext w:val="0"/>
        <w:keepLines w:val="0"/>
        <w:pageBreakBefore w:val="0"/>
        <w:widowControl w:val="0"/>
        <w:numPr>
          <w:ilvl w:val="0"/>
          <w:numId w:val="9"/>
        </w:numPr>
        <w:tabs>
          <w:tab w:val="left" w:pos="840"/>
          <w:tab w:val="left" w:pos="1440"/>
        </w:tabs>
        <w:kinsoku/>
        <w:wordWrap/>
        <w:overflowPunct/>
        <w:topLinePunct w:val="0"/>
        <w:autoSpaceDE/>
        <w:autoSpaceDN/>
        <w:bidi w:val="0"/>
        <w:adjustRightInd/>
        <w:snapToGrid/>
        <w:spacing w:afterLines="50" w:line="360" w:lineRule="auto"/>
        <w:ind w:left="345" w:leftChars="50" w:hanging="240" w:hangingChars="10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During the course of the study, if more than half of the subjects develop intolerable toxic reactions, or continuous serious adverse events, the PI may propose to terminate the test early.</w:t>
      </w:r>
    </w:p>
    <w:p>
      <w:pPr>
        <w:keepNext w:val="0"/>
        <w:keepLines w:val="0"/>
        <w:pageBreakBefore w:val="0"/>
        <w:widowControl w:val="0"/>
        <w:numPr>
          <w:ilvl w:val="0"/>
          <w:numId w:val="9"/>
        </w:numPr>
        <w:tabs>
          <w:tab w:val="left" w:pos="840"/>
          <w:tab w:val="left" w:pos="1440"/>
        </w:tabs>
        <w:kinsoku/>
        <w:wordWrap/>
        <w:overflowPunct/>
        <w:topLinePunct w:val="0"/>
        <w:autoSpaceDE/>
        <w:autoSpaceDN/>
        <w:bidi w:val="0"/>
        <w:adjustRightInd/>
        <w:snapToGrid/>
        <w:spacing w:afterLines="50" w:line="360" w:lineRule="auto"/>
        <w:ind w:left="345" w:leftChars="50" w:hanging="240" w:hangingChars="100"/>
        <w:textAlignment w:val="auto"/>
        <w:outlineLvl w:val="9"/>
        <w:rPr>
          <w:rFonts w:hint="default" w:ascii="Times New Roman" w:hAnsi="Times New Roman" w:cs="Times New Roman"/>
          <w:sz w:val="24"/>
          <w:szCs w:val="24"/>
          <w:u w:color="FFFFFF"/>
        </w:rPr>
      </w:pPr>
      <w:r>
        <w:rPr>
          <w:rFonts w:hint="default" w:ascii="Times New Roman" w:hAnsi="Times New Roman" w:cs="Times New Roman"/>
          <w:sz w:val="24"/>
          <w:szCs w:val="24"/>
          <w:u w:color="FFFFFF"/>
        </w:rPr>
        <w:t>During the study, the subject experienced a pregnancy event.</w:t>
      </w: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4"/>
          <w:szCs w:val="24"/>
          <w:lang w:val="en-US" w:eastAsia="zh-CN" w:bidi="ar"/>
        </w:rPr>
      </w:pPr>
      <w:r>
        <w:rPr>
          <w:rFonts w:hint="default" w:ascii="Times New Roman" w:hAnsi="Times New Roman" w:cs="Times New Roman"/>
          <w:sz w:val="24"/>
          <w:szCs w:val="24"/>
          <w:u w:color="FFFFFF"/>
          <w:lang w:val="en-US" w:eastAsia="zh-CN"/>
        </w:rPr>
        <w:t xml:space="preserve"> </w:t>
      </w:r>
      <w:r>
        <w:rPr>
          <w:rFonts w:hint="default" w:ascii="Times New Roman" w:hAnsi="Times New Roman" w:cs="Times New Roman"/>
          <w:sz w:val="24"/>
          <w:szCs w:val="24"/>
          <w:u w:color="FFFFFF"/>
        </w:rPr>
        <w:t>The subject withdrew his informed consent and requested his withdrawal.</w:t>
      </w:r>
    </w:p>
    <w:p>
      <w:pPr>
        <w:rPr>
          <w:rFonts w:hint="default" w:ascii="Times New Roman" w:hAnsi="Times New Roman" w:cs="Times New Roman"/>
          <w:b w:val="0"/>
          <w:bCs w:val="0"/>
          <w:sz w:val="24"/>
          <w:szCs w:val="24"/>
          <w:u w:color="FFFFFF"/>
          <w:lang w:val="en-US" w:eastAsia="zh-CN"/>
        </w:rPr>
      </w:pPr>
    </w:p>
    <w:p>
      <w:pPr>
        <w:rPr>
          <w:rFonts w:hint="default" w:ascii="Times New Roman" w:hAnsi="Times New Roman" w:cs="Times New Roman"/>
          <w:b w:val="0"/>
          <w:bCs w:val="0"/>
          <w:sz w:val="24"/>
          <w:szCs w:val="24"/>
          <w:u w:color="FFFFFF"/>
          <w:lang w:val="en-US" w:eastAsia="zh-CN"/>
        </w:rPr>
      </w:pPr>
    </w:p>
    <w:p>
      <w:pPr>
        <w:pStyle w:val="2"/>
        <w:spacing w:line="240" w:lineRule="auto"/>
        <w:rPr>
          <w:rFonts w:hint="default" w:ascii="Times New Roman" w:hAnsi="Times New Roman" w:cs="Times New Roman"/>
          <w:sz w:val="24"/>
          <w:szCs w:val="24"/>
          <w:u w:color="FFFFFF"/>
        </w:rPr>
      </w:pPr>
      <w:r>
        <w:rPr>
          <w:rFonts w:hint="eastAsia" w:ascii="Times New Roman" w:hAnsi="Times New Roman" w:cs="Times New Roman"/>
          <w:sz w:val="24"/>
          <w:szCs w:val="24"/>
          <w:u w:color="FFFFFF"/>
          <w:lang w:val="en-US" w:eastAsia="zh-CN"/>
        </w:rPr>
        <w:t>7</w:t>
      </w:r>
      <w:r>
        <w:rPr>
          <w:rFonts w:hint="default" w:ascii="Times New Roman" w:hAnsi="Times New Roman" w:cs="Times New Roman"/>
          <w:sz w:val="24"/>
          <w:szCs w:val="24"/>
          <w:u w:color="FFFFFF"/>
        </w:rPr>
        <w:t>. Relevant inspection and observation items during the study period</w:t>
      </w:r>
    </w:p>
    <w:p>
      <w:pPr>
        <w:spacing w:before="100" w:beforeAutospacing="1" w:after="100" w:afterAutospacing="1" w:line="240" w:lineRule="auto"/>
        <w:rPr>
          <w:rFonts w:hint="default" w:ascii="Times New Roman" w:hAnsi="Times New Roman" w:cs="Times New Roman"/>
          <w:b/>
          <w:bCs/>
          <w:color w:val="000000"/>
          <w:sz w:val="24"/>
          <w:szCs w:val="24"/>
        </w:rPr>
      </w:pPr>
      <w:r>
        <w:rPr>
          <w:rFonts w:hint="eastAsia" w:cs="Times New Roman"/>
          <w:b/>
          <w:bCs/>
          <w:color w:val="000000"/>
          <w:sz w:val="24"/>
          <w:szCs w:val="24"/>
          <w:lang w:val="en-US" w:eastAsia="zh-CN"/>
        </w:rPr>
        <w:t>7</w:t>
      </w:r>
      <w:r>
        <w:rPr>
          <w:rFonts w:hint="default" w:ascii="Times New Roman" w:hAnsi="Times New Roman" w:cs="Times New Roman"/>
          <w:b/>
          <w:bCs/>
          <w:color w:val="000000"/>
          <w:sz w:val="24"/>
          <w:szCs w:val="24"/>
        </w:rPr>
        <w:t>.1</w:t>
      </w:r>
      <w:r>
        <w:rPr>
          <w:rFonts w:hint="eastAsia" w:cs="Times New Roman"/>
          <w:b/>
          <w:bCs/>
          <w:color w:val="000000"/>
          <w:sz w:val="24"/>
          <w:szCs w:val="24"/>
          <w:lang w:val="en-US" w:eastAsia="zh-CN"/>
        </w:rPr>
        <w:t xml:space="preserve"> </w:t>
      </w:r>
      <w:r>
        <w:rPr>
          <w:rFonts w:hint="default" w:ascii="Times New Roman" w:hAnsi="Times New Roman" w:cs="Times New Roman"/>
          <w:b/>
          <w:bCs/>
          <w:color w:val="000000"/>
          <w:sz w:val="24"/>
          <w:szCs w:val="24"/>
        </w:rPr>
        <w:t>Pre-test evaluation and screening</w:t>
      </w:r>
    </w:p>
    <w:p>
      <w:p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According to the standard management of the single disease of nasopharyngeal cancer, each test patient must complete the following items before entering the trial, and specify the pathology and clinical stage:</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Medical history review</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personal profile</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History of current medication and treatment</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Physical examination, including height, weight, and vital signs</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Head and neck examination including nasopharyngeal examination and cervical lymph nodes</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NC</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Nasopharyngeal endoscopy and histopathological examination of the biopsy</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routine blood test</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routine urine test</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val="en-US" w:eastAsia="zh-CN"/>
        </w:rPr>
        <w:t>Biochemical routine, lymphoimmune full set</w:t>
      </w:r>
    </w:p>
    <w:p>
      <w:pPr>
        <w:numPr>
          <w:ilvl w:val="0"/>
          <w:numId w:val="10"/>
        </w:numPr>
        <w:tabs>
          <w:tab w:val="left" w:pos="720"/>
        </w:tabs>
        <w:spacing w:before="100" w:beforeAutospacing="1" w:after="100" w:afterAutospacing="1" w:line="360" w:lineRule="auto"/>
        <w:rPr>
          <w:rFonts w:hint="default" w:ascii="Times New Roman" w:hAnsi="Times New Roman" w:cs="Times New Roman"/>
          <w:sz w:val="24"/>
          <w:szCs w:val="24"/>
        </w:rPr>
      </w:pPr>
      <w:r>
        <w:rPr>
          <w:rFonts w:hint="default" w:ascii="Times New Roman" w:hAnsi="Times New Roman" w:cs="Times New Roman"/>
          <w:sz w:val="24"/>
          <w:szCs w:val="24"/>
        </w:rPr>
        <w:t>EBV serology (EBV antibody and EBV-DNA quantification)</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electrocardiogram</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Imaging of tumor lesions (plain nasopharynx + enhanced MRI, neck enhanced CT or MRI)</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eastAsia="zh-CN"/>
        </w:rPr>
        <w:t>Excluding metastasis: X-ray of the chest + ultrasound scan of the liver (eg, N3 with chest / abdominal CT) + ECT of bone, or PET / CT (preferred)</w:t>
      </w:r>
    </w:p>
    <w:p>
      <w:pPr>
        <w:numPr>
          <w:ilvl w:val="0"/>
          <w:numId w:val="10"/>
        </w:num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Eliibility was confirmed and the informed consent was signed</w:t>
      </w:r>
    </w:p>
    <w:p>
      <w:pPr>
        <w:spacing w:before="100" w:beforeAutospacing="1" w:after="100" w:afterAutospacing="1" w:line="240" w:lineRule="auto"/>
        <w:rPr>
          <w:rFonts w:hint="default" w:ascii="Times New Roman" w:hAnsi="Times New Roman" w:cs="Times New Roman"/>
          <w:b/>
          <w:bCs/>
          <w:color w:val="000000"/>
          <w:sz w:val="24"/>
          <w:szCs w:val="24"/>
        </w:rPr>
      </w:pPr>
      <w:r>
        <w:rPr>
          <w:rFonts w:hint="eastAsia" w:cs="Times New Roman"/>
          <w:b/>
          <w:bCs/>
          <w:color w:val="000000"/>
          <w:sz w:val="24"/>
          <w:szCs w:val="24"/>
          <w:lang w:val="en-US" w:eastAsia="zh-CN"/>
        </w:rPr>
        <w:t>7</w:t>
      </w:r>
      <w:r>
        <w:rPr>
          <w:rFonts w:hint="default" w:ascii="Times New Roman" w:hAnsi="Times New Roman" w:cs="Times New Roman"/>
          <w:b/>
          <w:bCs/>
          <w:color w:val="000000"/>
          <w:sz w:val="24"/>
          <w:szCs w:val="24"/>
        </w:rPr>
        <w:t>.2</w:t>
      </w:r>
      <w:r>
        <w:rPr>
          <w:rFonts w:hint="eastAsia" w:cs="Times New Roman"/>
          <w:b/>
          <w:bCs/>
          <w:color w:val="000000"/>
          <w:sz w:val="24"/>
          <w:szCs w:val="24"/>
          <w:lang w:val="en-US" w:eastAsia="zh-CN"/>
        </w:rPr>
        <w:t xml:space="preserve"> </w:t>
      </w:r>
      <w:r>
        <w:rPr>
          <w:rFonts w:hint="default" w:ascii="Times New Roman" w:hAnsi="Times New Roman" w:cs="Times New Roman"/>
          <w:b/>
          <w:bCs/>
          <w:color w:val="000000"/>
          <w:sz w:val="24"/>
          <w:szCs w:val="24"/>
        </w:rPr>
        <w:t>Evaluation of the treatment period</w:t>
      </w:r>
    </w:p>
    <w:p>
      <w:pPr>
        <w:spacing w:before="100" w:beforeAutospacing="1" w:after="100" w:afterAutospacing="1" w:line="240" w:lineRule="auto"/>
        <w:ind w:firstLine="482" w:firstLineChars="200"/>
        <w:rPr>
          <w:rFonts w:hint="default" w:ascii="Times New Roman" w:hAnsi="Times New Roman" w:cs="Times New Roman"/>
          <w:color w:val="000000"/>
          <w:sz w:val="24"/>
          <w:szCs w:val="24"/>
        </w:rPr>
      </w:pPr>
      <w:r>
        <w:rPr>
          <w:rFonts w:hint="default" w:ascii="Times New Roman" w:hAnsi="Times New Roman" w:cs="Times New Roman"/>
          <w:b/>
          <w:bCs/>
          <w:color w:val="000000"/>
          <w:sz w:val="24"/>
          <w:szCs w:val="24"/>
        </w:rPr>
        <w:t>The following should be evaluated from the beginning to the end of the treatment:</w:t>
      </w:r>
    </w:p>
    <w:p>
      <w:pPr>
        <w:numPr>
          <w:ilvl w:val="0"/>
          <w:numId w:val="11"/>
        </w:numPr>
        <w:spacing w:before="100" w:beforeAutospacing="1" w:after="100" w:afterAutospacing="1" w:line="360" w:lineRule="auto"/>
        <w:ind w:left="420" w:leftChars="0" w:hanging="420" w:firstLineChars="0"/>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eastAsia="zh-CN"/>
        </w:rPr>
        <w:t xml:space="preserve"> Chemotherapy: Record the duration, dose, duration of treatment delay, and reasons for unscheduled treatment. On</w:t>
      </w:r>
      <w:r>
        <w:rPr>
          <w:rFonts w:hint="eastAsia" w:cs="Times New Roman"/>
          <w:color w:val="000000"/>
          <w:sz w:val="24"/>
          <w:szCs w:val="24"/>
          <w:lang w:val="en-US" w:eastAsia="zh-CN"/>
        </w:rPr>
        <w:t>e</w:t>
      </w:r>
      <w:r>
        <w:rPr>
          <w:rFonts w:hint="default" w:ascii="Times New Roman" w:hAnsi="Times New Roman" w:cs="Times New Roman"/>
          <w:color w:val="000000"/>
          <w:sz w:val="24"/>
          <w:szCs w:val="24"/>
          <w:lang w:eastAsia="zh-CN"/>
        </w:rPr>
        <w:t xml:space="preserve"> </w:t>
      </w:r>
      <w:r>
        <w:rPr>
          <w:rFonts w:hint="eastAsia" w:cs="Times New Roman"/>
          <w:color w:val="000000"/>
          <w:sz w:val="24"/>
          <w:szCs w:val="24"/>
          <w:lang w:val="en-US" w:eastAsia="zh-CN"/>
        </w:rPr>
        <w:t>week</w:t>
      </w:r>
      <w:r>
        <w:rPr>
          <w:rFonts w:hint="default" w:ascii="Times New Roman" w:hAnsi="Times New Roman" w:cs="Times New Roman"/>
          <w:color w:val="000000"/>
          <w:sz w:val="24"/>
          <w:szCs w:val="24"/>
          <w:lang w:eastAsia="zh-CN"/>
        </w:rPr>
        <w:t xml:space="preserve"> </w:t>
      </w:r>
      <w:r>
        <w:rPr>
          <w:rFonts w:hint="eastAsia" w:cs="Times New Roman"/>
          <w:color w:val="000000"/>
          <w:sz w:val="24"/>
          <w:szCs w:val="24"/>
          <w:lang w:val="en-US" w:eastAsia="zh-CN"/>
        </w:rPr>
        <w:t xml:space="preserve">end of the </w:t>
      </w:r>
      <w:r>
        <w:rPr>
          <w:rFonts w:hint="default" w:ascii="Times New Roman" w:hAnsi="Times New Roman" w:cs="Times New Roman"/>
          <w:color w:val="000000"/>
          <w:sz w:val="24"/>
          <w:szCs w:val="24"/>
          <w:lang w:eastAsia="zh-CN"/>
        </w:rPr>
        <w:t>induction chemotherapy, MRI or CT scan and electronic nasopharyngoscopy should be performed to evaluate the efficacy of induction chemotherapy. Efficacy of treatment was evaluated using the 1.1 (Response Evaluation Criteria in Solid Tumors, RECIST) complete response (complete response, CR): all target lesions disappeared; pathological lymph nodes (regardless of target lesions) with short diameter &lt;10 mm. Partial response (partial response, PR): total reduction of target lesion length diameter&gt; 30%. Disease progression (progressive disease, PD): the total length of the target lesion is increased&gt; 20% and its absolute value is more than 5mm; new lesions are also considered PD. Stable disease (stable disease, SD): the sum of target lesion length diameter decrease but not PR or increase but not PD.</w:t>
      </w:r>
    </w:p>
    <w:p>
      <w:pPr>
        <w:numPr>
          <w:ilvl w:val="0"/>
          <w:numId w:val="12"/>
        </w:numPr>
        <w:spacing w:before="100" w:beforeAutospacing="1" w:after="100" w:afterAutospacing="1" w:line="360" w:lineRule="auto"/>
        <w:ind w:left="0" w:leftChars="0" w:firstLine="420" w:firstLineChars="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MRI evaluation of tumor lesions was performed at the end of treatment, using RECIST 1.1 efficacy evaluation criteria, CR, PR, SD or PD. At the evaluation indicators, chest X-ray and abdominal B ultrasound should be reviewed at the end.</w:t>
      </w:r>
      <w:bookmarkStart w:id="17" w:name="OLE_LINK32"/>
      <w:bookmarkEnd w:id="17"/>
    </w:p>
    <w:p>
      <w:pPr>
        <w:numPr>
          <w:ilvl w:val="0"/>
          <w:numId w:val="12"/>
        </w:numPr>
        <w:spacing w:before="100" w:beforeAutospacing="1" w:after="100" w:afterAutospacing="1" w:line="360" w:lineRule="auto"/>
        <w:ind w:left="0" w:leftChars="0" w:firstLine="420" w:firstLineChars="0"/>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eastAsia="zh-CN"/>
        </w:rPr>
        <w:t>Radiotherapy: record the technique of radiotherapy, each dose, segmentation method, total dose and total time of radiotherapy. Concurrent chemotherapy: Record the course, dose, delay, and reasons for not completing treatment as planned.</w:t>
      </w:r>
    </w:p>
    <w:p>
      <w:pPr>
        <w:numPr>
          <w:ilvl w:val="0"/>
          <w:numId w:val="12"/>
        </w:numPr>
        <w:spacing w:before="100" w:beforeAutospacing="1" w:after="100" w:afterAutospacing="1" w:line="360" w:lineRule="auto"/>
        <w:ind w:left="0" w:leftChars="0" w:firstLine="420" w:firstLineChars="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Use of the concomitant medications</w:t>
      </w:r>
    </w:p>
    <w:p>
      <w:pPr>
        <w:numPr>
          <w:ilvl w:val="0"/>
          <w:numId w:val="12"/>
        </w:numPr>
        <w:spacing w:before="100" w:beforeAutospacing="1" w:after="100" w:afterAutospacing="1" w:line="360" w:lineRule="auto"/>
        <w:ind w:left="0" w:leftChars="0" w:firstLine="420" w:firstLineChars="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Acute toxicity reaction (NCI-CTC 4 standard), including hematology toxicity, gastrointestinal reaction, hepatic and renal function impairment, mucositis, etc</w:t>
      </w:r>
    </w:p>
    <w:p>
      <w:pPr>
        <w:pStyle w:val="3"/>
        <w:keepNext w:val="0"/>
        <w:keepLines w:val="0"/>
        <w:numPr>
          <w:ilvl w:val="0"/>
          <w:numId w:val="0"/>
        </w:numPr>
        <w:spacing w:before="0" w:afterLines="50" w:line="360" w:lineRule="auto"/>
        <w:ind w:leftChars="0"/>
        <w:rPr>
          <w:rFonts w:hint="default" w:ascii="Times New Roman" w:hAnsi="Times New Roman" w:eastAsia="宋体" w:cs="Times New Roman"/>
          <w:color w:val="000000"/>
          <w:sz w:val="24"/>
          <w:szCs w:val="24"/>
        </w:rPr>
      </w:pPr>
      <w:bookmarkStart w:id="18" w:name="_Toc297725088"/>
      <w:bookmarkStart w:id="19" w:name="_Toc293070493"/>
      <w:r>
        <w:rPr>
          <w:rFonts w:hint="eastAsia" w:ascii="Times New Roman" w:hAnsi="Times New Roman" w:eastAsia="宋体" w:cs="Times New Roman"/>
          <w:color w:val="000000"/>
          <w:sz w:val="24"/>
          <w:szCs w:val="24"/>
          <w:lang w:val="en-US" w:eastAsia="zh-CN"/>
        </w:rPr>
        <w:t>7</w:t>
      </w:r>
      <w:r>
        <w:rPr>
          <w:rFonts w:hint="default" w:ascii="Times New Roman" w:hAnsi="Times New Roman" w:eastAsia="宋体" w:cs="Times New Roman"/>
          <w:color w:val="000000"/>
          <w:sz w:val="24"/>
          <w:szCs w:val="24"/>
          <w:lang w:val="en-US" w:eastAsia="zh-CN"/>
        </w:rPr>
        <w:t xml:space="preserve">.3 </w:t>
      </w:r>
      <w:r>
        <w:rPr>
          <w:rFonts w:hint="default" w:ascii="Times New Roman" w:hAnsi="Times New Roman" w:eastAsia="宋体" w:cs="Times New Roman"/>
          <w:color w:val="000000"/>
          <w:sz w:val="24"/>
          <w:szCs w:val="24"/>
        </w:rPr>
        <w:t>Radiotherapy observation</w:t>
      </w:r>
      <w:bookmarkEnd w:id="18"/>
      <w:bookmarkEnd w:id="19"/>
    </w:p>
    <w:p>
      <w:pPr>
        <w:pStyle w:val="19"/>
        <w:numPr>
          <w:ilvl w:val="0"/>
          <w:numId w:val="13"/>
        </w:numPr>
        <w:tabs>
          <w:tab w:val="left" w:pos="420"/>
          <w:tab w:val="left" w:pos="780"/>
          <w:tab w:val="left" w:pos="840"/>
        </w:tabs>
        <w:spacing w:afterLines="50" w:line="360" w:lineRule="auto"/>
        <w:ind w:firstLineChars="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Radiation-related adverse reactions were evaluated at any time from the beginning to the end of radiotherapy according to NCI CTCAE 4.0.</w:t>
      </w:r>
    </w:p>
    <w:p>
      <w:pPr>
        <w:pStyle w:val="3"/>
        <w:keepNext w:val="0"/>
        <w:keepLines w:val="0"/>
        <w:numPr>
          <w:ilvl w:val="0"/>
          <w:numId w:val="0"/>
        </w:numPr>
        <w:spacing w:before="0" w:afterLines="50" w:line="360" w:lineRule="auto"/>
        <w:ind w:leftChars="0"/>
        <w:rPr>
          <w:rFonts w:hint="default" w:ascii="Times New Roman" w:hAnsi="Times New Roman" w:eastAsia="宋体" w:cs="Times New Roman"/>
          <w:color w:val="000000"/>
          <w:sz w:val="24"/>
          <w:szCs w:val="24"/>
        </w:rPr>
      </w:pPr>
      <w:bookmarkStart w:id="20" w:name="_Toc297725089"/>
      <w:bookmarkStart w:id="21" w:name="_Toc293070494"/>
      <w:r>
        <w:rPr>
          <w:rFonts w:hint="eastAsia" w:ascii="Times New Roman" w:hAnsi="Times New Roman" w:eastAsia="宋体" w:cs="Times New Roman"/>
          <w:color w:val="000000"/>
          <w:sz w:val="24"/>
          <w:szCs w:val="24"/>
          <w:lang w:val="en-US" w:eastAsia="zh-CN"/>
        </w:rPr>
        <w:t>7</w:t>
      </w:r>
      <w:r>
        <w:rPr>
          <w:rFonts w:hint="default" w:ascii="Times New Roman" w:hAnsi="Times New Roman" w:eastAsia="宋体" w:cs="Times New Roman"/>
          <w:color w:val="000000"/>
          <w:sz w:val="24"/>
          <w:szCs w:val="24"/>
          <w:lang w:val="en-US" w:eastAsia="zh-CN"/>
        </w:rPr>
        <w:t xml:space="preserve">.4 </w:t>
      </w:r>
      <w:r>
        <w:rPr>
          <w:rFonts w:hint="default" w:ascii="Times New Roman" w:hAnsi="Times New Roman" w:eastAsia="宋体" w:cs="Times New Roman"/>
          <w:color w:val="000000"/>
          <w:sz w:val="24"/>
          <w:szCs w:val="24"/>
        </w:rPr>
        <w:t>End of treatment and follow-up observation</w:t>
      </w:r>
      <w:bookmarkEnd w:id="20"/>
      <w:bookmarkEnd w:id="21"/>
    </w:p>
    <w:p>
      <w:pPr>
        <w:pStyle w:val="19"/>
        <w:numPr>
          <w:ilvl w:val="0"/>
          <w:numId w:val="13"/>
        </w:numPr>
        <w:spacing w:line="360" w:lineRule="auto"/>
        <w:ind w:firstLineChars="0"/>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Patients were followed up every 2 to 3 months for the first year after treatment and after radiotherapy, every 4 to 6 months for the second and three years, and every 6 months thereafter. The follow-up method records the review data, or the petition and telephone visits signed by the doctor in charge, to evaluate the efficacy of the patient, the recovery of the toxic reactions, and the short-term and long-term toxic reactions. Follow-up content is carried out according to the diagnosis and treatment standard of single disease.</w:t>
      </w:r>
    </w:p>
    <w:p>
      <w:pPr>
        <w:pStyle w:val="19"/>
        <w:numPr>
          <w:ilvl w:val="0"/>
          <w:numId w:val="13"/>
        </w:numPr>
        <w:spacing w:before="100" w:beforeAutospacing="1" w:after="100" w:afterAutospacing="1" w:line="360" w:lineRule="auto"/>
        <w:ind w:firstLineChars="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Follow-up content: routine nasopharyngeal, head and neck examination every 3 months; B ultrasound, chest X-ray and EBV-DNA quantification every 6 months; 3 months after radiotherapy and neck MRI every six months or one year later.</w:t>
      </w:r>
      <w:bookmarkStart w:id="22" w:name="_Toc297725101"/>
      <w:bookmarkStart w:id="23" w:name="_Toc293070506"/>
    </w:p>
    <w:p>
      <w:pPr>
        <w:pStyle w:val="19"/>
        <w:numPr>
          <w:ilvl w:val="0"/>
          <w:numId w:val="13"/>
        </w:numPr>
        <w:spacing w:before="100" w:beforeAutospacing="1" w:after="100" w:afterAutospacing="1" w:line="360" w:lineRule="auto"/>
        <w:ind w:firstLineChars="0"/>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eastAsia="zh-CN"/>
        </w:rPr>
        <w:t xml:space="preserve"> Any residual cervical lymph nodes identified 1</w:t>
      </w:r>
      <w:r>
        <w:rPr>
          <w:rFonts w:hint="eastAsia" w:cs="Times New Roman"/>
          <w:color w:val="000000"/>
          <w:sz w:val="24"/>
          <w:szCs w:val="24"/>
          <w:lang w:val="en-US" w:eastAsia="zh-CN"/>
        </w:rPr>
        <w:t>2</w:t>
      </w:r>
      <w:r>
        <w:rPr>
          <w:rFonts w:hint="default" w:ascii="Times New Roman" w:hAnsi="Times New Roman" w:cs="Times New Roman"/>
          <w:color w:val="000000"/>
          <w:sz w:val="24"/>
          <w:szCs w:val="24"/>
          <w:lang w:eastAsia="zh-CN"/>
        </w:rPr>
        <w:t xml:space="preserve"> weeks after the end of radiotherapy were considered as a regional treatment failure.</w:t>
      </w:r>
    </w:p>
    <w:p>
      <w:pPr>
        <w:pStyle w:val="19"/>
        <w:numPr>
          <w:ilvl w:val="0"/>
          <w:numId w:val="13"/>
        </w:numPr>
        <w:spacing w:before="100" w:beforeAutospacing="1" w:after="100" w:afterAutospacing="1" w:line="360" w:lineRule="auto"/>
        <w:ind w:firstLineChars="0"/>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eastAsia="zh-CN"/>
        </w:rPr>
        <w:t xml:space="preserve"> Local treatment failure should be determined by pathological biopsy of the nasopharynx; regional treatment failure should be determined by fine needle aspiration of cervical lymph node cytology (fine needle aspiration, FNA). If pathological or examination is difficult but has typical imaging findings, such as progression of skull base bone destruction, progressive enlargement of soft tissue, lymph node necrosis or progressive enlargement, local or regional treatment failure can be diagnosed clinically diagnosed. Bone destruction of the skull base under MRI may still exist for a considerable period of time after the total elimination of nasopharyngeal tumors after the treatment, and clinical and other examinations should determine the residual lesions: such as symptoms, signs, Epstein-Barr virus (Epstein-Barr virus, EBV) DNA levels, dynamic changes in MRI, PET and MRI diffusion weighted imaging (Diffusion Weitghed Imaging), etc. Distant metastases should be determined by pathological examination. If the primary origin of distant metastasis is suspected, EB viral DNA should be tested to determine the nasopharyngeal origin. Distant metastasis can be clinically diagnosed if pathological examination is difficult but has typical clinical and / or imaging findings.</w:t>
      </w:r>
    </w:p>
    <w:p>
      <w:pPr>
        <w:pStyle w:val="19"/>
        <w:widowControl w:val="0"/>
        <w:numPr>
          <w:ilvl w:val="0"/>
          <w:numId w:val="14"/>
        </w:numPr>
        <w:spacing w:before="100" w:beforeAutospacing="1" w:after="100" w:afterAutospacing="1" w:line="360" w:lineRule="auto"/>
        <w:ind w:left="420" w:leftChars="0" w:hanging="420" w:firstLineChars="0"/>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eastAsia="zh-CN"/>
        </w:rPr>
        <w:t>All patients should be followed up until their death and the cause of death recorded. If the patient dies for unknown causes but is in a tumor state at the last follow-up, then the cause of death should be recorded as nasopharyngeal cancer.</w:t>
      </w:r>
    </w:p>
    <w:p>
      <w:pPr>
        <w:pStyle w:val="2"/>
        <w:spacing w:line="360" w:lineRule="auto"/>
        <w:rPr>
          <w:rFonts w:hint="default" w:ascii="Times New Roman" w:hAnsi="Times New Roman" w:cs="Times New Roman"/>
          <w:sz w:val="24"/>
          <w:szCs w:val="24"/>
          <w:u w:color="FFFFFF"/>
          <w:lang w:val="en-US" w:eastAsia="zh-CN"/>
        </w:rPr>
      </w:pPr>
    </w:p>
    <w:p>
      <w:pPr>
        <w:pStyle w:val="2"/>
        <w:spacing w:line="360" w:lineRule="auto"/>
        <w:rPr>
          <w:rFonts w:hint="default" w:ascii="Times New Roman" w:hAnsi="Times New Roman" w:cs="Times New Roman"/>
          <w:sz w:val="24"/>
          <w:szCs w:val="24"/>
          <w:u w:color="FFFFFF"/>
        </w:rPr>
      </w:pPr>
      <w:r>
        <w:rPr>
          <w:rFonts w:hint="eastAsia" w:ascii="Times New Roman" w:hAnsi="Times New Roman" w:cs="Times New Roman"/>
          <w:sz w:val="24"/>
          <w:szCs w:val="24"/>
          <w:u w:color="FFFFFF"/>
          <w:lang w:val="en-US" w:eastAsia="zh-CN"/>
        </w:rPr>
        <w:t>8</w:t>
      </w:r>
      <w:r>
        <w:rPr>
          <w:rFonts w:hint="default" w:ascii="Times New Roman" w:hAnsi="Times New Roman" w:cs="Times New Roman"/>
          <w:sz w:val="24"/>
          <w:szCs w:val="24"/>
          <w:u w:color="FFFFFF"/>
        </w:rPr>
        <w:t>. Treatment plan</w:t>
      </w:r>
    </w:p>
    <w:p>
      <w:pPr>
        <w:spacing w:before="100" w:beforeAutospacing="1" w:after="100" w:afterAutospacing="1" w:line="360" w:lineRule="auto"/>
        <w:rPr>
          <w:rFonts w:hint="default" w:ascii="Times New Roman" w:hAnsi="Times New Roman" w:cs="Times New Roman"/>
          <w:b/>
          <w:bCs/>
          <w:color w:val="000000"/>
          <w:sz w:val="24"/>
          <w:szCs w:val="24"/>
        </w:rPr>
      </w:pPr>
      <w:r>
        <w:rPr>
          <w:rFonts w:hint="eastAsia" w:cs="Times New Roman"/>
          <w:b/>
          <w:bCs/>
          <w:color w:val="000000"/>
          <w:sz w:val="24"/>
          <w:szCs w:val="24"/>
          <w:lang w:val="en-US" w:eastAsia="zh-CN"/>
        </w:rPr>
        <w:t>8</w:t>
      </w:r>
      <w:r>
        <w:rPr>
          <w:rFonts w:hint="default" w:ascii="Times New Roman" w:hAnsi="Times New Roman" w:cs="Times New Roman"/>
          <w:b/>
          <w:bCs/>
          <w:color w:val="000000"/>
          <w:sz w:val="24"/>
          <w:szCs w:val="24"/>
        </w:rPr>
        <w:t>.1 Radiation therapy protocol</w:t>
      </w:r>
      <w:bookmarkEnd w:id="22"/>
      <w:bookmarkEnd w:id="23"/>
    </w:p>
    <w:p>
      <w:pPr>
        <w:spacing w:before="100" w:beforeAutospacing="1" w:after="100" w:afterAutospacing="1" w:line="360" w:lineRule="auto"/>
        <w:rPr>
          <w:rFonts w:hint="default" w:ascii="Times New Roman" w:hAnsi="Times New Roman" w:cs="Times New Roman"/>
          <w:color w:val="000000"/>
          <w:sz w:val="24"/>
          <w:szCs w:val="24"/>
        </w:rPr>
      </w:pPr>
      <w:r>
        <w:rPr>
          <w:rFonts w:hint="eastAsia" w:cs="Times New Roman"/>
          <w:b/>
          <w:bCs/>
          <w:color w:val="000000"/>
          <w:sz w:val="24"/>
          <w:szCs w:val="24"/>
          <w:lang w:val="en-US" w:eastAsia="zh-CN"/>
        </w:rPr>
        <w:t>8</w:t>
      </w:r>
      <w:r>
        <w:rPr>
          <w:rFonts w:hint="default" w:ascii="Times New Roman" w:hAnsi="Times New Roman" w:cs="Times New Roman"/>
          <w:b/>
          <w:bCs/>
          <w:color w:val="000000"/>
          <w:sz w:val="24"/>
          <w:szCs w:val="24"/>
        </w:rPr>
        <w:t>.1.1 Dose</w:t>
      </w:r>
      <w:r>
        <w:rPr>
          <w:rFonts w:hint="default" w:ascii="Times New Roman" w:hAnsi="Times New Roman" w:cs="Times New Roman"/>
          <w:color w:val="000000"/>
          <w:sz w:val="24"/>
          <w:szCs w:val="24"/>
        </w:rPr>
        <w:t>: Follow the same standard radiotherapy plan and develop the individualized radiotherapy plan.(See attached table)</w:t>
      </w:r>
    </w:p>
    <w:p>
      <w:pPr>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intensity modulated radiation therapy</w:t>
      </w:r>
    </w:p>
    <w:p>
      <w:pPr>
        <w:keepNext w:val="0"/>
        <w:keepLines w:val="0"/>
        <w:pageBreakBefore w:val="0"/>
        <w:widowControl w:val="0"/>
        <w:kinsoku/>
        <w:wordWrap/>
        <w:overflowPunct/>
        <w:topLinePunct w:val="0"/>
        <w:autoSpaceDE/>
        <w:autoSpaceDN/>
        <w:bidi w:val="0"/>
        <w:adjustRightInd/>
        <w:snapToGrid/>
        <w:spacing w:afterLines="50" w:line="360" w:lineRule="auto"/>
        <w:ind w:left="119"/>
        <w:textAlignment w:val="auto"/>
        <w:outlineLvl w:val="9"/>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lang w:val="en-US" w:eastAsia="zh-CN"/>
        </w:rPr>
        <w:t>1) GTVnx 72.6Gy / 33 times, 2.2 Gy / time, 1 time / day, 5 days / week</w:t>
      </w:r>
    </w:p>
    <w:p>
      <w:pPr>
        <w:keepNext w:val="0"/>
        <w:keepLines w:val="0"/>
        <w:pageBreakBefore w:val="0"/>
        <w:widowControl w:val="0"/>
        <w:kinsoku/>
        <w:wordWrap/>
        <w:overflowPunct/>
        <w:topLinePunct w:val="0"/>
        <w:autoSpaceDE/>
        <w:autoSpaceDN/>
        <w:bidi w:val="0"/>
        <w:adjustRightInd/>
        <w:snapToGrid/>
        <w:spacing w:afterLines="50" w:line="360" w:lineRule="auto"/>
        <w:ind w:left="119"/>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 PTVnx: 69.96Gy/33 times, 2.12 Gy / time, 1 time / day, 5 days / week</w:t>
      </w:r>
    </w:p>
    <w:p>
      <w:pPr>
        <w:keepNext w:val="0"/>
        <w:keepLines w:val="0"/>
        <w:pageBreakBefore w:val="0"/>
        <w:widowControl w:val="0"/>
        <w:kinsoku/>
        <w:wordWrap/>
        <w:overflowPunct/>
        <w:topLinePunct w:val="0"/>
        <w:autoSpaceDE/>
        <w:autoSpaceDN/>
        <w:bidi w:val="0"/>
        <w:adjustRightInd/>
        <w:snapToGrid/>
        <w:spacing w:afterLines="50" w:line="360" w:lineRule="auto"/>
        <w:ind w:left="119"/>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val="en-US" w:eastAsia="zh-CN"/>
        </w:rPr>
        <w:t>3) PTVnd: 69.96Gy/33f times, 2.12 Gy / time, 1 time / day, 5 days / week</w:t>
      </w:r>
    </w:p>
    <w:p>
      <w:pPr>
        <w:keepNext w:val="0"/>
        <w:keepLines w:val="0"/>
        <w:pageBreakBefore w:val="0"/>
        <w:widowControl w:val="0"/>
        <w:kinsoku/>
        <w:wordWrap/>
        <w:overflowPunct/>
        <w:topLinePunct w:val="0"/>
        <w:autoSpaceDE/>
        <w:autoSpaceDN/>
        <w:bidi w:val="0"/>
        <w:adjustRightInd/>
        <w:snapToGrid/>
        <w:spacing w:afterLines="50" w:line="360" w:lineRule="auto"/>
        <w:ind w:left="119"/>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val="en-US" w:eastAsia="zh-CN"/>
        </w:rPr>
        <w:t>4) PTV1:60.06Gy/33 times, 1.82 Gy / time, 1 time / day, 5 days / week</w:t>
      </w:r>
    </w:p>
    <w:p>
      <w:pPr>
        <w:keepNext w:val="0"/>
        <w:keepLines w:val="0"/>
        <w:pageBreakBefore w:val="0"/>
        <w:widowControl w:val="0"/>
        <w:kinsoku/>
        <w:wordWrap/>
        <w:overflowPunct/>
        <w:topLinePunct w:val="0"/>
        <w:autoSpaceDE/>
        <w:autoSpaceDN/>
        <w:bidi w:val="0"/>
        <w:adjustRightInd/>
        <w:snapToGrid/>
        <w:spacing w:afterLines="50" w:line="360" w:lineRule="auto"/>
        <w:ind w:left="119"/>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val="en-US" w:eastAsia="zh-CN"/>
        </w:rPr>
        <w:t>5) PTV2:50.96Gy/28 times, 1.82 Gy / time, 1 time / day, 5 days / week</w:t>
      </w:r>
    </w:p>
    <w:p>
      <w:pPr>
        <w:spacing w:before="100" w:beforeAutospacing="1" w:after="100" w:afterAutospacing="1" w:line="360" w:lineRule="auto"/>
        <w:rPr>
          <w:rFonts w:hint="default" w:ascii="Times New Roman" w:hAnsi="Times New Roman" w:cs="Times New Roman"/>
          <w:b/>
          <w:bCs/>
          <w:color w:val="000000"/>
          <w:sz w:val="24"/>
          <w:szCs w:val="24"/>
        </w:rPr>
      </w:pPr>
      <w:r>
        <w:rPr>
          <w:rFonts w:hint="eastAsia" w:cs="Times New Roman"/>
          <w:b/>
          <w:bCs/>
          <w:color w:val="000000"/>
          <w:sz w:val="24"/>
          <w:szCs w:val="24"/>
          <w:lang w:val="en-US" w:eastAsia="zh-CN"/>
        </w:rPr>
        <w:t>8</w:t>
      </w:r>
      <w:r>
        <w:rPr>
          <w:rFonts w:hint="default" w:ascii="Times New Roman" w:hAnsi="Times New Roman" w:cs="Times New Roman"/>
          <w:b/>
          <w:bCs/>
          <w:color w:val="000000"/>
          <w:sz w:val="24"/>
          <w:szCs w:val="24"/>
        </w:rPr>
        <w:t>.1.2 The recipients were evaluated and graded according to the CTCAE v 4.0 toxicity standard</w:t>
      </w:r>
    </w:p>
    <w:p>
      <w:pPr>
        <w:spacing w:afterLines="50"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 Adjustment iation radiotherapy in hematological toxicity:Only in the neutrophil (ANC) of </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1.0</w:t>
      </w:r>
      <w:r>
        <w:rPr>
          <w:rFonts w:hint="default" w:ascii="Times New Roman" w:hAnsi="Times New Roman" w:cs="Times New Roman"/>
          <w:color w:val="000000"/>
          <w:sz w:val="24"/>
          <w:szCs w:val="24"/>
          <w:lang w:val="en-US" w:eastAsia="zh-CN"/>
        </w:rPr>
        <w:t>x</w:t>
      </w:r>
      <w:r>
        <w:rPr>
          <w:rFonts w:hint="default" w:ascii="Times New Roman" w:hAnsi="Times New Roman" w:cs="Times New Roman"/>
          <w:color w:val="000000"/>
          <w:sz w:val="24"/>
          <w:szCs w:val="24"/>
        </w:rPr>
        <w:t>10</w:t>
      </w:r>
      <w:r>
        <w:rPr>
          <w:rFonts w:hint="default" w:ascii="Times New Roman" w:hAnsi="Times New Roman" w:cs="Times New Roman"/>
          <w:color w:val="000000"/>
          <w:sz w:val="24"/>
          <w:szCs w:val="24"/>
          <w:vertAlign w:val="superscript"/>
        </w:rPr>
        <w:t>9</w:t>
      </w:r>
      <w:r>
        <w:rPr>
          <w:rFonts w:hint="default" w:ascii="Times New Roman" w:hAnsi="Times New Roman" w:cs="Times New Roman"/>
          <w:color w:val="000000"/>
          <w:sz w:val="24"/>
          <w:szCs w:val="24"/>
        </w:rPr>
        <w:t xml:space="preserve">/ L (or white blood cells </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2</w:t>
      </w:r>
      <w:r>
        <w:rPr>
          <w:rFonts w:hint="default" w:ascii="Times New Roman" w:hAnsi="Times New Roman" w:cs="Times New Roman"/>
          <w:color w:val="000000"/>
          <w:sz w:val="24"/>
          <w:szCs w:val="24"/>
          <w:lang w:val="en-US" w:eastAsia="zh-CN"/>
        </w:rPr>
        <w:t>x</w:t>
      </w:r>
      <w:r>
        <w:rPr>
          <w:rFonts w:hint="default" w:ascii="Times New Roman" w:hAnsi="Times New Roman" w:cs="Times New Roman"/>
          <w:color w:val="000000"/>
          <w:sz w:val="24"/>
          <w:szCs w:val="24"/>
        </w:rPr>
        <w:t>10</w:t>
      </w:r>
      <w:r>
        <w:rPr>
          <w:rFonts w:hint="default" w:ascii="Times New Roman" w:hAnsi="Times New Roman" w:cs="Times New Roman"/>
          <w:color w:val="000000"/>
          <w:sz w:val="24"/>
          <w:szCs w:val="24"/>
          <w:vertAlign w:val="superscript"/>
        </w:rPr>
        <w:t>9</w:t>
      </w:r>
      <w:r>
        <w:rPr>
          <w:rFonts w:hint="default" w:ascii="Times New Roman" w:hAnsi="Times New Roman" w:cs="Times New Roman"/>
          <w:color w:val="000000"/>
          <w:sz w:val="24"/>
          <w:szCs w:val="24"/>
        </w:rPr>
        <w:t xml:space="preserve">At / L), and platelets (Plt) </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50</w:t>
      </w:r>
      <w:r>
        <w:rPr>
          <w:rFonts w:hint="default" w:ascii="Times New Roman" w:hAnsi="Times New Roman" w:cs="Times New Roman"/>
          <w:color w:val="000000"/>
          <w:sz w:val="24"/>
          <w:szCs w:val="24"/>
          <w:lang w:val="en-US" w:eastAsia="zh-CN"/>
        </w:rPr>
        <w:t>x</w:t>
      </w:r>
      <w:r>
        <w:rPr>
          <w:rFonts w:hint="default" w:ascii="Times New Roman" w:hAnsi="Times New Roman" w:cs="Times New Roman"/>
          <w:color w:val="000000"/>
          <w:sz w:val="24"/>
          <w:szCs w:val="24"/>
        </w:rPr>
        <w:t>10</w:t>
      </w:r>
      <w:r>
        <w:rPr>
          <w:rFonts w:hint="default" w:ascii="Times New Roman" w:hAnsi="Times New Roman" w:cs="Times New Roman"/>
          <w:color w:val="000000"/>
          <w:sz w:val="24"/>
          <w:szCs w:val="24"/>
          <w:vertAlign w:val="superscript"/>
        </w:rPr>
        <w:t>9</w:t>
      </w:r>
      <w:r>
        <w:rPr>
          <w:rFonts w:hint="default" w:ascii="Times New Roman" w:hAnsi="Times New Roman" w:cs="Times New Roman"/>
          <w:color w:val="000000"/>
          <w:sz w:val="24"/>
          <w:szCs w:val="24"/>
        </w:rPr>
        <w:t>Radiotherapy can only be performed at / L.</w:t>
      </w:r>
    </w:p>
    <w:p>
      <w:pPr>
        <w:spacing w:afterLines="50" w:line="360" w:lineRule="auto"/>
        <w:ind w:firstLine="480" w:firstLineChars="200"/>
        <w:rPr>
          <w:rFonts w:hint="default" w:ascii="Times New Roman" w:hAnsi="Times New Roman" w:cs="Times New Roman"/>
          <w:color w:val="000000"/>
          <w:sz w:val="24"/>
          <w:szCs w:val="24"/>
        </w:rPr>
      </w:pPr>
    </w:p>
    <w:p>
      <w:pPr>
        <w:spacing w:afterLines="50"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 Adjustment for radiotherapy during non-hematologic toxicity:</w:t>
      </w:r>
    </w:p>
    <w:p>
      <w:pPr>
        <w:spacing w:afterLines="50" w:line="360"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RT side effects may include decreased appetite, mucositis, and skin reactions. The investigator may address these conditions according to the clinical practice of the site. Radiotherapy can be interrupted with grade 4 adverse reactions or severe radiotherapy side effects (as judged by the clinician, and report) (continuous interruption time&gt; 10 days this case will be treated as excluded).</w:t>
      </w:r>
    </w:p>
    <w:p>
      <w:pPr>
        <w:spacing w:before="100" w:beforeAutospacing="1" w:after="100" w:afterAutospacing="1" w:line="360" w:lineRule="auto"/>
        <w:rPr>
          <w:rFonts w:hint="default" w:ascii="Times New Roman" w:hAnsi="Times New Roman" w:cs="Times New Roman"/>
          <w:b/>
          <w:bCs/>
          <w:color w:val="000000"/>
          <w:sz w:val="24"/>
          <w:szCs w:val="24"/>
        </w:rPr>
      </w:pPr>
      <w:bookmarkStart w:id="24" w:name="OLE_LINK13"/>
      <w:r>
        <w:rPr>
          <w:rFonts w:hint="eastAsia" w:cs="Times New Roman"/>
          <w:b/>
          <w:bCs/>
          <w:color w:val="000000"/>
          <w:sz w:val="24"/>
          <w:szCs w:val="24"/>
          <w:lang w:val="en-US" w:eastAsia="zh-CN"/>
        </w:rPr>
        <w:t>8</w:t>
      </w:r>
      <w:r>
        <w:rPr>
          <w:rFonts w:hint="default" w:ascii="Times New Roman" w:hAnsi="Times New Roman" w:cs="Times New Roman"/>
          <w:b/>
          <w:bCs/>
          <w:color w:val="000000"/>
          <w:sz w:val="24"/>
          <w:szCs w:val="24"/>
        </w:rPr>
        <w:t>.2 Chemotherapy</w:t>
      </w:r>
    </w:p>
    <w:bookmarkEnd w:id="24"/>
    <w:p>
      <w:pPr>
        <w:snapToGrid w:val="0"/>
        <w:spacing w:before="100" w:beforeAutospacing="1" w:after="100" w:afterAutospacing="1" w:line="360" w:lineRule="auto"/>
        <w:rPr>
          <w:rFonts w:hint="default" w:ascii="Times New Roman" w:hAnsi="Times New Roman" w:cs="Times New Roman"/>
          <w:b/>
          <w:bCs/>
          <w:color w:val="000000"/>
          <w:sz w:val="24"/>
          <w:szCs w:val="24"/>
        </w:rPr>
      </w:pPr>
      <w:r>
        <w:rPr>
          <w:rFonts w:hint="eastAsia" w:cs="Times New Roman"/>
          <w:b/>
          <w:bCs/>
          <w:color w:val="000000"/>
          <w:sz w:val="24"/>
          <w:szCs w:val="24"/>
          <w:lang w:val="en-US" w:eastAsia="zh-CN"/>
        </w:rPr>
        <w:t>8</w:t>
      </w:r>
      <w:r>
        <w:rPr>
          <w:rFonts w:hint="default" w:ascii="Times New Roman" w:hAnsi="Times New Roman" w:cs="Times New Roman"/>
          <w:b/>
          <w:bCs/>
          <w:color w:val="000000"/>
          <w:sz w:val="24"/>
          <w:szCs w:val="24"/>
        </w:rPr>
        <w:t>.2.1 Chemotherapy regimen, dose and treatment course</w:t>
      </w:r>
    </w:p>
    <w:p>
      <w:pPr>
        <w:snapToGrid w:val="0"/>
        <w:spacing w:before="100" w:beforeAutospacing="1" w:after="100" w:afterAutospacing="1" w:line="360" w:lineRule="auto"/>
        <w:ind w:left="240" w:hanging="240" w:hangingChars="100"/>
        <w:rPr>
          <w:rFonts w:hint="default" w:ascii="Times New Roman" w:hAnsi="Times New Roman" w:cs="Times New Roman" w:eastAsiaTheme="minorEastAsia"/>
          <w:b w:val="0"/>
          <w:bCs w:val="0"/>
          <w:sz w:val="24"/>
          <w:szCs w:val="24"/>
          <w:u w:val="none" w:color="auto"/>
          <w:lang w:val="en-US" w:eastAsia="zh-CN"/>
        </w:rPr>
      </w:pPr>
      <w:r>
        <w:rPr>
          <w:rFonts w:hint="default" w:ascii="Times New Roman" w:hAnsi="Times New Roman" w:cs="Times New Roman" w:eastAsiaTheme="minorEastAsia"/>
          <w:b w:val="0"/>
          <w:bCs w:val="0"/>
          <w:sz w:val="24"/>
          <w:szCs w:val="24"/>
          <w:u w:color="FFFFFF"/>
        </w:rPr>
        <w:t>1) DDP concurrent radiochemotherapy with PF adjuvant chemotherapy (</w:t>
      </w:r>
      <w:r>
        <w:rPr>
          <w:rFonts w:hint="default" w:ascii="Times New Roman" w:hAnsi="Times New Roman" w:cs="Times New Roman" w:eastAsiaTheme="minorEastAsia"/>
          <w:b w:val="0"/>
          <w:bCs w:val="0"/>
          <w:sz w:val="24"/>
          <w:szCs w:val="24"/>
          <w:u w:color="FFFFFF"/>
          <w:lang w:val="en-US" w:eastAsia="zh-CN"/>
        </w:rPr>
        <w:t>AC</w:t>
      </w:r>
      <w:r>
        <w:rPr>
          <w:rFonts w:hint="default" w:ascii="Times New Roman" w:hAnsi="Times New Roman" w:cs="Times New Roman" w:eastAsiaTheme="minorEastAsia"/>
          <w:b w:val="0"/>
          <w:bCs w:val="0"/>
          <w:sz w:val="24"/>
          <w:szCs w:val="24"/>
          <w:u w:color="FFFFFF"/>
        </w:rPr>
        <w:t xml:space="preserve"> group): concurrent radiochemotherapy (cisplatin 100mg</w:t>
      </w:r>
      <w:bookmarkStart w:id="25" w:name="OLE_LINK9"/>
      <w:r>
        <w:rPr>
          <w:rFonts w:hint="default" w:ascii="Times New Roman" w:hAnsi="Times New Roman" w:cs="Times New Roman" w:eastAsiaTheme="minorEastAsia"/>
          <w:b w:val="0"/>
          <w:bCs w:val="0"/>
          <w:sz w:val="24"/>
          <w:szCs w:val="24"/>
          <w:u w:color="FFFFFF"/>
          <w:lang w:val="en-US" w:eastAsia="zh-CN"/>
        </w:rPr>
        <w:t>/m</w:t>
      </w:r>
      <w:r>
        <w:rPr>
          <w:rFonts w:hint="default" w:ascii="Times New Roman" w:hAnsi="Times New Roman" w:cs="Times New Roman" w:eastAsiaTheme="minorEastAsia"/>
          <w:b w:val="0"/>
          <w:bCs w:val="0"/>
          <w:sz w:val="24"/>
          <w:szCs w:val="24"/>
          <w:u w:color="FFFFFF"/>
          <w:vertAlign w:val="superscript"/>
          <w:lang w:val="en-US" w:eastAsia="zh-CN"/>
        </w:rPr>
        <w:t>2</w:t>
      </w:r>
      <w:bookmarkEnd w:id="25"/>
      <w:r>
        <w:rPr>
          <w:rFonts w:hint="default" w:ascii="Times New Roman" w:hAnsi="Times New Roman" w:cs="Times New Roman" w:eastAsiaTheme="minorEastAsia"/>
          <w:b w:val="0"/>
          <w:bCs w:val="0"/>
          <w:sz w:val="24"/>
          <w:szCs w:val="24"/>
          <w:u w:color="FFFFFF"/>
        </w:rPr>
        <w:t>, civ, d1 (10:00-22:00), radiotherapy day or day 2, every three weeks during radiotherapy) + PF regimen adjuvant: cisplatin 80mg</w:t>
      </w:r>
      <w:r>
        <w:rPr>
          <w:rFonts w:hint="default" w:ascii="Times New Roman" w:hAnsi="Times New Roman" w:cs="Times New Roman" w:eastAsiaTheme="minorEastAsia"/>
          <w:b w:val="0"/>
          <w:bCs w:val="0"/>
          <w:sz w:val="24"/>
          <w:szCs w:val="24"/>
          <w:u w:color="FFFFFF"/>
          <w:lang w:val="en-US" w:eastAsia="zh-CN"/>
        </w:rPr>
        <w:t>/m</w:t>
      </w:r>
      <w:r>
        <w:rPr>
          <w:rFonts w:hint="default" w:ascii="Times New Roman" w:hAnsi="Times New Roman" w:cs="Times New Roman" w:eastAsiaTheme="minorEastAsia"/>
          <w:b w:val="0"/>
          <w:bCs w:val="0"/>
          <w:sz w:val="24"/>
          <w:szCs w:val="24"/>
          <w:u w:color="FFFFFF"/>
          <w:vertAlign w:val="superscript"/>
          <w:lang w:val="en-US" w:eastAsia="zh-CN"/>
        </w:rPr>
        <w:t>2</w:t>
      </w:r>
      <w:r>
        <w:rPr>
          <w:rFonts w:hint="default" w:ascii="Times New Roman" w:hAnsi="Times New Roman" w:cs="Times New Roman" w:eastAsiaTheme="minorEastAsia"/>
          <w:b w:val="0"/>
          <w:bCs w:val="0"/>
          <w:sz w:val="24"/>
          <w:szCs w:val="24"/>
          <w:u w:color="FFFFFF"/>
        </w:rPr>
        <w:t>, civ, q12h d1-d5 (10:00-22:00), fluorouracil 800mg</w:t>
      </w:r>
      <w:r>
        <w:rPr>
          <w:rFonts w:hint="default" w:ascii="Times New Roman" w:hAnsi="Times New Roman" w:cs="Times New Roman" w:eastAsiaTheme="minorEastAsia"/>
          <w:b w:val="0"/>
          <w:bCs w:val="0"/>
          <w:sz w:val="24"/>
          <w:szCs w:val="24"/>
          <w:u w:color="FFFFFF"/>
          <w:lang w:val="en-US" w:eastAsia="zh-CN"/>
        </w:rPr>
        <w:t>/m</w:t>
      </w:r>
      <w:r>
        <w:rPr>
          <w:rFonts w:hint="default" w:ascii="Times New Roman" w:hAnsi="Times New Roman" w:cs="Times New Roman" w:eastAsiaTheme="minorEastAsia"/>
          <w:b w:val="0"/>
          <w:bCs w:val="0"/>
          <w:sz w:val="24"/>
          <w:szCs w:val="24"/>
          <w:u w:color="FFFFFF"/>
          <w:vertAlign w:val="superscript"/>
          <w:lang w:val="en-US" w:eastAsia="zh-CN"/>
        </w:rPr>
        <w:t>2</w:t>
      </w:r>
      <w:r>
        <w:rPr>
          <w:rFonts w:hint="default" w:ascii="Times New Roman" w:hAnsi="Times New Roman" w:cs="Times New Roman" w:eastAsiaTheme="minorEastAsia"/>
          <w:b w:val="0"/>
          <w:bCs w:val="0"/>
          <w:sz w:val="24"/>
          <w:szCs w:val="24"/>
          <w:u w:color="FFFFFF"/>
        </w:rPr>
        <w:t>/ d, civ, q12h d1-d5 (22:00-10:00), once every 4 weeks for 3</w:t>
      </w:r>
      <w:r>
        <w:rPr>
          <w:rFonts w:hint="default" w:ascii="Times New Roman" w:hAnsi="Times New Roman" w:cs="Times New Roman" w:eastAsiaTheme="minorEastAsia"/>
          <w:b w:val="0"/>
          <w:bCs w:val="0"/>
          <w:sz w:val="24"/>
          <w:szCs w:val="24"/>
          <w:u w:color="FFFFFF"/>
          <w:lang w:val="en-US" w:eastAsia="zh-CN"/>
        </w:rPr>
        <w:t>cycle.</w:t>
      </w:r>
      <w:r>
        <w:rPr>
          <w:rFonts w:hint="default" w:ascii="Times New Roman" w:hAnsi="Times New Roman" w:cs="Times New Roman" w:eastAsiaTheme="minorEastAsia"/>
          <w:b w:val="0"/>
          <w:bCs w:val="0"/>
          <w:i w:val="0"/>
          <w:iCs w:val="0"/>
          <w:sz w:val="24"/>
          <w:szCs w:val="24"/>
          <w:u w:val="none" w:color="auto"/>
        </w:rPr>
        <w:t>All the adjuvant chemotherapy was started 4 weeks after the end of the concurrent chemoradiotherapy</w:t>
      </w:r>
      <w:r>
        <w:rPr>
          <w:rFonts w:hint="default" w:ascii="Times New Roman" w:hAnsi="Times New Roman" w:cs="Times New Roman" w:eastAsiaTheme="minorEastAsia"/>
          <w:b w:val="0"/>
          <w:bCs w:val="0"/>
          <w:i w:val="0"/>
          <w:iCs w:val="0"/>
          <w:sz w:val="24"/>
          <w:szCs w:val="24"/>
          <w:u w:val="none" w:color="auto"/>
          <w:lang w:val="en-US" w:eastAsia="zh-CN"/>
        </w:rPr>
        <w:t>.</w:t>
      </w:r>
    </w:p>
    <w:p>
      <w:pPr>
        <w:snapToGrid w:val="0"/>
        <w:spacing w:before="100" w:beforeAutospacing="1" w:after="100" w:afterAutospacing="1" w:line="360" w:lineRule="auto"/>
        <w:ind w:left="240" w:hanging="240" w:hangingChars="100"/>
        <w:rPr>
          <w:rFonts w:hint="default" w:ascii="Times New Roman" w:hAnsi="Times New Roman" w:cs="Times New Roman" w:eastAsiaTheme="minorEastAsia"/>
          <w:b w:val="0"/>
          <w:bCs w:val="0"/>
          <w:sz w:val="24"/>
          <w:szCs w:val="24"/>
          <w:u w:color="FFFFFF"/>
        </w:rPr>
      </w:pPr>
      <w:r>
        <w:rPr>
          <w:rFonts w:hint="default" w:ascii="Times New Roman" w:hAnsi="Times New Roman" w:cs="Times New Roman" w:eastAsiaTheme="minorEastAsia"/>
          <w:b w:val="0"/>
          <w:bCs w:val="0"/>
          <w:sz w:val="24"/>
          <w:szCs w:val="24"/>
          <w:u w:color="FFFFFF"/>
        </w:rPr>
        <w:t>2) TPF induction chemotherapy combined with concurrent DDP radiochemotherapy (</w:t>
      </w:r>
      <w:r>
        <w:rPr>
          <w:rFonts w:hint="default" w:ascii="Times New Roman" w:hAnsi="Times New Roman" w:cs="Times New Roman" w:eastAsiaTheme="minorEastAsia"/>
          <w:b w:val="0"/>
          <w:bCs w:val="0"/>
          <w:sz w:val="24"/>
          <w:szCs w:val="24"/>
          <w:u w:color="FFFFFF"/>
          <w:lang w:val="en-US" w:eastAsia="zh-CN"/>
        </w:rPr>
        <w:t>IC</w:t>
      </w:r>
      <w:r>
        <w:rPr>
          <w:rFonts w:hint="default" w:ascii="Times New Roman" w:hAnsi="Times New Roman" w:cs="Times New Roman" w:eastAsiaTheme="minorEastAsia"/>
          <w:b w:val="0"/>
          <w:bCs w:val="0"/>
          <w:sz w:val="24"/>
          <w:szCs w:val="24"/>
          <w:u w:color="FFFFFF"/>
        </w:rPr>
        <w:t xml:space="preserve"> group): TPF induction chemotherapy (docetaxel 75mg</w:t>
      </w:r>
      <w:r>
        <w:rPr>
          <w:rFonts w:hint="default" w:ascii="Times New Roman" w:hAnsi="Times New Roman" w:cs="Times New Roman" w:eastAsiaTheme="minorEastAsia"/>
          <w:b w:val="0"/>
          <w:bCs w:val="0"/>
          <w:sz w:val="24"/>
          <w:szCs w:val="24"/>
          <w:u w:color="FFFFFF"/>
          <w:lang w:val="en-US" w:eastAsia="zh-CN"/>
        </w:rPr>
        <w:t>/m</w:t>
      </w:r>
      <w:r>
        <w:rPr>
          <w:rFonts w:hint="default" w:ascii="Times New Roman" w:hAnsi="Times New Roman" w:cs="Times New Roman" w:eastAsiaTheme="minorEastAsia"/>
          <w:b w:val="0"/>
          <w:bCs w:val="0"/>
          <w:sz w:val="24"/>
          <w:szCs w:val="24"/>
          <w:u w:color="FFFFFF"/>
          <w:vertAlign w:val="superscript"/>
          <w:lang w:val="en-US" w:eastAsia="zh-CN"/>
        </w:rPr>
        <w:t>2</w:t>
      </w:r>
      <w:r>
        <w:rPr>
          <w:rFonts w:hint="default" w:ascii="Times New Roman" w:hAnsi="Times New Roman" w:cs="Times New Roman" w:eastAsiaTheme="minorEastAsia"/>
          <w:b w:val="0"/>
          <w:bCs w:val="0"/>
          <w:sz w:val="24"/>
          <w:szCs w:val="24"/>
          <w:u w:color="FFFFFF"/>
        </w:rPr>
        <w:t>, ivgtt d1 (03:30-04:30), Cisplatin, 75mg</w:t>
      </w:r>
      <w:r>
        <w:rPr>
          <w:rFonts w:hint="default" w:ascii="Times New Roman" w:hAnsi="Times New Roman" w:cs="Times New Roman" w:eastAsiaTheme="minorEastAsia"/>
          <w:b w:val="0"/>
          <w:bCs w:val="0"/>
          <w:sz w:val="24"/>
          <w:szCs w:val="24"/>
          <w:u w:color="FFFFFF"/>
          <w:lang w:val="en-US" w:eastAsia="zh-CN"/>
        </w:rPr>
        <w:t>/m</w:t>
      </w:r>
      <w:r>
        <w:rPr>
          <w:rFonts w:hint="default" w:ascii="Times New Roman" w:hAnsi="Times New Roman" w:cs="Times New Roman" w:eastAsiaTheme="minorEastAsia"/>
          <w:b w:val="0"/>
          <w:bCs w:val="0"/>
          <w:sz w:val="24"/>
          <w:szCs w:val="24"/>
          <w:u w:color="FFFFFF"/>
          <w:vertAlign w:val="superscript"/>
          <w:lang w:val="en-US" w:eastAsia="zh-CN"/>
        </w:rPr>
        <w:t>2</w:t>
      </w:r>
      <w:r>
        <w:rPr>
          <w:rFonts w:hint="default" w:ascii="Times New Roman" w:hAnsi="Times New Roman" w:cs="Times New Roman" w:eastAsiaTheme="minorEastAsia"/>
          <w:b w:val="0"/>
          <w:bCs w:val="0"/>
          <w:sz w:val="24"/>
          <w:szCs w:val="24"/>
          <w:u w:color="FFFFFF"/>
        </w:rPr>
        <w:t xml:space="preserve">, civ, </w:t>
      </w:r>
      <w:r>
        <w:rPr>
          <w:rFonts w:hint="default" w:ascii="Times New Roman" w:hAnsi="Times New Roman" w:cs="Times New Roman" w:eastAsiaTheme="minorEastAsia"/>
          <w:b w:val="0"/>
          <w:bCs w:val="0"/>
          <w:sz w:val="24"/>
          <w:szCs w:val="24"/>
          <w:u w:color="FFFFFF"/>
          <w:lang w:val="en-US" w:eastAsia="zh-CN"/>
        </w:rPr>
        <w:t xml:space="preserve">q12h </w:t>
      </w:r>
      <w:r>
        <w:rPr>
          <w:rFonts w:hint="default" w:ascii="Times New Roman" w:hAnsi="Times New Roman" w:cs="Times New Roman" w:eastAsiaTheme="minorEastAsia"/>
          <w:b w:val="0"/>
          <w:bCs w:val="0"/>
          <w:sz w:val="24"/>
          <w:szCs w:val="24"/>
          <w:u w:color="FFFFFF"/>
        </w:rPr>
        <w:t>d1-d5 (10:00-22:00), Fluorouracil, 750mg</w:t>
      </w:r>
      <w:r>
        <w:rPr>
          <w:rFonts w:hint="default" w:ascii="Times New Roman" w:hAnsi="Times New Roman" w:cs="Times New Roman" w:eastAsiaTheme="minorEastAsia"/>
          <w:b w:val="0"/>
          <w:bCs w:val="0"/>
          <w:sz w:val="24"/>
          <w:szCs w:val="24"/>
          <w:u w:color="FFFFFF"/>
          <w:lang w:val="en-US" w:eastAsia="zh-CN"/>
        </w:rPr>
        <w:t>/m</w:t>
      </w:r>
      <w:r>
        <w:rPr>
          <w:rFonts w:hint="default" w:ascii="Times New Roman" w:hAnsi="Times New Roman" w:cs="Times New Roman" w:eastAsiaTheme="minorEastAsia"/>
          <w:b w:val="0"/>
          <w:bCs w:val="0"/>
          <w:sz w:val="24"/>
          <w:szCs w:val="24"/>
          <w:u w:color="FFFFFF"/>
          <w:vertAlign w:val="superscript"/>
          <w:lang w:val="en-US" w:eastAsia="zh-CN"/>
        </w:rPr>
        <w:t>2</w:t>
      </w:r>
      <w:r>
        <w:rPr>
          <w:rFonts w:hint="default" w:ascii="Times New Roman" w:hAnsi="Times New Roman" w:cs="Times New Roman" w:eastAsiaTheme="minorEastAsia"/>
          <w:b w:val="0"/>
          <w:bCs w:val="0"/>
          <w:sz w:val="24"/>
          <w:szCs w:val="24"/>
          <w:u w:color="FFFFFF"/>
        </w:rPr>
        <w:t xml:space="preserve">/ d, civ, q12h d1-d5(22:00-10:00), Once every 3 weeks, A total of 3 </w:t>
      </w:r>
      <w:r>
        <w:rPr>
          <w:rFonts w:hint="default" w:ascii="Times New Roman" w:hAnsi="Times New Roman" w:cs="Times New Roman" w:eastAsiaTheme="minorEastAsia"/>
          <w:b w:val="0"/>
          <w:bCs w:val="0"/>
          <w:sz w:val="24"/>
          <w:szCs w:val="24"/>
          <w:u w:color="FFFFFF"/>
          <w:lang w:val="en-US" w:eastAsia="zh-CN"/>
        </w:rPr>
        <w:t>cycle</w:t>
      </w:r>
      <w:r>
        <w:rPr>
          <w:rFonts w:hint="default" w:ascii="Times New Roman" w:hAnsi="Times New Roman" w:cs="Times New Roman" w:eastAsiaTheme="minorEastAsia"/>
          <w:b w:val="0"/>
          <w:bCs w:val="0"/>
          <w:sz w:val="24"/>
          <w:szCs w:val="24"/>
          <w:u w:color="FFFFFF"/>
        </w:rPr>
        <w:t>s) + concurrent chemoradiotherapy (cisplatin 100mg</w:t>
      </w:r>
      <w:r>
        <w:rPr>
          <w:rFonts w:hint="default" w:ascii="Times New Roman" w:hAnsi="Times New Roman" w:cs="Times New Roman" w:eastAsiaTheme="minorEastAsia"/>
          <w:b w:val="0"/>
          <w:bCs w:val="0"/>
          <w:sz w:val="24"/>
          <w:szCs w:val="24"/>
          <w:u w:color="FFFFFF"/>
          <w:lang w:val="en-US" w:eastAsia="zh-CN"/>
        </w:rPr>
        <w:t>/m</w:t>
      </w:r>
      <w:r>
        <w:rPr>
          <w:rFonts w:hint="default" w:ascii="Times New Roman" w:hAnsi="Times New Roman" w:cs="Times New Roman" w:eastAsiaTheme="minorEastAsia"/>
          <w:b w:val="0"/>
          <w:bCs w:val="0"/>
          <w:sz w:val="24"/>
          <w:szCs w:val="24"/>
          <w:u w:color="FFFFFF"/>
          <w:vertAlign w:val="superscript"/>
          <w:lang w:val="en-US" w:eastAsia="zh-CN"/>
        </w:rPr>
        <w:t>2</w:t>
      </w:r>
      <w:r>
        <w:rPr>
          <w:rFonts w:hint="default" w:ascii="Times New Roman" w:hAnsi="Times New Roman" w:cs="Times New Roman" w:eastAsiaTheme="minorEastAsia"/>
          <w:b w:val="0"/>
          <w:bCs w:val="0"/>
          <w:sz w:val="24"/>
          <w:szCs w:val="24"/>
          <w:u w:color="FFFFFF"/>
        </w:rPr>
        <w:t>, civ, d1(10:00-22:00), Of radiotherapy, starting on the same day or on day 2, Every three weeks during the radiation treatment period, Total of 2 treatment courses)</w:t>
      </w:r>
    </w:p>
    <w:p>
      <w:pPr>
        <w:snapToGrid w:val="0"/>
        <w:spacing w:before="100" w:beforeAutospacing="1" w:after="100" w:afterAutospacing="1" w:line="360" w:lineRule="auto"/>
        <w:rPr>
          <w:rFonts w:hint="default" w:ascii="Times New Roman" w:hAnsi="Times New Roman" w:cs="Times New Roman" w:eastAsiaTheme="minorEastAsia"/>
          <w:b w:val="0"/>
          <w:bCs w:val="0"/>
          <w:sz w:val="24"/>
          <w:szCs w:val="24"/>
          <w:u w:color="FFFFFF"/>
          <w:lang w:val="en-US" w:eastAsia="zh-CN"/>
        </w:rPr>
      </w:pPr>
      <w:r>
        <w:rPr>
          <w:rFonts w:hint="default" w:ascii="Times New Roman" w:hAnsi="Times New Roman" w:cs="Times New Roman" w:eastAsiaTheme="minorEastAsia"/>
          <w:b w:val="0"/>
          <w:bCs w:val="0"/>
          <w:sz w:val="24"/>
          <w:szCs w:val="24"/>
          <w:u w:color="FFFFFF"/>
          <w:lang w:val="en-US" w:eastAsia="zh-CN"/>
        </w:rPr>
        <w:t>Concomitant chemoradiotherapy, started within 3 weeks after the completion of induction chemotherapy. Cisplatin can be started on the same day or the second day of radiotherapy and can be performed within a week of the end of radiotherapy.</w:t>
      </w:r>
    </w:p>
    <w:p>
      <w:pPr>
        <w:snapToGrid w:val="0"/>
        <w:spacing w:before="100" w:beforeAutospacing="1" w:after="100" w:afterAutospacing="1" w:line="360" w:lineRule="auto"/>
        <w:rPr>
          <w:rFonts w:hint="default" w:ascii="Times New Roman" w:hAnsi="Times New Roman" w:eastAsia="宋体" w:cs="Times New Roman"/>
          <w:b/>
          <w:bCs/>
          <w:color w:val="000000"/>
          <w:sz w:val="24"/>
          <w:szCs w:val="24"/>
          <w:lang w:val="en-US" w:eastAsia="zh-CN"/>
        </w:rPr>
      </w:pPr>
      <w:r>
        <w:rPr>
          <w:rFonts w:hint="eastAsia" w:cs="Times New Roman"/>
          <w:b/>
          <w:bCs/>
          <w:color w:val="000000"/>
          <w:sz w:val="24"/>
          <w:szCs w:val="24"/>
          <w:lang w:val="en-US" w:eastAsia="zh-CN"/>
        </w:rPr>
        <w:t>8</w:t>
      </w:r>
      <w:r>
        <w:rPr>
          <w:rFonts w:hint="default" w:ascii="Times New Roman" w:hAnsi="Times New Roman" w:cs="Times New Roman"/>
          <w:b/>
          <w:bCs/>
          <w:color w:val="000000"/>
          <w:sz w:val="24"/>
          <w:szCs w:val="24"/>
        </w:rPr>
        <w:t>.2.2 Chemotherapy implementation and concomitant medication</w:t>
      </w:r>
    </w:p>
    <w:p>
      <w:pPr>
        <w:keepNext w:val="0"/>
        <w:keepLines w:val="0"/>
        <w:pageBreakBefore w:val="0"/>
        <w:widowControl w:val="0"/>
        <w:numPr>
          <w:ilvl w:val="0"/>
          <w:numId w:val="14"/>
        </w:numPr>
        <w:kinsoku/>
        <w:wordWrap/>
        <w:overflowPunct/>
        <w:topLinePunct w:val="0"/>
        <w:autoSpaceDE/>
        <w:autoSpaceDN/>
        <w:bidi w:val="0"/>
        <w:adjustRightInd/>
        <w:snapToGrid w:val="0"/>
        <w:spacing w:before="100" w:beforeAutospacing="1" w:after="100" w:afterAutospacing="1" w:line="360" w:lineRule="auto"/>
        <w:ind w:left="420" w:leftChars="0" w:hanging="420" w:firstLineChars="0"/>
        <w:jc w:val="left"/>
        <w:textAlignment w:val="auto"/>
        <w:outlineLvl w:val="9"/>
        <w:rPr>
          <w:rFonts w:hint="default" w:ascii="Times New Roman" w:hAnsi="Times New Roman" w:cs="Times New Roman" w:eastAsiaTheme="minorEastAsia"/>
          <w:b w:val="0"/>
          <w:bCs w:val="0"/>
          <w:color w:val="000000"/>
          <w:sz w:val="24"/>
          <w:szCs w:val="24"/>
          <w:lang w:val="en-US" w:eastAsia="zh-CN"/>
        </w:rPr>
      </w:pPr>
      <w:r>
        <w:rPr>
          <w:rFonts w:hint="default" w:ascii="Times New Roman" w:hAnsi="Times New Roman" w:cs="Times New Roman" w:eastAsiaTheme="minorEastAsia"/>
          <w:b w:val="0"/>
          <w:bCs w:val="0"/>
          <w:color w:val="000000"/>
          <w:sz w:val="24"/>
          <w:szCs w:val="24"/>
          <w:lang w:val="en-US" w:eastAsia="zh-CN"/>
        </w:rPr>
        <w:t>During induction / adjuvant chemotherapy: both groups received a first-generation 5-HT 3 receptor antagonist.dexamethasone antiemetics:</w:t>
      </w:r>
    </w:p>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ind w:firstLine="480" w:firstLineChars="200"/>
        <w:jc w:val="left"/>
        <w:textAlignment w:val="auto"/>
        <w:outlineLvl w:val="9"/>
        <w:rPr>
          <w:rFonts w:hint="default" w:ascii="Times New Roman" w:hAnsi="Times New Roman" w:cs="Times New Roman" w:eastAsiaTheme="minorEastAsia"/>
          <w:b w:val="0"/>
          <w:bCs w:val="0"/>
          <w:color w:val="000000"/>
          <w:sz w:val="24"/>
          <w:szCs w:val="24"/>
          <w:lang w:val="en-US" w:eastAsia="zh-CN"/>
        </w:rPr>
      </w:pPr>
      <w:r>
        <w:rPr>
          <w:rFonts w:hint="default" w:ascii="Times New Roman" w:hAnsi="Times New Roman" w:cs="Times New Roman" w:eastAsiaTheme="minorEastAsia"/>
          <w:b w:val="0"/>
          <w:bCs w:val="0"/>
          <w:color w:val="000000"/>
          <w:sz w:val="24"/>
          <w:szCs w:val="24"/>
          <w:lang w:val="en-US" w:eastAsia="zh-CN"/>
        </w:rPr>
        <w:t>TPF induction chemotherapy: Dexamethasone starting on the first day of docetaxel injection, 16mg daily for 3 days</w:t>
      </w:r>
    </w:p>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ind w:left="210" w:leftChars="100" w:firstLine="240" w:firstLineChars="100"/>
        <w:jc w:val="left"/>
        <w:textAlignment w:val="auto"/>
        <w:outlineLvl w:val="9"/>
        <w:rPr>
          <w:rFonts w:hint="default" w:ascii="Times New Roman" w:hAnsi="Times New Roman" w:cs="Times New Roman" w:eastAsiaTheme="minorEastAsia"/>
          <w:b w:val="0"/>
          <w:bCs w:val="0"/>
          <w:color w:val="000000"/>
          <w:sz w:val="24"/>
          <w:szCs w:val="24"/>
          <w:lang w:val="en-US" w:eastAsia="zh-CN"/>
        </w:rPr>
      </w:pPr>
      <w:r>
        <w:rPr>
          <w:rFonts w:hint="default" w:ascii="Times New Roman" w:hAnsi="Times New Roman" w:cs="Times New Roman" w:eastAsiaTheme="minorEastAsia"/>
          <w:b w:val="0"/>
          <w:bCs w:val="0"/>
          <w:color w:val="000000"/>
          <w:sz w:val="24"/>
          <w:szCs w:val="24"/>
          <w:lang w:val="en-US" w:eastAsia="zh-CN"/>
        </w:rPr>
        <w:t>PF adjuvant chemotherapy: taking dexamethasone, 12mg, d1, taking; 8mg, d2-3, taking</w:t>
      </w:r>
    </w:p>
    <w:p>
      <w:pPr>
        <w:numPr>
          <w:ilvl w:val="0"/>
          <w:numId w:val="14"/>
        </w:numPr>
        <w:snapToGrid w:val="0"/>
        <w:spacing w:before="100" w:beforeAutospacing="1" w:after="100" w:afterAutospacing="1" w:line="360" w:lineRule="auto"/>
        <w:ind w:left="420" w:leftChars="0" w:hanging="420" w:firstLineChars="0"/>
        <w:rPr>
          <w:rFonts w:hint="default" w:ascii="Times New Roman" w:hAnsi="Times New Roman" w:cs="Times New Roman" w:eastAsiaTheme="minorEastAsia"/>
          <w:b w:val="0"/>
          <w:bCs w:val="0"/>
          <w:color w:val="000000"/>
          <w:sz w:val="24"/>
          <w:szCs w:val="24"/>
          <w:lang w:val="en-US" w:eastAsia="zh-CN"/>
        </w:rPr>
      </w:pPr>
      <w:r>
        <w:rPr>
          <w:rFonts w:hint="default" w:ascii="Times New Roman" w:hAnsi="Times New Roman" w:cs="Times New Roman" w:eastAsiaTheme="minorEastAsia"/>
          <w:b w:val="0"/>
          <w:bCs w:val="0"/>
          <w:color w:val="000000"/>
          <w:sz w:val="24"/>
          <w:szCs w:val="24"/>
          <w:lang w:val="en-US" w:eastAsia="zh-CN"/>
        </w:rPr>
        <w:t xml:space="preserve"> During the concurrent chemotherapy period:</w:t>
      </w:r>
    </w:p>
    <w:p>
      <w:pPr>
        <w:snapToGrid w:val="0"/>
        <w:spacing w:before="100" w:beforeAutospacing="1" w:after="100" w:afterAutospacing="1" w:line="360" w:lineRule="auto"/>
        <w:ind w:firstLine="480" w:firstLineChars="200"/>
        <w:rPr>
          <w:rFonts w:hint="default" w:ascii="Times New Roman" w:hAnsi="Times New Roman" w:cs="Times New Roman" w:eastAsiaTheme="minorEastAsia"/>
          <w:b w:val="0"/>
          <w:bCs w:val="0"/>
          <w:color w:val="000000"/>
          <w:sz w:val="24"/>
          <w:szCs w:val="24"/>
        </w:rPr>
      </w:pPr>
      <w:r>
        <w:rPr>
          <w:rFonts w:hint="default" w:ascii="Times New Roman" w:hAnsi="Times New Roman" w:cs="Times New Roman" w:eastAsiaTheme="minorEastAsia"/>
          <w:b w:val="0"/>
          <w:bCs w:val="0"/>
          <w:color w:val="000000"/>
          <w:sz w:val="24"/>
          <w:szCs w:val="24"/>
        </w:rPr>
        <w:t>DDP high-dose (100 mg / m</w:t>
      </w:r>
      <w:r>
        <w:rPr>
          <w:rFonts w:hint="default" w:ascii="Times New Roman" w:hAnsi="Times New Roman" w:cs="Times New Roman" w:eastAsiaTheme="minorEastAsia"/>
          <w:b w:val="0"/>
          <w:bCs w:val="0"/>
          <w:color w:val="000000"/>
          <w:sz w:val="24"/>
          <w:szCs w:val="24"/>
          <w:vertAlign w:val="superscript"/>
        </w:rPr>
        <w:t>2</w:t>
      </w:r>
      <w:r>
        <w:rPr>
          <w:rFonts w:hint="default" w:ascii="Times New Roman" w:hAnsi="Times New Roman" w:cs="Times New Roman" w:eastAsiaTheme="minorEastAsia"/>
          <w:b w:val="0"/>
          <w:bCs w:val="0"/>
          <w:color w:val="000000"/>
          <w:sz w:val="24"/>
          <w:szCs w:val="24"/>
          <w:vertAlign w:val="baseline"/>
          <w:lang w:eastAsia="zh-CN"/>
        </w:rPr>
        <w:t>）</w:t>
      </w:r>
      <w:r>
        <w:rPr>
          <w:rFonts w:hint="default" w:ascii="Times New Roman" w:hAnsi="Times New Roman" w:cs="Times New Roman" w:eastAsiaTheme="minorEastAsia"/>
          <w:b w:val="0"/>
          <w:bCs w:val="0"/>
          <w:color w:val="000000"/>
          <w:sz w:val="24"/>
          <w:szCs w:val="24"/>
        </w:rPr>
        <w:t>One day before chemotherapy (D0) and D1-D3 (over 2000ml), furosemide (D1-D2) and mannitol (D1) diuresis reduced renal toxicity of DDP, and 24-hour urine volume (D0-D3) and routine (D2-D3).</w:t>
      </w:r>
    </w:p>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ind w:left="210" w:leftChars="100" w:firstLine="240" w:firstLineChars="100"/>
        <w:jc w:val="left"/>
        <w:textAlignment w:val="auto"/>
        <w:outlineLvl w:val="9"/>
        <w:rPr>
          <w:rFonts w:hint="default" w:ascii="Times New Roman" w:hAnsi="Times New Roman" w:cs="Times New Roman" w:eastAsiaTheme="minorEastAsia"/>
          <w:b w:val="0"/>
          <w:bCs w:val="0"/>
          <w:color w:val="000000"/>
          <w:sz w:val="24"/>
          <w:szCs w:val="24"/>
        </w:rPr>
      </w:pPr>
      <w:r>
        <w:rPr>
          <w:rFonts w:hint="default" w:ascii="Times New Roman" w:hAnsi="Times New Roman" w:cs="Times New Roman" w:eastAsiaTheme="minorEastAsia"/>
          <w:b w:val="0"/>
          <w:bCs w:val="0"/>
          <w:color w:val="000000"/>
          <w:sz w:val="24"/>
          <w:szCs w:val="24"/>
          <w:lang w:val="en-US" w:eastAsia="zh-CN"/>
        </w:rPr>
        <w:t>Both groups received the first generation 5-HT 3 receptor antagonist, dexamethasone antiemetic (dexamethasone starting on the day of chemotherapy, 12mg, d1, take; 8mg, d2-3, take)</w:t>
      </w:r>
    </w:p>
    <w:p>
      <w:pPr>
        <w:snapToGrid w:val="0"/>
        <w:spacing w:before="100" w:beforeAutospacing="1" w:after="100" w:afterAutospacing="1" w:line="360" w:lineRule="auto"/>
        <w:rPr>
          <w:rFonts w:hint="default" w:ascii="Times New Roman" w:hAnsi="Times New Roman" w:cs="Times New Roman"/>
          <w:b/>
          <w:bCs/>
          <w:color w:val="000000"/>
          <w:sz w:val="24"/>
          <w:szCs w:val="24"/>
        </w:rPr>
      </w:pPr>
      <w:bookmarkStart w:id="26" w:name="OLE_LINK14"/>
      <w:r>
        <w:rPr>
          <w:rFonts w:hint="eastAsia" w:cs="Times New Roman"/>
          <w:b/>
          <w:bCs/>
          <w:color w:val="000000"/>
          <w:sz w:val="24"/>
          <w:szCs w:val="24"/>
          <w:lang w:val="en-US" w:eastAsia="zh-CN"/>
        </w:rPr>
        <w:t>8</w:t>
      </w:r>
      <w:r>
        <w:rPr>
          <w:rFonts w:hint="default" w:ascii="Times New Roman" w:hAnsi="Times New Roman" w:cs="Times New Roman"/>
          <w:b/>
          <w:bCs/>
          <w:color w:val="000000"/>
          <w:sz w:val="24"/>
          <w:szCs w:val="24"/>
        </w:rPr>
        <w:t>.2.3 Monitoring of treatment toxicity and drug dose adjustment</w:t>
      </w:r>
    </w:p>
    <w:bookmarkEnd w:id="26"/>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(1) Chemotherapy: examine the patient and grade the treatment toxicity according to subjective or objective evidence, use CTCAE treatment toxicity evaluation criteria, </w:t>
      </w:r>
      <w:r>
        <w:rPr>
          <w:rFonts w:hint="default" w:ascii="Times New Roman" w:hAnsi="Times New Roman" w:cs="Times New Roman"/>
          <w:b w:val="0"/>
          <w:bCs w:val="0"/>
          <w:color w:val="000000"/>
          <w:sz w:val="24"/>
          <w:szCs w:val="24"/>
        </w:rPr>
        <w:t xml:space="preserve">do not prevent the use of </w:t>
      </w:r>
      <w:r>
        <w:rPr>
          <w:rFonts w:hint="default" w:ascii="Times New Roman" w:hAnsi="Times New Roman" w:cs="Times New Roman"/>
          <w:b/>
          <w:bCs/>
          <w:color w:val="000000"/>
          <w:sz w:val="24"/>
          <w:szCs w:val="24"/>
        </w:rPr>
        <w:t>G-CSF</w:t>
      </w:r>
      <w:r>
        <w:rPr>
          <w:rFonts w:hint="default" w:ascii="Times New Roman" w:hAnsi="Times New Roman" w:cs="Times New Roman"/>
          <w:b w:val="0"/>
          <w:bCs w:val="0"/>
          <w:color w:val="000000"/>
          <w:sz w:val="24"/>
          <w:szCs w:val="24"/>
        </w:rPr>
        <w:t>, but in the first stage of chemotherapy, 4 degree myelosuppression, granulocyte deficiency fever, and delayed recovery of myelosuppression can be used</w:t>
      </w:r>
      <w:r>
        <w:rPr>
          <w:rFonts w:hint="default" w:ascii="Times New Roman" w:hAnsi="Times New Roman" w:cs="Times New Roman"/>
          <w:color w:val="000000"/>
          <w:sz w:val="24"/>
          <w:szCs w:val="24"/>
        </w:rPr>
        <w:t>.</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 DDP and docetaxel and 5-FU cannot increase the dose.</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 The dose of chemotherapy should be adjusted according to the lowest value of the relevant test indicators caused by the previous chemotherapy and the maximum degree of non-hematological toxicity.</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 Chemotherapy can be delayed due to severe grade 3 / 4 treatment toxicity, reducing the pre-chemotherapy toxicity to 1 degree or disappear (except for alopecia, fatigue and nail changes). The chemotherapy should be terminated if the extended period exceeds two weeks. Mucositis and dermatitis and other radiotherapy-related toxicity associated with 3-4 degree radiotherapy require a return to below 2 degrees before chemotherapy.</w:t>
      </w:r>
    </w:p>
    <w:p>
      <w:pPr>
        <w:spacing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 Dose adjustment criteria during chemotherapy:</w:t>
      </w:r>
    </w:p>
    <w:p>
      <w:pPr>
        <w:spacing w:line="360" w:lineRule="auto"/>
        <w:rPr>
          <w:rFonts w:hint="default" w:ascii="Times New Roman" w:hAnsi="Times New Roman" w:cs="Times New Roman"/>
          <w:color w:val="000000"/>
          <w:sz w:val="24"/>
          <w:szCs w:val="24"/>
        </w:rPr>
      </w:pPr>
    </w:p>
    <w:tbl>
      <w:tblPr>
        <w:tblStyle w:val="10"/>
        <w:tblW w:w="83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1"/>
        <w:gridCol w:w="1802"/>
        <w:gridCol w:w="1941"/>
        <w:gridCol w:w="1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medicinal</w:t>
            </w:r>
          </w:p>
        </w:tc>
        <w:tc>
          <w:tcPr>
            <w:tcW w:w="1802"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initial dose</w:t>
            </w:r>
          </w:p>
        </w:tc>
        <w:tc>
          <w:tcPr>
            <w:tcW w:w="194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Reduce by one dose level</w:t>
            </w:r>
          </w:p>
        </w:tc>
        <w:tc>
          <w:tcPr>
            <w:tcW w:w="199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Reduce the two dose levels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tcPr>
          <w:p>
            <w:pPr>
              <w:spacing w:before="100" w:beforeAutospacing="1" w:after="100" w:afterAutospacing="1" w:line="360" w:lineRule="auto"/>
              <w:rPr>
                <w:rFonts w:hint="default" w:ascii="Times New Roman" w:hAnsi="Times New Roman" w:cs="Times New Roman"/>
                <w:b w:val="0"/>
                <w:bCs w:val="0"/>
                <w:color w:val="D9D9D9" w:themeColor="background1" w:themeShade="D9"/>
                <w:sz w:val="24"/>
                <w:szCs w:val="24"/>
              </w:rPr>
            </w:pP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PF regimen with adjuvant chemotherapy</w:t>
            </w:r>
          </w:p>
        </w:tc>
        <w:tc>
          <w:tcPr>
            <w:tcW w:w="1802" w:type="dxa"/>
          </w:tcPr>
          <w:p>
            <w:pPr>
              <w:spacing w:before="100" w:beforeAutospacing="1" w:after="100" w:afterAutospacing="1" w:line="360" w:lineRule="auto"/>
              <w:rPr>
                <w:rFonts w:hint="default" w:ascii="Times New Roman" w:hAnsi="Times New Roman" w:cs="Times New Roman"/>
                <w:b w:val="0"/>
                <w:bCs w:val="0"/>
                <w:color w:val="D9D9D9" w:themeColor="background1" w:themeShade="D9"/>
                <w:sz w:val="24"/>
                <w:szCs w:val="24"/>
              </w:rPr>
            </w:pPr>
          </w:p>
        </w:tc>
        <w:tc>
          <w:tcPr>
            <w:tcW w:w="1941" w:type="dxa"/>
          </w:tcPr>
          <w:p>
            <w:pPr>
              <w:spacing w:before="100" w:beforeAutospacing="1" w:after="100" w:afterAutospacing="1" w:line="360" w:lineRule="auto"/>
              <w:rPr>
                <w:rFonts w:hint="default" w:ascii="Times New Roman" w:hAnsi="Times New Roman" w:cs="Times New Roman"/>
                <w:b w:val="0"/>
                <w:bCs w:val="0"/>
                <w:color w:val="D9D9D9" w:themeColor="background1" w:themeShade="D9"/>
                <w:sz w:val="24"/>
                <w:szCs w:val="24"/>
              </w:rPr>
            </w:pPr>
          </w:p>
        </w:tc>
        <w:tc>
          <w:tcPr>
            <w:tcW w:w="1991" w:type="dxa"/>
          </w:tcPr>
          <w:p>
            <w:pPr>
              <w:spacing w:before="100" w:beforeAutospacing="1" w:after="100" w:afterAutospacing="1" w:line="360" w:lineRule="auto"/>
              <w:rPr>
                <w:rFonts w:hint="default" w:ascii="Times New Roman" w:hAnsi="Times New Roman" w:cs="Times New Roman"/>
                <w:b w:val="0"/>
                <w:bCs w:val="0"/>
                <w:color w:val="D9D9D9" w:themeColor="background1" w:themeShade="D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2601" w:type="dxa"/>
            <w:vAlign w:val="top"/>
          </w:tcPr>
          <w:p>
            <w:pPr>
              <w:spacing w:before="100" w:beforeAutospacing="1" w:after="100" w:afterAutospacing="1" w:line="360" w:lineRule="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cs="Times New Roman"/>
                <w:b w:val="0"/>
                <w:bCs w:val="0"/>
                <w:color w:val="000000"/>
                <w:sz w:val="24"/>
                <w:szCs w:val="24"/>
              </w:rPr>
              <w:t>DDP (Adjuvant Chemotherapy)</w:t>
            </w:r>
          </w:p>
        </w:tc>
        <w:tc>
          <w:tcPr>
            <w:tcW w:w="1802"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80mg/m</w:t>
            </w:r>
            <w:r>
              <w:rPr>
                <w:rFonts w:hint="default" w:ascii="Times New Roman" w:hAnsi="Times New Roman" w:cs="Times New Roman"/>
                <w:b w:val="0"/>
                <w:bCs w:val="0"/>
                <w:color w:val="000000"/>
                <w:sz w:val="24"/>
                <w:szCs w:val="24"/>
                <w:vertAlign w:val="superscript"/>
              </w:rPr>
              <w:t>2</w:t>
            </w:r>
          </w:p>
        </w:tc>
        <w:tc>
          <w:tcPr>
            <w:tcW w:w="194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65mg/m</w:t>
            </w:r>
            <w:r>
              <w:rPr>
                <w:rFonts w:hint="default" w:ascii="Times New Roman" w:hAnsi="Times New Roman" w:cs="Times New Roman"/>
                <w:b w:val="0"/>
                <w:bCs w:val="0"/>
                <w:color w:val="000000"/>
                <w:sz w:val="24"/>
                <w:szCs w:val="24"/>
                <w:vertAlign w:val="superscript"/>
              </w:rPr>
              <w:t>2</w:t>
            </w:r>
          </w:p>
        </w:tc>
        <w:tc>
          <w:tcPr>
            <w:tcW w:w="199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50mg/m</w:t>
            </w:r>
            <w:r>
              <w:rPr>
                <w:rFonts w:hint="default" w:ascii="Times New Roman" w:hAnsi="Times New Roman" w:cs="Times New Roman"/>
                <w:b w:val="0"/>
                <w:bCs w:val="0"/>
                <w:color w:val="000000"/>
                <w:sz w:val="24"/>
                <w:szCs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5-FU</w:t>
            </w:r>
          </w:p>
        </w:tc>
        <w:tc>
          <w:tcPr>
            <w:tcW w:w="1802"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800mg/m</w:t>
            </w:r>
            <w:r>
              <w:rPr>
                <w:rFonts w:hint="default" w:ascii="Times New Roman" w:hAnsi="Times New Roman" w:cs="Times New Roman"/>
                <w:b w:val="0"/>
                <w:bCs w:val="0"/>
                <w:color w:val="000000"/>
                <w:sz w:val="24"/>
                <w:szCs w:val="24"/>
                <w:vertAlign w:val="superscript"/>
              </w:rPr>
              <w:t>2</w:t>
            </w:r>
            <w:r>
              <w:rPr>
                <w:rFonts w:hint="default" w:ascii="Times New Roman" w:hAnsi="Times New Roman" w:cs="Times New Roman"/>
                <w:b w:val="0"/>
                <w:bCs w:val="0"/>
                <w:color w:val="000000"/>
                <w:sz w:val="24"/>
                <w:szCs w:val="24"/>
                <w:vertAlign w:val="baseline"/>
                <w:lang w:val="en-US" w:eastAsia="zh-CN"/>
              </w:rPr>
              <w:t>.d</w:t>
            </w:r>
          </w:p>
        </w:tc>
        <w:tc>
          <w:tcPr>
            <w:tcW w:w="194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650mg/m</w:t>
            </w:r>
            <w:r>
              <w:rPr>
                <w:rFonts w:hint="default" w:ascii="Times New Roman" w:hAnsi="Times New Roman" w:cs="Times New Roman"/>
                <w:b w:val="0"/>
                <w:bCs w:val="0"/>
                <w:color w:val="000000"/>
                <w:sz w:val="24"/>
                <w:szCs w:val="24"/>
                <w:vertAlign w:val="superscript"/>
              </w:rPr>
              <w:t>2</w:t>
            </w:r>
            <w:r>
              <w:rPr>
                <w:rFonts w:hint="default" w:ascii="Times New Roman" w:hAnsi="Times New Roman" w:cs="Times New Roman"/>
                <w:b w:val="0"/>
                <w:bCs w:val="0"/>
                <w:color w:val="000000"/>
                <w:sz w:val="24"/>
                <w:szCs w:val="24"/>
                <w:vertAlign w:val="baseline"/>
                <w:lang w:val="en-US" w:eastAsia="zh-CN"/>
              </w:rPr>
              <w:t>.d</w:t>
            </w:r>
          </w:p>
        </w:tc>
        <w:tc>
          <w:tcPr>
            <w:tcW w:w="199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500mg/m</w:t>
            </w:r>
            <w:r>
              <w:rPr>
                <w:rFonts w:hint="default" w:ascii="Times New Roman" w:hAnsi="Times New Roman" w:cs="Times New Roman"/>
                <w:b w:val="0"/>
                <w:bCs w:val="0"/>
                <w:color w:val="000000"/>
                <w:sz w:val="24"/>
                <w:szCs w:val="24"/>
                <w:vertAlign w:val="superscript"/>
              </w:rPr>
              <w:t>2</w:t>
            </w:r>
            <w:r>
              <w:rPr>
                <w:rFonts w:hint="default" w:ascii="Times New Roman" w:hAnsi="Times New Roman" w:cs="Times New Roman"/>
                <w:b w:val="0"/>
                <w:bCs w:val="0"/>
                <w:color w:val="000000"/>
                <w:sz w:val="24"/>
                <w:szCs w:val="24"/>
                <w:vertAlign w:val="baseline"/>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tcPr>
          <w:p>
            <w:pPr>
              <w:spacing w:before="100" w:beforeAutospacing="1" w:after="100" w:afterAutospacing="1" w:line="360" w:lineRule="auto"/>
              <w:rPr>
                <w:rFonts w:hint="default" w:ascii="Times New Roman" w:hAnsi="Times New Roman" w:cs="Times New Roman"/>
                <w:b w:val="0"/>
                <w:bCs w:val="0"/>
                <w:color w:val="000000"/>
                <w:sz w:val="24"/>
                <w:szCs w:val="24"/>
              </w:rPr>
            </w:pPr>
          </w:p>
        </w:tc>
        <w:tc>
          <w:tcPr>
            <w:tcW w:w="1802" w:type="dxa"/>
          </w:tcPr>
          <w:p>
            <w:pPr>
              <w:spacing w:before="100" w:beforeAutospacing="1" w:after="100" w:afterAutospacing="1" w:line="360" w:lineRule="auto"/>
              <w:rPr>
                <w:rFonts w:hint="default" w:ascii="Times New Roman" w:hAnsi="Times New Roman" w:cs="Times New Roman"/>
                <w:b w:val="0"/>
                <w:bCs w:val="0"/>
                <w:color w:val="000000"/>
                <w:sz w:val="24"/>
                <w:szCs w:val="24"/>
              </w:rPr>
            </w:pPr>
          </w:p>
        </w:tc>
        <w:tc>
          <w:tcPr>
            <w:tcW w:w="1941" w:type="dxa"/>
          </w:tcPr>
          <w:p>
            <w:pPr>
              <w:spacing w:before="100" w:beforeAutospacing="1" w:after="100" w:afterAutospacing="1" w:line="360" w:lineRule="auto"/>
              <w:rPr>
                <w:rFonts w:hint="default" w:ascii="Times New Roman" w:hAnsi="Times New Roman" w:cs="Times New Roman"/>
                <w:b w:val="0"/>
                <w:bCs w:val="0"/>
                <w:color w:val="000000"/>
                <w:sz w:val="24"/>
                <w:szCs w:val="24"/>
              </w:rPr>
            </w:pPr>
          </w:p>
        </w:tc>
        <w:tc>
          <w:tcPr>
            <w:tcW w:w="1991" w:type="dxa"/>
          </w:tcPr>
          <w:p>
            <w:pPr>
              <w:spacing w:before="100" w:beforeAutospacing="1" w:after="100" w:afterAutospacing="1" w:line="360" w:lineRule="auto"/>
              <w:rPr>
                <w:rFonts w:hint="default" w:ascii="Times New Roman" w:hAnsi="Times New Roman" w:cs="Times New Roman"/>
                <w:b w:val="0"/>
                <w:bCs w:val="0"/>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lang w:val="en-US" w:eastAsia="zh-CN"/>
              </w:rPr>
              <w:t>The TPF regimen for induction chemotherapy</w:t>
            </w:r>
          </w:p>
        </w:tc>
        <w:tc>
          <w:tcPr>
            <w:tcW w:w="1802" w:type="dxa"/>
          </w:tcPr>
          <w:p>
            <w:pPr>
              <w:spacing w:before="100" w:beforeAutospacing="1" w:after="100" w:afterAutospacing="1" w:line="360" w:lineRule="auto"/>
              <w:rPr>
                <w:rFonts w:hint="default" w:ascii="Times New Roman" w:hAnsi="Times New Roman" w:cs="Times New Roman"/>
                <w:b w:val="0"/>
                <w:bCs w:val="0"/>
                <w:color w:val="000000"/>
                <w:sz w:val="24"/>
                <w:szCs w:val="24"/>
              </w:rPr>
            </w:pPr>
          </w:p>
        </w:tc>
        <w:tc>
          <w:tcPr>
            <w:tcW w:w="1941" w:type="dxa"/>
          </w:tcPr>
          <w:p>
            <w:pPr>
              <w:spacing w:before="100" w:beforeAutospacing="1" w:after="100" w:afterAutospacing="1" w:line="360" w:lineRule="auto"/>
              <w:rPr>
                <w:rFonts w:hint="default" w:ascii="Times New Roman" w:hAnsi="Times New Roman" w:cs="Times New Roman"/>
                <w:b w:val="0"/>
                <w:bCs w:val="0"/>
                <w:color w:val="000000"/>
                <w:sz w:val="24"/>
                <w:szCs w:val="24"/>
              </w:rPr>
            </w:pPr>
          </w:p>
        </w:tc>
        <w:tc>
          <w:tcPr>
            <w:tcW w:w="1991" w:type="dxa"/>
          </w:tcPr>
          <w:p>
            <w:pPr>
              <w:spacing w:before="100" w:beforeAutospacing="1" w:after="100" w:afterAutospacing="1" w:line="360" w:lineRule="auto"/>
              <w:rPr>
                <w:rFonts w:hint="default" w:ascii="Times New Roman" w:hAnsi="Times New Roman" w:cs="Times New Roman"/>
                <w:b w:val="0"/>
                <w:bCs w:val="0"/>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5-FU</w:t>
            </w:r>
          </w:p>
        </w:tc>
        <w:tc>
          <w:tcPr>
            <w:tcW w:w="1802" w:type="dxa"/>
          </w:tcPr>
          <w:p>
            <w:pPr>
              <w:spacing w:before="100" w:beforeAutospacing="1" w:after="100" w:afterAutospacing="1" w:line="360" w:lineRule="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cs="Times New Roman"/>
                <w:b w:val="0"/>
                <w:bCs w:val="0"/>
                <w:color w:val="000000"/>
                <w:sz w:val="24"/>
                <w:szCs w:val="24"/>
              </w:rPr>
              <w:t>750mg/m</w:t>
            </w:r>
            <w:r>
              <w:rPr>
                <w:rFonts w:hint="default" w:ascii="Times New Roman" w:hAnsi="Times New Roman" w:cs="Times New Roman"/>
                <w:b w:val="0"/>
                <w:bCs w:val="0"/>
                <w:color w:val="000000"/>
                <w:sz w:val="24"/>
                <w:szCs w:val="24"/>
                <w:vertAlign w:val="superscript"/>
              </w:rPr>
              <w:t>2</w:t>
            </w:r>
            <w:r>
              <w:rPr>
                <w:rFonts w:hint="default" w:ascii="Times New Roman" w:hAnsi="Times New Roman" w:cs="Times New Roman"/>
                <w:b w:val="0"/>
                <w:bCs w:val="0"/>
                <w:color w:val="000000"/>
                <w:sz w:val="24"/>
                <w:szCs w:val="24"/>
                <w:vertAlign w:val="baseline"/>
                <w:lang w:val="en-US" w:eastAsia="zh-CN"/>
              </w:rPr>
              <w:t>.d</w:t>
            </w:r>
          </w:p>
        </w:tc>
        <w:tc>
          <w:tcPr>
            <w:tcW w:w="194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600mg/m</w:t>
            </w:r>
            <w:r>
              <w:rPr>
                <w:rFonts w:hint="default" w:ascii="Times New Roman" w:hAnsi="Times New Roman" w:cs="Times New Roman"/>
                <w:b w:val="0"/>
                <w:bCs w:val="0"/>
                <w:color w:val="000000"/>
                <w:sz w:val="24"/>
                <w:szCs w:val="24"/>
                <w:vertAlign w:val="superscript"/>
              </w:rPr>
              <w:t>2</w:t>
            </w:r>
            <w:r>
              <w:rPr>
                <w:rFonts w:hint="default" w:ascii="Times New Roman" w:hAnsi="Times New Roman" w:cs="Times New Roman"/>
                <w:b w:val="0"/>
                <w:bCs w:val="0"/>
                <w:color w:val="000000"/>
                <w:sz w:val="24"/>
                <w:szCs w:val="24"/>
                <w:vertAlign w:val="baseline"/>
                <w:lang w:val="en-US" w:eastAsia="zh-CN"/>
              </w:rPr>
              <w:t>.d</w:t>
            </w:r>
          </w:p>
        </w:tc>
        <w:tc>
          <w:tcPr>
            <w:tcW w:w="199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450mg/m</w:t>
            </w:r>
            <w:r>
              <w:rPr>
                <w:rFonts w:hint="default" w:ascii="Times New Roman" w:hAnsi="Times New Roman" w:cs="Times New Roman"/>
                <w:b w:val="0"/>
                <w:bCs w:val="0"/>
                <w:color w:val="000000"/>
                <w:sz w:val="24"/>
                <w:szCs w:val="24"/>
                <w:vertAlign w:val="superscript"/>
              </w:rPr>
              <w:t>2</w:t>
            </w:r>
            <w:r>
              <w:rPr>
                <w:rFonts w:hint="default" w:ascii="Times New Roman" w:hAnsi="Times New Roman" w:cs="Times New Roman"/>
                <w:b w:val="0"/>
                <w:bCs w:val="0"/>
                <w:color w:val="000000"/>
                <w:sz w:val="24"/>
                <w:szCs w:val="24"/>
                <w:vertAlign w:val="baseline"/>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tcPr>
          <w:p>
            <w:pPr>
              <w:spacing w:before="100" w:beforeAutospacing="1" w:after="100" w:afterAutospacing="1" w:line="360" w:lineRule="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cs="Times New Roman"/>
                <w:b w:val="0"/>
                <w:bCs w:val="0"/>
                <w:color w:val="000000"/>
                <w:sz w:val="24"/>
                <w:szCs w:val="24"/>
                <w:lang w:val="en-US" w:eastAsia="zh-CN"/>
              </w:rPr>
              <w:t>cis-platinum complexes</w:t>
            </w:r>
          </w:p>
        </w:tc>
        <w:tc>
          <w:tcPr>
            <w:tcW w:w="1802" w:type="dxa"/>
          </w:tcPr>
          <w:p>
            <w:pPr>
              <w:spacing w:before="100" w:beforeAutospacing="1" w:after="100" w:afterAutospacing="1" w:line="360" w:lineRule="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cs="Times New Roman"/>
                <w:b w:val="0"/>
                <w:bCs w:val="0"/>
                <w:color w:val="000000"/>
                <w:sz w:val="24"/>
                <w:szCs w:val="24"/>
              </w:rPr>
              <w:t>75mg/m</w:t>
            </w:r>
            <w:r>
              <w:rPr>
                <w:rFonts w:hint="default" w:ascii="Times New Roman" w:hAnsi="Times New Roman" w:cs="Times New Roman"/>
                <w:b w:val="0"/>
                <w:bCs w:val="0"/>
                <w:color w:val="000000"/>
                <w:sz w:val="24"/>
                <w:szCs w:val="24"/>
                <w:vertAlign w:val="superscript"/>
              </w:rPr>
              <w:t>2</w:t>
            </w:r>
          </w:p>
        </w:tc>
        <w:tc>
          <w:tcPr>
            <w:tcW w:w="194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60mg/m</w:t>
            </w:r>
            <w:r>
              <w:rPr>
                <w:rFonts w:hint="default" w:ascii="Times New Roman" w:hAnsi="Times New Roman" w:cs="Times New Roman"/>
                <w:b w:val="0"/>
                <w:bCs w:val="0"/>
                <w:color w:val="000000"/>
                <w:sz w:val="24"/>
                <w:szCs w:val="24"/>
                <w:vertAlign w:val="superscript"/>
              </w:rPr>
              <w:t>2</w:t>
            </w:r>
          </w:p>
        </w:tc>
        <w:tc>
          <w:tcPr>
            <w:tcW w:w="1991" w:type="dxa"/>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45mg/m</w:t>
            </w:r>
            <w:r>
              <w:rPr>
                <w:rFonts w:hint="default" w:ascii="Times New Roman" w:hAnsi="Times New Roman" w:cs="Times New Roman"/>
                <w:b w:val="0"/>
                <w:bCs w:val="0"/>
                <w:color w:val="000000"/>
                <w:sz w:val="24"/>
                <w:szCs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tcPr>
          <w:p>
            <w:pPr>
              <w:spacing w:before="100" w:beforeAutospacing="1" w:after="100" w:afterAutospacing="1" w:line="360" w:lineRule="auto"/>
              <w:rPr>
                <w:rFonts w:hint="default" w:ascii="Times New Roman" w:hAnsi="Times New Roman" w:cs="Times New Roman"/>
                <w:b w:val="0"/>
                <w:bCs w:val="0"/>
                <w:color w:val="000000"/>
                <w:sz w:val="24"/>
                <w:szCs w:val="24"/>
                <w:lang w:val="en-US" w:eastAsia="zh-CN"/>
              </w:rPr>
            </w:pPr>
            <w:r>
              <w:rPr>
                <w:rFonts w:hint="default" w:ascii="Times New Roman" w:hAnsi="Times New Roman" w:cs="Times New Roman"/>
                <w:b w:val="0"/>
                <w:bCs w:val="0"/>
                <w:color w:val="000000"/>
                <w:sz w:val="24"/>
                <w:szCs w:val="24"/>
                <w:lang w:val="en-US" w:eastAsia="zh-CN"/>
              </w:rPr>
              <w:t>docetaxel</w:t>
            </w:r>
          </w:p>
        </w:tc>
        <w:tc>
          <w:tcPr>
            <w:tcW w:w="1802" w:type="dxa"/>
          </w:tcPr>
          <w:p>
            <w:pPr>
              <w:spacing w:before="100" w:beforeAutospacing="1" w:after="100" w:afterAutospacing="1" w:line="360" w:lineRule="auto"/>
              <w:rPr>
                <w:rFonts w:hint="default" w:ascii="Times New Roman" w:hAnsi="Times New Roman" w:eastAsia="宋体" w:cs="Times New Roman"/>
                <w:b w:val="0"/>
                <w:bCs w:val="0"/>
                <w:color w:val="000000"/>
                <w:sz w:val="24"/>
                <w:szCs w:val="24"/>
                <w:lang w:val="en-US" w:eastAsia="zh-CN"/>
              </w:rPr>
            </w:pPr>
            <w:r>
              <w:rPr>
                <w:rFonts w:hint="default" w:ascii="Times New Roman" w:hAnsi="Times New Roman" w:cs="Times New Roman"/>
                <w:b w:val="0"/>
                <w:bCs w:val="0"/>
                <w:color w:val="000000"/>
                <w:sz w:val="24"/>
                <w:szCs w:val="24"/>
              </w:rPr>
              <w:t>75mg/m</w:t>
            </w:r>
            <w:r>
              <w:rPr>
                <w:rFonts w:hint="default" w:ascii="Times New Roman" w:hAnsi="Times New Roman" w:cs="Times New Roman"/>
                <w:b w:val="0"/>
                <w:bCs w:val="0"/>
                <w:color w:val="000000"/>
                <w:sz w:val="24"/>
                <w:szCs w:val="24"/>
                <w:vertAlign w:val="superscript"/>
              </w:rPr>
              <w:t>2</w:t>
            </w:r>
          </w:p>
        </w:tc>
        <w:tc>
          <w:tcPr>
            <w:tcW w:w="194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60mg/m</w:t>
            </w:r>
            <w:r>
              <w:rPr>
                <w:rFonts w:hint="default" w:ascii="Times New Roman" w:hAnsi="Times New Roman" w:cs="Times New Roman"/>
                <w:b w:val="0"/>
                <w:bCs w:val="0"/>
                <w:color w:val="000000"/>
                <w:sz w:val="24"/>
                <w:szCs w:val="24"/>
                <w:vertAlign w:val="superscript"/>
              </w:rPr>
              <w:t>2</w:t>
            </w:r>
          </w:p>
        </w:tc>
        <w:tc>
          <w:tcPr>
            <w:tcW w:w="199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45mg/m</w:t>
            </w:r>
            <w:r>
              <w:rPr>
                <w:rFonts w:hint="default" w:ascii="Times New Roman" w:hAnsi="Times New Roman" w:cs="Times New Roman"/>
                <w:b w:val="0"/>
                <w:bCs w:val="0"/>
                <w:color w:val="000000"/>
                <w:sz w:val="24"/>
                <w:szCs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tcPr>
          <w:p>
            <w:pPr>
              <w:spacing w:before="100" w:beforeAutospacing="1" w:after="100" w:afterAutospacing="1" w:line="360" w:lineRule="auto"/>
              <w:rPr>
                <w:rFonts w:hint="default" w:ascii="Times New Roman" w:hAnsi="Times New Roman" w:cs="Times New Roman"/>
                <w:b w:val="0"/>
                <w:bCs w:val="0"/>
                <w:color w:val="000000"/>
                <w:sz w:val="24"/>
                <w:szCs w:val="24"/>
                <w:lang w:val="en-US" w:eastAsia="zh-CN"/>
              </w:rPr>
            </w:pPr>
          </w:p>
        </w:tc>
        <w:tc>
          <w:tcPr>
            <w:tcW w:w="1802" w:type="dxa"/>
          </w:tcPr>
          <w:p>
            <w:pPr>
              <w:spacing w:before="100" w:beforeAutospacing="1" w:after="100" w:afterAutospacing="1" w:line="360" w:lineRule="auto"/>
              <w:rPr>
                <w:rFonts w:hint="default" w:ascii="Times New Roman" w:hAnsi="Times New Roman" w:cs="Times New Roman"/>
                <w:b w:val="0"/>
                <w:bCs w:val="0"/>
                <w:color w:val="000000"/>
                <w:sz w:val="24"/>
                <w:szCs w:val="24"/>
                <w:lang w:val="en-US" w:eastAsia="zh-CN"/>
              </w:rPr>
            </w:pPr>
          </w:p>
        </w:tc>
        <w:tc>
          <w:tcPr>
            <w:tcW w:w="194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p>
        </w:tc>
        <w:tc>
          <w:tcPr>
            <w:tcW w:w="199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260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DDP (concurrent chemoradiation)</w:t>
            </w:r>
          </w:p>
        </w:tc>
        <w:tc>
          <w:tcPr>
            <w:tcW w:w="1802"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100mg/m</w:t>
            </w:r>
            <w:r>
              <w:rPr>
                <w:rFonts w:hint="default" w:ascii="Times New Roman" w:hAnsi="Times New Roman" w:cs="Times New Roman"/>
                <w:b w:val="0"/>
                <w:bCs w:val="0"/>
                <w:color w:val="000000"/>
                <w:sz w:val="24"/>
                <w:szCs w:val="24"/>
                <w:vertAlign w:val="superscript"/>
              </w:rPr>
              <w:t>2</w:t>
            </w:r>
          </w:p>
        </w:tc>
        <w:tc>
          <w:tcPr>
            <w:tcW w:w="194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80mg/m</w:t>
            </w:r>
            <w:r>
              <w:rPr>
                <w:rFonts w:hint="default" w:ascii="Times New Roman" w:hAnsi="Times New Roman" w:cs="Times New Roman"/>
                <w:b w:val="0"/>
                <w:bCs w:val="0"/>
                <w:color w:val="000000"/>
                <w:sz w:val="24"/>
                <w:szCs w:val="24"/>
                <w:vertAlign w:val="superscript"/>
              </w:rPr>
              <w:t>2</w:t>
            </w:r>
          </w:p>
        </w:tc>
        <w:tc>
          <w:tcPr>
            <w:tcW w:w="1991" w:type="dxa"/>
            <w:vAlign w:val="top"/>
          </w:tcPr>
          <w:p>
            <w:pPr>
              <w:spacing w:before="100" w:beforeAutospacing="1" w:after="100" w:afterAutospacing="1" w:line="360" w:lineRule="auto"/>
              <w:rPr>
                <w:rFonts w:hint="default" w:ascii="Times New Roman" w:hAnsi="Times New Roman" w:cs="Times New Roman"/>
                <w:b w:val="0"/>
                <w:bCs w:val="0"/>
                <w:color w:val="000000"/>
                <w:sz w:val="24"/>
                <w:szCs w:val="24"/>
              </w:rPr>
            </w:pPr>
            <w:r>
              <w:rPr>
                <w:rFonts w:hint="default" w:ascii="Times New Roman" w:hAnsi="Times New Roman" w:cs="Times New Roman"/>
                <w:b w:val="0"/>
                <w:bCs w:val="0"/>
                <w:color w:val="000000"/>
                <w:sz w:val="24"/>
                <w:szCs w:val="24"/>
              </w:rPr>
              <w:t>60mg/m</w:t>
            </w:r>
            <w:r>
              <w:rPr>
                <w:rFonts w:hint="default" w:ascii="Times New Roman" w:hAnsi="Times New Roman" w:cs="Times New Roman"/>
                <w:b w:val="0"/>
                <w:bCs w:val="0"/>
                <w:color w:val="000000"/>
                <w:sz w:val="24"/>
                <w:szCs w:val="24"/>
                <w:vertAlign w:val="superscript"/>
              </w:rPr>
              <w:t>2</w:t>
            </w:r>
          </w:p>
        </w:tc>
      </w:tr>
    </w:tbl>
    <w:p>
      <w:pPr>
        <w:numPr>
          <w:ilvl w:val="0"/>
          <w:numId w:val="15"/>
        </w:num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Dose adjustments according to haematological toxicity:</w:t>
      </w:r>
      <w:r>
        <w:rPr>
          <w:rFonts w:hint="default" w:ascii="Times New Roman" w:hAnsi="Times New Roman" w:cs="Times New Roman"/>
          <w:color w:val="000000"/>
          <w:sz w:val="24"/>
          <w:szCs w:val="24"/>
        </w:rPr>
        <w:tab/>
      </w:r>
    </w:p>
    <w:p>
      <w:pPr>
        <w:keepNext w:val="0"/>
        <w:keepLines w:val="0"/>
        <w:pageBreakBefore w:val="0"/>
        <w:widowControl w:val="0"/>
        <w:numPr>
          <w:ilvl w:val="0"/>
          <w:numId w:val="0"/>
        </w:numPr>
        <w:kinsoku/>
        <w:wordWrap/>
        <w:overflowPunct/>
        <w:topLinePunct w:val="0"/>
        <w:autoSpaceDE/>
        <w:autoSpaceDN/>
        <w:bidi w:val="0"/>
        <w:adjustRightInd/>
        <w:snapToGrid w:val="0"/>
        <w:spacing w:before="100" w:beforeAutospacing="1" w:after="100" w:afterAutospacing="1" w:line="360" w:lineRule="auto"/>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Neutrophil count was&gt;1.5</w:t>
      </w:r>
      <w:r>
        <w:rPr>
          <w:rFonts w:hint="default" w:ascii="Times New Roman" w:hAnsi="Times New Roman" w:cs="Times New Roman"/>
          <w:color w:val="000000"/>
          <w:sz w:val="24"/>
          <w:szCs w:val="24"/>
          <w:lang w:val="en-US" w:eastAsia="zh-CN"/>
        </w:rPr>
        <w:t>x</w:t>
      </w:r>
      <w:r>
        <w:rPr>
          <w:rFonts w:hint="default" w:ascii="Times New Roman" w:hAnsi="Times New Roman" w:cs="Times New Roman"/>
          <w:color w:val="000000"/>
          <w:sz w:val="24"/>
          <w:szCs w:val="24"/>
        </w:rPr>
        <w:t>10</w:t>
      </w:r>
      <w:r>
        <w:rPr>
          <w:rFonts w:hint="default" w:ascii="Times New Roman" w:hAnsi="Times New Roman" w:cs="Times New Roman"/>
          <w:color w:val="000000"/>
          <w:sz w:val="24"/>
          <w:szCs w:val="24"/>
          <w:vertAlign w:val="superscript"/>
        </w:rPr>
        <w:t>9</w:t>
      </w:r>
      <w:r>
        <w:rPr>
          <w:rFonts w:hint="default" w:ascii="Times New Roman" w:hAnsi="Times New Roman" w:cs="Times New Roman"/>
          <w:color w:val="000000"/>
          <w:sz w:val="24"/>
          <w:szCs w:val="24"/>
        </w:rPr>
        <w:t>/L and had a platelet count&gt;90</w:t>
      </w:r>
      <w:r>
        <w:rPr>
          <w:rFonts w:hint="default" w:ascii="Times New Roman" w:hAnsi="Times New Roman" w:cs="Times New Roman"/>
          <w:color w:val="000000"/>
          <w:sz w:val="24"/>
          <w:szCs w:val="24"/>
          <w:lang w:val="en-US" w:eastAsia="zh-CN"/>
        </w:rPr>
        <w:t>x</w:t>
      </w:r>
      <w:r>
        <w:rPr>
          <w:rFonts w:hint="default" w:ascii="Times New Roman" w:hAnsi="Times New Roman" w:cs="Times New Roman"/>
          <w:color w:val="000000"/>
          <w:sz w:val="24"/>
          <w:szCs w:val="24"/>
        </w:rPr>
        <w:t>10</w:t>
      </w:r>
      <w:r>
        <w:rPr>
          <w:rFonts w:hint="default" w:ascii="Times New Roman" w:hAnsi="Times New Roman" w:cs="Times New Roman"/>
          <w:color w:val="000000"/>
          <w:sz w:val="24"/>
          <w:szCs w:val="24"/>
          <w:vertAlign w:val="superscript"/>
        </w:rPr>
        <w:t>9</w:t>
      </w:r>
      <w:r>
        <w:rPr>
          <w:rFonts w:hint="default" w:ascii="Times New Roman" w:hAnsi="Times New Roman" w:cs="Times New Roman"/>
          <w:color w:val="000000"/>
          <w:sz w:val="24"/>
          <w:szCs w:val="24"/>
        </w:rPr>
        <w:t>/L can be chemotherapy.</w:t>
      </w:r>
    </w:p>
    <w:p>
      <w:pPr>
        <w:keepNext w:val="0"/>
        <w:keepLines w:val="0"/>
        <w:pageBreakBefore w:val="0"/>
        <w:widowControl w:val="0"/>
        <w:numPr>
          <w:ilvl w:val="0"/>
          <w:numId w:val="16"/>
        </w:numPr>
        <w:kinsoku/>
        <w:wordWrap/>
        <w:overflowPunct/>
        <w:topLinePunct w:val="0"/>
        <w:autoSpaceDE/>
        <w:autoSpaceDN/>
        <w:bidi w:val="0"/>
        <w:adjustRightInd/>
        <w:snapToGrid w:val="0"/>
        <w:spacing w:before="100" w:beforeAutospacing="1" w:after="100" w:afterAutospacing="1" w:line="360" w:lineRule="auto"/>
        <w:ind w:left="0" w:leftChars="0" w:firstLine="480" w:firstLineChars="200"/>
        <w:textAlignment w:val="auto"/>
        <w:outlineLvl w:val="9"/>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Reduction of docetaxel (lowest result):</w:t>
      </w:r>
    </w:p>
    <w:tbl>
      <w:tblPr>
        <w:tblStyle w:val="10"/>
        <w:tblW w:w="7959" w:type="dxa"/>
        <w:tblInd w:w="797" w:type="dxa"/>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Layout w:type="fixed"/>
        <w:tblCellMar>
          <w:top w:w="0" w:type="dxa"/>
          <w:left w:w="108" w:type="dxa"/>
          <w:bottom w:w="0" w:type="dxa"/>
          <w:right w:w="108" w:type="dxa"/>
        </w:tblCellMar>
      </w:tblPr>
      <w:tblGrid>
        <w:gridCol w:w="5265"/>
        <w:gridCol w:w="2694"/>
      </w:tblGrid>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242" w:hRule="atLeast"/>
        </w:trPr>
        <w:tc>
          <w:tcPr>
            <w:tcW w:w="526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side effect</w:t>
            </w:r>
          </w:p>
        </w:tc>
        <w:tc>
          <w:tcPr>
            <w:tcW w:w="2694"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dose titration</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1402" w:hRule="atLeast"/>
        </w:trPr>
        <w:tc>
          <w:tcPr>
            <w:tcW w:w="526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neutrophile granulocyte</w:t>
            </w:r>
            <w:r>
              <w:rPr>
                <w:rFonts w:hint="default" w:ascii="Times New Roman" w:hAnsi="Times New Roman" w:eastAsia="宋体" w:cs="Times New Roman"/>
                <w:sz w:val="24"/>
                <w:szCs w:val="24"/>
                <w:u w:val="single"/>
              </w:rPr>
              <w:t xml:space="preserve"> </w:t>
            </w:r>
            <w:r>
              <w:rPr>
                <w:rFonts w:hint="default" w:ascii="Times New Roman" w:hAnsi="Times New Roman" w:eastAsia="宋体" w:cs="Times New Roman"/>
                <w:sz w:val="24"/>
                <w:szCs w:val="24"/>
                <w:lang w:eastAsia="zh-CN"/>
              </w:rPr>
              <w:t>&lt; 0.5×10</w:t>
            </w:r>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Granular deficiency fever</w:t>
            </w: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Sexual infection in granulocytes</w:t>
            </w: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Platelets were considered as being &lt;50×10</w:t>
            </w:r>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u w:val="single"/>
                <w:lang w:eastAsia="zh-CN"/>
              </w:rPr>
            </w:pPr>
            <w:r>
              <w:rPr>
                <w:rFonts w:hint="default" w:ascii="Times New Roman" w:hAnsi="Times New Roman" w:eastAsia="宋体" w:cs="Times New Roman"/>
                <w:sz w:val="24"/>
                <w:szCs w:val="24"/>
                <w:lang w:eastAsia="zh-CN"/>
              </w:rPr>
              <w:t>Chemotherapy toxicity resulted in a treatment course delay of more than 1 week</w:t>
            </w:r>
          </w:p>
        </w:tc>
        <w:tc>
          <w:tcPr>
            <w:tcW w:w="2694"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1 level</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489" w:hRule="atLeast"/>
        </w:trPr>
        <w:tc>
          <w:tcPr>
            <w:tcW w:w="5265" w:type="dxa"/>
            <w:tcBorders>
              <w:top w:val="single" w:color="auto" w:sz="4" w:space="0"/>
              <w:left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The second appearance</w:t>
            </w:r>
          </w:p>
        </w:tc>
        <w:tc>
          <w:tcPr>
            <w:tcW w:w="2694" w:type="dxa"/>
            <w:tcBorders>
              <w:top w:val="single" w:color="auto" w:sz="4" w:space="0"/>
              <w:left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Reduce the amount of 2 levels</w:t>
            </w:r>
          </w:p>
        </w:tc>
      </w:tr>
    </w:tbl>
    <w:p>
      <w:pPr>
        <w:tabs>
          <w:tab w:val="left" w:pos="720"/>
          <w:tab w:val="left" w:pos="1260"/>
          <w:tab w:val="left" w:pos="1800"/>
        </w:tabs>
        <w:spacing w:line="360" w:lineRule="auto"/>
        <w:rPr>
          <w:rFonts w:hint="default" w:ascii="Times New Roman" w:hAnsi="Times New Roman" w:eastAsia="宋体" w:cs="Times New Roman"/>
          <w:sz w:val="24"/>
          <w:szCs w:val="24"/>
          <w:lang w:eastAsia="zh-CN"/>
        </w:rPr>
      </w:pPr>
    </w:p>
    <w:p>
      <w:pPr>
        <w:numPr>
          <w:ilvl w:val="0"/>
          <w:numId w:val="16"/>
        </w:numPr>
        <w:tabs>
          <w:tab w:val="left" w:pos="720"/>
          <w:tab w:val="left" w:pos="1260"/>
          <w:tab w:val="left" w:pos="1800"/>
        </w:tabs>
        <w:spacing w:line="360" w:lineRule="auto"/>
        <w:ind w:left="0" w:leftChars="0"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Cisplatin dose adjustment method (lowest value by test result):</w:t>
      </w:r>
    </w:p>
    <w:p>
      <w:pPr>
        <w:numPr>
          <w:ilvl w:val="0"/>
          <w:numId w:val="0"/>
        </w:numPr>
        <w:tabs>
          <w:tab w:val="left" w:pos="720"/>
          <w:tab w:val="left" w:pos="1260"/>
          <w:tab w:val="left" w:pos="1800"/>
        </w:tabs>
        <w:spacing w:line="360" w:lineRule="auto"/>
        <w:ind w:leftChars="200" w:firstLine="482" w:firstLineChars="20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Induced chemotherapy:</w:t>
      </w:r>
    </w:p>
    <w:tbl>
      <w:tblPr>
        <w:tblStyle w:val="10"/>
        <w:tblW w:w="8179" w:type="dxa"/>
        <w:tblInd w:w="788" w:type="dxa"/>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Layout w:type="fixed"/>
        <w:tblCellMar>
          <w:top w:w="0" w:type="dxa"/>
          <w:left w:w="108" w:type="dxa"/>
          <w:bottom w:w="0" w:type="dxa"/>
          <w:right w:w="108" w:type="dxa"/>
        </w:tblCellMar>
      </w:tblPr>
      <w:tblGrid>
        <w:gridCol w:w="4918"/>
        <w:gridCol w:w="3261"/>
      </w:tblGrid>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237" w:hRule="atLeast"/>
        </w:trPr>
        <w:tc>
          <w:tcPr>
            <w:tcW w:w="4918" w:type="dxa"/>
            <w:tcBorders>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side effect</w:t>
            </w:r>
          </w:p>
        </w:tc>
        <w:tc>
          <w:tcPr>
            <w:tcW w:w="3261" w:type="dxa"/>
            <w:tcBorders>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dose titration</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330" w:hRule="atLeast"/>
        </w:trPr>
        <w:tc>
          <w:tcPr>
            <w:tcW w:w="491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neutrophile granulocyte</w:t>
            </w:r>
            <w:r>
              <w:rPr>
                <w:rFonts w:hint="default" w:ascii="Times New Roman" w:hAnsi="Times New Roman" w:eastAsia="宋体" w:cs="Times New Roman"/>
                <w:sz w:val="24"/>
                <w:szCs w:val="24"/>
                <w:u w:val="single"/>
              </w:rPr>
              <w:t xml:space="preserve"> </w:t>
            </w:r>
            <w:r>
              <w:rPr>
                <w:rFonts w:hint="default" w:ascii="Times New Roman" w:hAnsi="Times New Roman" w:eastAsia="宋体" w:cs="Times New Roman"/>
                <w:sz w:val="24"/>
                <w:szCs w:val="24"/>
                <w:lang w:eastAsia="zh-CN"/>
              </w:rPr>
              <w:t>&lt; 0.5×10</w:t>
            </w:r>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Granular deficiency fever</w:t>
            </w: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Sexual infection in granulocytes</w:t>
            </w: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Platelets were &lt;25×10</w:t>
            </w:r>
            <w:bookmarkStart w:id="27" w:name="OLE_LINK4"/>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bookmarkEnd w:id="27"/>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u w:val="single"/>
                <w:lang w:eastAsia="zh-CN"/>
              </w:rPr>
            </w:pPr>
            <w:r>
              <w:rPr>
                <w:rFonts w:hint="default" w:ascii="Times New Roman" w:hAnsi="Times New Roman" w:eastAsia="宋体" w:cs="Times New Roman"/>
                <w:sz w:val="24"/>
                <w:szCs w:val="24"/>
                <w:lang w:eastAsia="zh-CN"/>
              </w:rPr>
              <w:t>Chemotherapy toxicity resulted in a treatment course delay of more than 1 week</w:t>
            </w:r>
          </w:p>
        </w:tc>
        <w:tc>
          <w:tcPr>
            <w:tcW w:w="326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1 level</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246" w:hRule="atLeast"/>
        </w:trPr>
        <w:tc>
          <w:tcPr>
            <w:tcW w:w="4918" w:type="dxa"/>
            <w:tcBorders>
              <w:top w:val="single" w:color="auto" w:sz="4" w:space="0"/>
              <w:left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The second appearance</w:t>
            </w:r>
          </w:p>
        </w:tc>
        <w:tc>
          <w:tcPr>
            <w:tcW w:w="3261" w:type="dxa"/>
            <w:tcBorders>
              <w:top w:val="single" w:color="auto" w:sz="4" w:space="0"/>
              <w:left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Reduce the amount of 2 levels</w:t>
            </w:r>
          </w:p>
        </w:tc>
      </w:tr>
    </w:tbl>
    <w:p>
      <w:pPr>
        <w:tabs>
          <w:tab w:val="left" w:pos="1260"/>
          <w:tab w:val="left" w:pos="1800"/>
        </w:tabs>
        <w:spacing w:line="360" w:lineRule="auto"/>
        <w:rPr>
          <w:rFonts w:hint="default" w:ascii="Times New Roman" w:hAnsi="Times New Roman" w:eastAsia="宋体" w:cs="Times New Roman"/>
          <w:sz w:val="24"/>
          <w:szCs w:val="24"/>
          <w:lang w:eastAsia="zh-CN"/>
        </w:rPr>
      </w:pPr>
    </w:p>
    <w:p>
      <w:pPr>
        <w:tabs>
          <w:tab w:val="left" w:pos="1260"/>
          <w:tab w:val="left" w:pos="1800"/>
        </w:tabs>
        <w:spacing w:line="360" w:lineRule="auto"/>
        <w:ind w:firstLine="964" w:firstLineChars="40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Chemotherapy at the same time:</w:t>
      </w:r>
    </w:p>
    <w:tbl>
      <w:tblPr>
        <w:tblStyle w:val="10"/>
        <w:tblW w:w="8158" w:type="dxa"/>
        <w:tblInd w:w="761" w:type="dxa"/>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Layout w:type="fixed"/>
        <w:tblCellMar>
          <w:top w:w="0" w:type="dxa"/>
          <w:left w:w="108" w:type="dxa"/>
          <w:bottom w:w="0" w:type="dxa"/>
          <w:right w:w="108" w:type="dxa"/>
        </w:tblCellMar>
      </w:tblPr>
      <w:tblGrid>
        <w:gridCol w:w="3438"/>
        <w:gridCol w:w="993"/>
        <w:gridCol w:w="1861"/>
        <w:gridCol w:w="1866"/>
      </w:tblGrid>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233" w:hRule="atLeast"/>
        </w:trPr>
        <w:tc>
          <w:tcPr>
            <w:tcW w:w="3438" w:type="dxa"/>
            <w:tcBorders>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neutrophile granulocyte</w:t>
            </w:r>
          </w:p>
        </w:tc>
        <w:tc>
          <w:tcPr>
            <w:tcW w:w="993" w:type="dxa"/>
            <w:tcBorders>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rPr>
            </w:pPr>
          </w:p>
        </w:tc>
        <w:tc>
          <w:tcPr>
            <w:tcW w:w="1861" w:type="dxa"/>
            <w:tcBorders>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blood cells</w:t>
            </w:r>
          </w:p>
        </w:tc>
        <w:tc>
          <w:tcPr>
            <w:tcW w:w="1866" w:type="dxa"/>
            <w:tcBorders>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dose titration</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229" w:hRule="atLeast"/>
        </w:trPr>
        <w:tc>
          <w:tcPr>
            <w:tcW w:w="343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&gt; 1.0×10</w:t>
            </w:r>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p>
        </w:tc>
        <w:tc>
          <w:tcPr>
            <w:tcW w:w="993"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And</w:t>
            </w:r>
          </w:p>
        </w:tc>
        <w:tc>
          <w:tcPr>
            <w:tcW w:w="186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&gt; 75×10</w:t>
            </w:r>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p>
        </w:tc>
        <w:tc>
          <w:tcPr>
            <w:tcW w:w="186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full dose</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448" w:hRule="atLeast"/>
        </w:trPr>
        <w:tc>
          <w:tcPr>
            <w:tcW w:w="3438"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0.5–&lt;1.0×10</w:t>
            </w:r>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p>
        </w:tc>
        <w:tc>
          <w:tcPr>
            <w:tcW w:w="993"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And / or</w:t>
            </w:r>
          </w:p>
        </w:tc>
        <w:tc>
          <w:tcPr>
            <w:tcW w:w="1861"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50–&lt; 75×10</w:t>
            </w:r>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p>
        </w:tc>
        <w:tc>
          <w:tcPr>
            <w:tcW w:w="186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1 level</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900" w:hRule="atLeast"/>
        </w:trPr>
        <w:tc>
          <w:tcPr>
            <w:tcW w:w="3438" w:type="dxa"/>
            <w:tcBorders>
              <w:top w:val="single" w:color="auto" w:sz="4" w:space="0"/>
              <w:left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&lt; 0.5×10</w:t>
            </w:r>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Or granulocydeficient fever</w:t>
            </w: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u w:val="single"/>
                <w:lang w:eastAsia="zh-CN"/>
              </w:rPr>
            </w:pPr>
            <w:r>
              <w:rPr>
                <w:rFonts w:hint="default" w:ascii="Times New Roman" w:hAnsi="Times New Roman" w:eastAsia="宋体" w:cs="Times New Roman"/>
                <w:sz w:val="24"/>
                <w:szCs w:val="24"/>
                <w:lang w:eastAsia="zh-CN"/>
              </w:rPr>
              <w:t>Or granulocyte deficiency of sexual infection</w:t>
            </w:r>
          </w:p>
        </w:tc>
        <w:tc>
          <w:tcPr>
            <w:tcW w:w="993" w:type="dxa"/>
            <w:tcBorders>
              <w:top w:val="single" w:color="auto" w:sz="4" w:space="0"/>
              <w:left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And / or</w:t>
            </w:r>
          </w:p>
        </w:tc>
        <w:tc>
          <w:tcPr>
            <w:tcW w:w="1861" w:type="dxa"/>
            <w:tcBorders>
              <w:top w:val="single" w:color="auto" w:sz="4" w:space="0"/>
              <w:left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u w:val="single"/>
                <w:lang w:eastAsia="zh-CN"/>
              </w:rPr>
            </w:pPr>
            <w:r>
              <w:rPr>
                <w:rFonts w:hint="default" w:ascii="Times New Roman" w:hAnsi="Times New Roman" w:eastAsia="宋体" w:cs="Times New Roman"/>
                <w:sz w:val="24"/>
                <w:szCs w:val="24"/>
                <w:lang w:eastAsia="zh-CN"/>
              </w:rPr>
              <w:t>25–&lt; 50×10</w:t>
            </w:r>
            <w:r>
              <w:rPr>
                <w:rFonts w:hint="default" w:ascii="Times New Roman" w:hAnsi="Times New Roman" w:eastAsia="宋体" w:cs="Times New Roman"/>
                <w:sz w:val="24"/>
                <w:szCs w:val="24"/>
                <w:vertAlign w:val="superscript"/>
                <w:lang w:eastAsia="zh-CN"/>
              </w:rPr>
              <w:t>9</w:t>
            </w:r>
            <w:r>
              <w:rPr>
                <w:rFonts w:hint="default" w:ascii="Times New Roman" w:hAnsi="Times New Roman" w:eastAsia="宋体" w:cs="Times New Roman"/>
                <w:sz w:val="24"/>
                <w:szCs w:val="24"/>
                <w:lang w:eastAsia="zh-CN"/>
              </w:rPr>
              <w:t>/L</w:t>
            </w:r>
          </w:p>
        </w:tc>
        <w:tc>
          <w:tcPr>
            <w:tcW w:w="1866" w:type="dxa"/>
            <w:tcBorders>
              <w:top w:val="single" w:color="auto" w:sz="4" w:space="0"/>
              <w:left w:val="single" w:color="auto" w:sz="4" w:space="0"/>
              <w:right w:val="single" w:color="auto" w:sz="4" w:space="0"/>
            </w:tcBorders>
            <w:vAlign w:val="top"/>
          </w:tcPr>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p>
          <w:p>
            <w:pPr>
              <w:keepNext w:val="0"/>
              <w:keepLines w:val="0"/>
              <w:pageBreakBefore w:val="0"/>
              <w:widowControl w:val="0"/>
              <w:tabs>
                <w:tab w:val="left" w:pos="720"/>
                <w:tab w:val="left" w:pos="1260"/>
                <w:tab w:val="left" w:pos="1800"/>
              </w:tabs>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Reduce the amount of 2 levels</w:t>
            </w:r>
          </w:p>
        </w:tc>
      </w:tr>
    </w:tbl>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(7) Renal toxicity</w:t>
      </w:r>
    </w:p>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① Discontinue Cisplatin to creatinine clearance&gt; 60 ml / min.</w:t>
      </w:r>
    </w:p>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② Chemotherapy was terminated if the creatinine clearance was &lt;40 ml / min.</w:t>
      </w:r>
    </w:p>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③ Cisplatin dose adjustment according to creatinine clearance:</w:t>
      </w:r>
    </w:p>
    <w:tbl>
      <w:tblPr>
        <w:tblStyle w:val="10"/>
        <w:tblW w:w="4819" w:type="dxa"/>
        <w:jc w:val="center"/>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Layout w:type="fixed"/>
        <w:tblCellMar>
          <w:top w:w="0" w:type="dxa"/>
          <w:left w:w="108" w:type="dxa"/>
          <w:bottom w:w="0" w:type="dxa"/>
          <w:right w:w="108" w:type="dxa"/>
        </w:tblCellMar>
      </w:tblPr>
      <w:tblGrid>
        <w:gridCol w:w="2268"/>
        <w:gridCol w:w="2551"/>
      </w:tblGrid>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jc w:val="center"/>
        </w:trPr>
        <w:tc>
          <w:tcPr>
            <w:tcW w:w="2268"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CC</w:t>
            </w:r>
          </w:p>
        </w:tc>
        <w:tc>
          <w:tcPr>
            <w:tcW w:w="255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cis-platinum complexes</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jc w:val="center"/>
        </w:trPr>
        <w:tc>
          <w:tcPr>
            <w:tcW w:w="2268" w:type="dxa"/>
            <w:tcBorders>
              <w:top w:val="nil"/>
            </w:tcBorders>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&gt; 60 ml / min</w:t>
            </w:r>
          </w:p>
        </w:tc>
        <w:tc>
          <w:tcPr>
            <w:tcW w:w="2551" w:type="dxa"/>
            <w:tcBorders>
              <w:top w:val="nil"/>
            </w:tcBorders>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full dose</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jc w:val="center"/>
        </w:trPr>
        <w:tc>
          <w:tcPr>
            <w:tcW w:w="2268"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40-&lt; 60 ml / min</w:t>
            </w:r>
          </w:p>
        </w:tc>
        <w:tc>
          <w:tcPr>
            <w:tcW w:w="255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 level</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jc w:val="center"/>
        </w:trPr>
        <w:tc>
          <w:tcPr>
            <w:tcW w:w="2268"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&lt; 40 ml / min</w:t>
            </w:r>
          </w:p>
        </w:tc>
        <w:tc>
          <w:tcPr>
            <w:tcW w:w="255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Stop chemotherapy</w:t>
            </w:r>
          </w:p>
        </w:tc>
      </w:tr>
    </w:tbl>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(8) Gastrointestinal toxicity: No dose adjustment for docetaxel or DDP during chemotherapy.</w:t>
      </w:r>
    </w:p>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(9) Hepatic toxicity:</w:t>
      </w:r>
    </w:p>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① Halt chemotherapy to blood bilirubin</w:t>
      </w:r>
      <w:bookmarkStart w:id="28" w:name="OLE_LINK10"/>
      <w:r>
        <w:rPr>
          <w:rFonts w:hint="default" w:ascii="Times New Roman" w:hAnsi="Times New Roman" w:cs="Times New Roman"/>
          <w:color w:val="000000"/>
          <w:sz w:val="24"/>
          <w:szCs w:val="24"/>
          <w:lang w:val="en-US" w:eastAsia="zh-CN"/>
        </w:rPr>
        <w:t>≤</w:t>
      </w:r>
      <w:bookmarkEnd w:id="28"/>
      <w:r>
        <w:rPr>
          <w:rFonts w:hint="default" w:ascii="Times New Roman" w:hAnsi="Times New Roman" w:cs="Times New Roman"/>
          <w:color w:val="000000"/>
          <w:sz w:val="24"/>
          <w:szCs w:val="24"/>
        </w:rPr>
        <w:t xml:space="preserve">1.5 ULN and AST, and / or ALT </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 xml:space="preserve">2.5 ULN and ALP </w:t>
      </w:r>
      <w:r>
        <w:rPr>
          <w:rFonts w:hint="default" w:ascii="Times New Roman" w:hAnsi="Times New Roman" w:cs="Times New Roman"/>
          <w:color w:val="000000"/>
          <w:sz w:val="24"/>
          <w:szCs w:val="24"/>
          <w:lang w:val="en-US" w:eastAsia="zh-CN"/>
        </w:rPr>
        <w:t>≤</w:t>
      </w:r>
      <w:r>
        <w:rPr>
          <w:rFonts w:hint="default" w:ascii="Times New Roman" w:hAnsi="Times New Roman" w:cs="Times New Roman"/>
          <w:color w:val="000000"/>
          <w:sz w:val="24"/>
          <w:szCs w:val="24"/>
        </w:rPr>
        <w:t>2.5 ULN.</w:t>
      </w:r>
      <w:r>
        <w:rPr>
          <w:rFonts w:hint="default" w:ascii="Times New Roman" w:hAnsi="Times New Roman" w:cs="Times New Roman"/>
          <w:color w:val="000000"/>
          <w:sz w:val="24"/>
          <w:szCs w:val="24"/>
          <w:lang w:eastAsia="zh-CN"/>
        </w:rPr>
        <w:t xml:space="preserve"> Chemotherapy can be performed</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② Chemotherapy must be stopped if blood bilirubin&gt; 2 ULN, or AST / ALT&gt; 5 ULN and / or ALP&gt; 5 ULN.</w:t>
      </w:r>
    </w:p>
    <w:p>
      <w:pPr>
        <w:tabs>
          <w:tab w:val="left" w:pos="720"/>
          <w:tab w:val="left" w:pos="1260"/>
          <w:tab w:val="left" w:pos="1800"/>
        </w:tabs>
        <w:spacing w:line="360" w:lineRule="auto"/>
        <w:rPr>
          <w:rFonts w:hint="default" w:ascii="Times New Roman" w:hAnsi="Times New Roman" w:cs="Times New Roman"/>
          <w:sz w:val="24"/>
          <w:szCs w:val="24"/>
        </w:rPr>
      </w:pPr>
      <w:r>
        <w:rPr>
          <w:rFonts w:hint="default" w:ascii="Times New Roman" w:hAnsi="Times New Roman" w:cs="Times New Roman"/>
          <w:sz w:val="24"/>
          <w:szCs w:val="24"/>
        </w:rPr>
        <w:t>③ Docetaxel dose adjustment by transaminase:</w:t>
      </w:r>
    </w:p>
    <w:tbl>
      <w:tblPr>
        <w:tblStyle w:val="10"/>
        <w:tblW w:w="7978" w:type="dxa"/>
        <w:jc w:val="center"/>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Layout w:type="fixed"/>
        <w:tblCellMar>
          <w:top w:w="0" w:type="dxa"/>
          <w:left w:w="108" w:type="dxa"/>
          <w:bottom w:w="0" w:type="dxa"/>
          <w:right w:w="108" w:type="dxa"/>
        </w:tblCellMar>
      </w:tblPr>
      <w:tblGrid>
        <w:gridCol w:w="4580"/>
        <w:gridCol w:w="3398"/>
      </w:tblGrid>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131" w:hRule="atLeast"/>
          <w:jc w:val="center"/>
        </w:trPr>
        <w:tc>
          <w:tcPr>
            <w:tcW w:w="4580" w:type="dxa"/>
            <w:vAlign w:val="center"/>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side effect</w:t>
            </w:r>
          </w:p>
        </w:tc>
        <w:tc>
          <w:tcPr>
            <w:tcW w:w="3398"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sz w:val="24"/>
                <w:szCs w:val="24"/>
                <w:lang w:val="en-US" w:eastAsia="zh-CN"/>
              </w:rPr>
              <w:t>Docetaxel, dose adjustment</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485" w:hRule="atLeast"/>
          <w:jc w:val="center"/>
        </w:trPr>
        <w:tc>
          <w:tcPr>
            <w:tcW w:w="4580" w:type="dxa"/>
            <w:tcBorders>
              <w:top w:val="nil"/>
            </w:tcBorders>
          </w:tcPr>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AST/ALT &gt; 2.5–≤ 5×ULN</w:t>
            </w:r>
          </w:p>
          <w:p>
            <w:pPr>
              <w:keepNext w:val="0"/>
              <w:keepLines w:val="0"/>
              <w:pageBreakBefore w:val="0"/>
              <w:widowControl w:val="0"/>
              <w:kinsoku/>
              <w:wordWrap/>
              <w:overflowPunct/>
              <w:topLinePunct w:val="0"/>
              <w:autoSpaceDE/>
              <w:autoSpaceDN/>
              <w:bidi w:val="0"/>
              <w:adjustRightInd/>
              <w:snapToGrid w:val="0"/>
              <w:spacing w:before="100" w:beforeAutospacing="1" w:after="100" w:afterAutospacing="1" w:line="360" w:lineRule="auto"/>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And / or an ALP&gt; 2.55 ULN</w:t>
            </w:r>
          </w:p>
        </w:tc>
        <w:tc>
          <w:tcPr>
            <w:tcW w:w="3398" w:type="dxa"/>
            <w:tcBorders>
              <w:top w:val="nil"/>
            </w:tcBorders>
            <w:vAlign w:val="center"/>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 level</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131" w:hRule="atLeast"/>
          <w:jc w:val="center"/>
        </w:trPr>
        <w:tc>
          <w:tcPr>
            <w:tcW w:w="4580"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AST / ALT&gt; 5 ULN and / or ALP&gt; 5 ULN</w:t>
            </w:r>
          </w:p>
        </w:tc>
        <w:tc>
          <w:tcPr>
            <w:tcW w:w="3398"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Stop chemotherapy</w:t>
            </w:r>
          </w:p>
        </w:tc>
      </w:tr>
    </w:tbl>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④ For hepatitis B virus carriers, the DNA changes of the virus must be monitored before and during chemotherapy. Antiviral treatment should be administered under the guidance of a hepatitis specialist physician before chemotherapy.</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（10）Peripheral nerve toxicity: If the patient develops 3-4 degrees of peripheral nerve toxicity, chemotherapy is postponed, reducing the toxicity before chemotherapy to 2 degrees, and then reduced by 1 grade. If 4 degrees of neurotoxicity occurs, it should be withdrawn from the clinical trial</w:t>
      </w:r>
    </w:p>
    <w:tbl>
      <w:tblPr>
        <w:tblStyle w:val="10"/>
        <w:tblW w:w="8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1"/>
        <w:gridCol w:w="2721"/>
        <w:gridCol w:w="2294"/>
        <w:gridCol w:w="2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2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Peripheral neurotoxicity</w:t>
            </w:r>
          </w:p>
        </w:tc>
        <w:tc>
          <w:tcPr>
            <w:tcW w:w="2721" w:type="dxa"/>
          </w:tcPr>
          <w:p>
            <w:pPr>
              <w:snapToGrid w:val="0"/>
              <w:spacing w:before="100" w:beforeAutospacing="1" w:after="100" w:afterAutospacing="1" w:line="360" w:lineRule="auto"/>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lang w:val="en-US" w:eastAsia="zh-CN"/>
              </w:rPr>
              <w:t>docetaxel</w:t>
            </w:r>
          </w:p>
        </w:tc>
        <w:tc>
          <w:tcPr>
            <w:tcW w:w="2294"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DDP</w:t>
            </w:r>
          </w:p>
        </w:tc>
        <w:tc>
          <w:tcPr>
            <w:tcW w:w="216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5-FU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0-1</w:t>
            </w:r>
          </w:p>
        </w:tc>
        <w:tc>
          <w:tcPr>
            <w:tcW w:w="272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full dose</w:t>
            </w:r>
          </w:p>
        </w:tc>
        <w:tc>
          <w:tcPr>
            <w:tcW w:w="2294"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full dose</w:t>
            </w:r>
          </w:p>
        </w:tc>
        <w:tc>
          <w:tcPr>
            <w:tcW w:w="216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full dose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2</w:t>
            </w:r>
          </w:p>
        </w:tc>
        <w:tc>
          <w:tcPr>
            <w:tcW w:w="272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full dose</w:t>
            </w:r>
          </w:p>
        </w:tc>
        <w:tc>
          <w:tcPr>
            <w:tcW w:w="2294"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full dose</w:t>
            </w:r>
          </w:p>
        </w:tc>
        <w:tc>
          <w:tcPr>
            <w:tcW w:w="216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full dose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w:t>
            </w:r>
          </w:p>
        </w:tc>
        <w:tc>
          <w:tcPr>
            <w:tcW w:w="272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Delferred to reduce the toxicity before chemotherapy to 2 degrees and then by 1 grade</w:t>
            </w:r>
          </w:p>
        </w:tc>
        <w:tc>
          <w:tcPr>
            <w:tcW w:w="2294"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Delferred to reduce the toxicity before chemotherapy to 2 degrees and then by 1 grade</w:t>
            </w:r>
          </w:p>
        </w:tc>
        <w:tc>
          <w:tcPr>
            <w:tcW w:w="216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Delferred to reduce the toxicity before chemotherapy to 2 degrees and then by 1 grade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w:t>
            </w:r>
          </w:p>
        </w:tc>
        <w:tc>
          <w:tcPr>
            <w:tcW w:w="272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Discontinuation of chemotherapy</w:t>
            </w:r>
          </w:p>
        </w:tc>
        <w:tc>
          <w:tcPr>
            <w:tcW w:w="2294"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Discontinuation of chemotherapy</w:t>
            </w:r>
          </w:p>
        </w:tc>
        <w:tc>
          <w:tcPr>
            <w:tcW w:w="2161"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Discontinuation of chemotherapy</w:t>
            </w:r>
          </w:p>
        </w:tc>
      </w:tr>
    </w:tbl>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(11) Ototoxicity: If the patient has clinical manifestations of ototoxicity, an audiological evaluation is required. If ototoxicity above 3 degrees occurs, it should be withdrawn from the clinical trial.</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(12) Oral mucosal toxicity: if the patient has 0-3 degree radioactive mucositis, chemotherapy with sufficient amount, if 4 degree mucositis, chemotherapy will be suspended, and mucositis will resume to grade 3 rechemotherapy.</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(13) Diarrhoea: if the patient has 0-2 degrees diarrhea, sufficient chemotherapy; if 3 degrees diarrhea, suspend chemotherapy, return to grade 1 rechemotherapy, and then 5-FU reduced by 1 grade; if 4 degrees diarrhea, suspend chemotherapy, return to grade 1 rechemotherapy, and then 5-FU reduced by 2 grades.</w:t>
      </w:r>
    </w:p>
    <w:tbl>
      <w:tblPr>
        <w:tblStyle w:val="10"/>
        <w:tblW w:w="8439" w:type="dxa"/>
        <w:jc w:val="center"/>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Layout w:type="fixed"/>
        <w:tblCellMar>
          <w:top w:w="0" w:type="dxa"/>
          <w:left w:w="108" w:type="dxa"/>
          <w:bottom w:w="0" w:type="dxa"/>
          <w:right w:w="108" w:type="dxa"/>
        </w:tblCellMar>
      </w:tblPr>
      <w:tblGrid>
        <w:gridCol w:w="1632"/>
        <w:gridCol w:w="6807"/>
      </w:tblGrid>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442" w:hRule="atLeast"/>
          <w:jc w:val="center"/>
        </w:trPr>
        <w:tc>
          <w:tcPr>
            <w:tcW w:w="1632"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Diarrhea side effects</w:t>
            </w:r>
          </w:p>
        </w:tc>
        <w:tc>
          <w:tcPr>
            <w:tcW w:w="6807"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5-FU</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228" w:hRule="atLeast"/>
          <w:jc w:val="center"/>
        </w:trPr>
        <w:tc>
          <w:tcPr>
            <w:tcW w:w="1632" w:type="dxa"/>
            <w:tcBorders>
              <w:top w:val="nil"/>
            </w:tcBorders>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0-2</w:t>
            </w:r>
          </w:p>
        </w:tc>
        <w:tc>
          <w:tcPr>
            <w:tcW w:w="6807" w:type="dxa"/>
            <w:tcBorders>
              <w:top w:val="nil"/>
            </w:tcBorders>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full dose</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442" w:hRule="atLeast"/>
          <w:jc w:val="center"/>
        </w:trPr>
        <w:tc>
          <w:tcPr>
            <w:tcW w:w="1632"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3</w:t>
            </w:r>
          </w:p>
        </w:tc>
        <w:tc>
          <w:tcPr>
            <w:tcW w:w="6807"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Delay to reduce the toxicity before chemotherapy to 1 degree and then reduced by 1 grade</w:t>
            </w:r>
          </w:p>
        </w:tc>
      </w:tr>
      <w:tr>
        <w:tblPrEx>
          <w:tblBorders>
            <w:top w:val="single" w:color="auto" w:sz="6" w:space="0"/>
            <w:left w:val="dotted" w:color="auto" w:sz="6" w:space="0"/>
            <w:bottom w:val="single" w:color="auto" w:sz="6" w:space="0"/>
            <w:right w:val="dotted" w:color="auto" w:sz="6" w:space="0"/>
            <w:insideH w:val="dotted" w:color="auto" w:sz="6" w:space="0"/>
            <w:insideV w:val="dotted" w:color="auto" w:sz="6" w:space="0"/>
          </w:tblBorders>
          <w:tblCellMar>
            <w:top w:w="0" w:type="dxa"/>
            <w:left w:w="108" w:type="dxa"/>
            <w:bottom w:w="0" w:type="dxa"/>
            <w:right w:w="108" w:type="dxa"/>
          </w:tblCellMar>
        </w:tblPrEx>
        <w:trPr>
          <w:trHeight w:val="458" w:hRule="atLeast"/>
          <w:jc w:val="center"/>
        </w:trPr>
        <w:tc>
          <w:tcPr>
            <w:tcW w:w="1632"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4</w:t>
            </w:r>
          </w:p>
        </w:tc>
        <w:tc>
          <w:tcPr>
            <w:tcW w:w="6807" w:type="dxa"/>
          </w:tcPr>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The toxicity prior to chemotherapy was reduced to 1 degree and then reduced by 2 levels</w:t>
            </w:r>
          </w:p>
        </w:tc>
      </w:tr>
    </w:tbl>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(14) Patients should be informed of contraception during the entire treatment period.</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(15) Any possible drug-related death must be reported to the head of each site and the central office of the trial.</w:t>
      </w:r>
      <w:bookmarkStart w:id="29" w:name="_Toc293070530"/>
      <w:bookmarkStart w:id="30" w:name="_Toc297725124"/>
    </w:p>
    <w:p>
      <w:pPr>
        <w:snapToGrid w:val="0"/>
        <w:spacing w:before="100" w:beforeAutospacing="1" w:after="100" w:afterAutospacing="1" w:line="360" w:lineRule="auto"/>
        <w:rPr>
          <w:rFonts w:hint="default" w:ascii="Times New Roman" w:hAnsi="Times New Roman" w:cs="Times New Roman"/>
          <w:sz w:val="24"/>
          <w:szCs w:val="24"/>
        </w:rPr>
      </w:pPr>
      <w:r>
        <w:rPr>
          <w:rFonts w:hint="default" w:ascii="Times New Roman" w:hAnsi="Times New Roman" w:eastAsia="TimesNewRomanPS-BoldMT" w:cs="Times New Roman"/>
          <w:b/>
          <w:bCs/>
          <w:color w:val="000000"/>
          <w:kern w:val="0"/>
          <w:sz w:val="24"/>
          <w:szCs w:val="24"/>
          <w:lang w:val="en-US" w:eastAsia="zh-CN" w:bidi="ar"/>
        </w:rPr>
        <w:t xml:space="preserve">8.3 Salvage Therapy </w:t>
      </w:r>
    </w:p>
    <w:p>
      <w:pPr>
        <w:keepNext w:val="0"/>
        <w:keepLines w:val="0"/>
        <w:widowControl/>
        <w:numPr>
          <w:ilvl w:val="0"/>
          <w:numId w:val="17"/>
        </w:numPr>
        <w:suppressLineNumbers w:val="0"/>
        <w:spacing w:line="360" w:lineRule="auto"/>
        <w:ind w:left="425" w:leftChars="0" w:hanging="425" w:firstLineChars="0"/>
        <w:jc w:val="left"/>
        <w:rPr>
          <w:rFonts w:hint="default" w:ascii="Times New Roman" w:hAnsi="Times New Roman" w:eastAsia="宋体" w:cs="Times New Roman"/>
          <w:color w:val="000000"/>
          <w:kern w:val="0"/>
          <w:sz w:val="24"/>
          <w:szCs w:val="24"/>
          <w:lang w:val="en-US" w:eastAsia="zh-CN" w:bidi="ar"/>
        </w:rPr>
      </w:pPr>
      <w:r>
        <w:rPr>
          <w:rFonts w:hint="eastAsia"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Nasopharyngeal surgery, neck dissections, secondary radiotherapy, chemotherapy,</w:t>
      </w:r>
    </w:p>
    <w:p>
      <w:pPr>
        <w:keepNext w:val="0"/>
        <w:keepLines w:val="0"/>
        <w:widowControl/>
        <w:numPr>
          <w:ilvl w:val="0"/>
          <w:numId w:val="0"/>
        </w:numPr>
        <w:suppressLineNumbers w:val="0"/>
        <w:spacing w:line="360" w:lineRule="auto"/>
        <w:ind w:leftChars="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or immunotherapy may be given to patients with relapse or metastasis after treatment according to guidelines of National Comprehensive Cancer Network (NCCN).</w:t>
      </w:r>
    </w:p>
    <w:p>
      <w:pPr>
        <w:keepNext w:val="0"/>
        <w:keepLines w:val="0"/>
        <w:widowControl/>
        <w:numPr>
          <w:ilvl w:val="0"/>
          <w:numId w:val="17"/>
        </w:numPr>
        <w:suppressLineNumbers w:val="0"/>
        <w:spacing w:line="360" w:lineRule="auto"/>
        <w:ind w:left="425" w:leftChars="0" w:hanging="425" w:firstLineChars="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 xml:space="preserve"> If grade 3 or 4 toxicity occurs, treatment should be suspended, and when toxicity </w:t>
      </w:r>
    </w:p>
    <w:p>
      <w:pPr>
        <w:keepNext w:val="0"/>
        <w:keepLines w:val="0"/>
        <w:widowControl/>
        <w:numPr>
          <w:ilvl w:val="0"/>
          <w:numId w:val="0"/>
        </w:numPr>
        <w:suppressLineNumbers w:val="0"/>
        <w:spacing w:line="360" w:lineRule="auto"/>
        <w:ind w:leftChars="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 xml:space="preserve">reverts to grade 1 or below, </w:t>
      </w:r>
      <w:r>
        <w:rPr>
          <w:rFonts w:hint="default" w:ascii="Times New Roman" w:hAnsi="Times New Roman" w:cs="Times New Roman"/>
          <w:sz w:val="24"/>
          <w:szCs w:val="24"/>
        </w:rPr>
        <w:t>docetaxel</w:t>
      </w:r>
      <w:r>
        <w:rPr>
          <w:rFonts w:hint="eastAsia" w:cs="Times New Roman"/>
          <w:sz w:val="24"/>
          <w:szCs w:val="24"/>
          <w:lang w:val="en-US" w:eastAsia="zh-CN"/>
        </w:rPr>
        <w:t>,</w:t>
      </w:r>
      <w:r>
        <w:rPr>
          <w:rFonts w:hint="default" w:ascii="Times New Roman" w:hAnsi="Times New Roman" w:eastAsia="宋体" w:cs="Times New Roman"/>
          <w:color w:val="000000"/>
          <w:kern w:val="0"/>
          <w:sz w:val="24"/>
          <w:szCs w:val="24"/>
          <w:lang w:val="en-US" w:eastAsia="zh-CN" w:bidi="ar"/>
        </w:rPr>
        <w:t>cisplatin</w:t>
      </w:r>
      <w:r>
        <w:rPr>
          <w:rFonts w:hint="eastAsia" w:cs="Times New Roman"/>
          <w:color w:val="000000"/>
          <w:kern w:val="0"/>
          <w:sz w:val="24"/>
          <w:szCs w:val="24"/>
          <w:lang w:val="en-US" w:eastAsia="zh-CN" w:bidi="ar"/>
        </w:rPr>
        <w:t xml:space="preserve"> or f</w:t>
      </w:r>
      <w:r>
        <w:rPr>
          <w:rFonts w:hint="default" w:ascii="Times New Roman" w:hAnsi="Times New Roman" w:cs="Times New Roman"/>
          <w:sz w:val="24"/>
          <w:szCs w:val="24"/>
        </w:rPr>
        <w:t>luorouracil</w:t>
      </w:r>
      <w:r>
        <w:rPr>
          <w:rFonts w:hint="default" w:ascii="Times New Roman" w:hAnsi="Times New Roman" w:eastAsia="宋体" w:cs="Times New Roman"/>
          <w:color w:val="000000"/>
          <w:kern w:val="0"/>
          <w:sz w:val="24"/>
          <w:szCs w:val="24"/>
          <w:lang w:val="en-US" w:eastAsia="zh-CN" w:bidi="ar"/>
        </w:rPr>
        <w:t xml:space="preserve"> should be administered at 80% of the initial dosage for the next course of treatment</w:t>
      </w:r>
      <w:r>
        <w:rPr>
          <w:rFonts w:hint="eastAsia" w:cs="Times New Roman"/>
          <w:color w:val="000000"/>
          <w:kern w:val="0"/>
          <w:sz w:val="24"/>
          <w:szCs w:val="24"/>
          <w:lang w:val="en-US" w:eastAsia="zh-CN" w:bidi="ar"/>
        </w:rPr>
        <w:t xml:space="preserve"> or discontinuation of chemotherapy</w:t>
      </w:r>
      <w:r>
        <w:rPr>
          <w:rFonts w:hint="default" w:ascii="Times New Roman" w:hAnsi="Times New Roman" w:eastAsia="宋体" w:cs="Times New Roman"/>
          <w:color w:val="000000"/>
          <w:kern w:val="0"/>
          <w:sz w:val="24"/>
          <w:szCs w:val="24"/>
          <w:lang w:val="en-US" w:eastAsia="zh-CN" w:bidi="ar"/>
        </w:rPr>
        <w:t>.</w:t>
      </w:r>
    </w:p>
    <w:p>
      <w:pPr>
        <w:keepNext w:val="0"/>
        <w:keepLines w:val="0"/>
        <w:widowControl/>
        <w:numPr>
          <w:ilvl w:val="0"/>
          <w:numId w:val="17"/>
        </w:numPr>
        <w:suppressLineNumbers w:val="0"/>
        <w:spacing w:line="360" w:lineRule="auto"/>
        <w:ind w:left="425" w:leftChars="0" w:hanging="425" w:firstLineChars="0"/>
        <w:jc w:val="left"/>
        <w:rPr>
          <w:rFonts w:hint="eastAsia" w:cs="Times New Roman"/>
          <w:color w:val="000000"/>
          <w:kern w:val="0"/>
          <w:sz w:val="24"/>
          <w:szCs w:val="24"/>
          <w:lang w:val="en-US" w:eastAsia="zh-CN" w:bidi="ar"/>
        </w:rPr>
      </w:pPr>
      <w:r>
        <w:rPr>
          <w:rFonts w:hint="eastAsia" w:cs="Times New Roman"/>
          <w:color w:val="000000"/>
          <w:kern w:val="0"/>
          <w:sz w:val="24"/>
          <w:szCs w:val="24"/>
          <w:lang w:val="en-US" w:eastAsia="zh-CN" w:bidi="ar"/>
        </w:rPr>
        <w:t xml:space="preserve"> Carboplatin may be considered as an alternative to cisplatin in cases of grade 3-4 </w:t>
      </w:r>
    </w:p>
    <w:p>
      <w:pPr>
        <w:keepNext w:val="0"/>
        <w:keepLines w:val="0"/>
        <w:widowControl/>
        <w:numPr>
          <w:ilvl w:val="0"/>
          <w:numId w:val="0"/>
        </w:numPr>
        <w:suppressLineNumbers w:val="0"/>
        <w:spacing w:line="360" w:lineRule="auto"/>
        <w:ind w:leftChars="0"/>
        <w:jc w:val="left"/>
        <w:rPr>
          <w:rFonts w:hint="eastAsia" w:cs="Times New Roman"/>
          <w:color w:val="000000"/>
          <w:kern w:val="0"/>
          <w:sz w:val="24"/>
          <w:szCs w:val="24"/>
          <w:lang w:val="en-US" w:eastAsia="zh-CN" w:bidi="ar"/>
        </w:rPr>
      </w:pPr>
      <w:r>
        <w:rPr>
          <w:rFonts w:hint="eastAsia" w:cs="Times New Roman"/>
          <w:color w:val="000000"/>
          <w:kern w:val="0"/>
          <w:sz w:val="24"/>
          <w:szCs w:val="24"/>
          <w:lang w:val="en-US" w:eastAsia="zh-CN" w:bidi="ar"/>
        </w:rPr>
        <w:t>renal dysfunction or persistent grade 1-2 renal dysfunction that cannot be reversed.</w:t>
      </w:r>
    </w:p>
    <w:p>
      <w:pPr>
        <w:keepNext w:val="0"/>
        <w:keepLines w:val="0"/>
        <w:widowControl/>
        <w:suppressLineNumbers w:val="0"/>
        <w:spacing w:line="360" w:lineRule="auto"/>
        <w:jc w:val="both"/>
        <w:rPr>
          <w:rFonts w:hint="default" w:ascii="Times New Roman" w:hAnsi="Times New Roman" w:eastAsia="TimesNewRomanPS-BoldMT" w:cs="Times New Roman"/>
          <w:b/>
          <w:bCs/>
          <w:color w:val="000000"/>
          <w:kern w:val="0"/>
          <w:sz w:val="32"/>
          <w:szCs w:val="32"/>
          <w:lang w:val="en-US" w:eastAsia="zh-CN" w:bidi="ar"/>
        </w:rPr>
      </w:pPr>
    </w:p>
    <w:p>
      <w:pPr>
        <w:keepNext w:val="0"/>
        <w:keepLines w:val="0"/>
        <w:widowControl/>
        <w:suppressLineNumbers w:val="0"/>
        <w:spacing w:line="360" w:lineRule="auto"/>
        <w:jc w:val="both"/>
        <w:rPr>
          <w:rFonts w:hint="default" w:ascii="Times New Roman" w:hAnsi="Times New Roman" w:cs="Times New Roman"/>
          <w:sz w:val="24"/>
          <w:szCs w:val="24"/>
        </w:rPr>
      </w:pPr>
      <w:r>
        <w:rPr>
          <w:rFonts w:hint="default" w:ascii="Times New Roman" w:hAnsi="Times New Roman" w:eastAsia="TimesNewRomanPS-BoldMT" w:cs="Times New Roman"/>
          <w:b/>
          <w:bCs/>
          <w:color w:val="000000"/>
          <w:kern w:val="0"/>
          <w:sz w:val="24"/>
          <w:szCs w:val="24"/>
          <w:lang w:val="en-US" w:eastAsia="zh-CN" w:bidi="ar"/>
        </w:rPr>
        <w:t xml:space="preserve">9.Data Collection and Data Management </w:t>
      </w:r>
    </w:p>
    <w:p>
      <w:pPr>
        <w:keepNext w:val="0"/>
        <w:keepLines w:val="0"/>
        <w:widowControl/>
        <w:suppressLineNumbers w:val="0"/>
        <w:spacing w:line="360" w:lineRule="auto"/>
        <w:jc w:val="both"/>
        <w:rPr>
          <w:rFonts w:hint="default" w:ascii="Times New Roman" w:hAnsi="Times New Roman" w:cs="Times New Roman"/>
          <w:sz w:val="24"/>
          <w:szCs w:val="24"/>
        </w:rPr>
      </w:pPr>
      <w:r>
        <w:rPr>
          <w:rFonts w:hint="default" w:ascii="Times New Roman" w:hAnsi="Times New Roman" w:eastAsia="TimesNewRomanPS-BoldMT" w:cs="Times New Roman"/>
          <w:b/>
          <w:bCs/>
          <w:color w:val="000000"/>
          <w:kern w:val="0"/>
          <w:sz w:val="24"/>
          <w:szCs w:val="24"/>
          <w:lang w:val="en-US" w:eastAsia="zh-CN" w:bidi="ar"/>
        </w:rPr>
        <w:t xml:space="preserve">9.1 Case Report Form (CRF) </w:t>
      </w:r>
    </w:p>
    <w:p>
      <w:pPr>
        <w:keepNext w:val="0"/>
        <w:keepLines w:val="0"/>
        <w:widowControl/>
        <w:suppressLineNumbers w:val="0"/>
        <w:spacing w:line="360" w:lineRule="auto"/>
        <w:jc w:val="both"/>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The CRF is completed by the investigator and must be completed by each enrolled </w:t>
      </w:r>
    </w:p>
    <w:p>
      <w:pPr>
        <w:keepNext w:val="0"/>
        <w:keepLines w:val="0"/>
        <w:widowControl/>
        <w:suppressLineNumbers w:val="0"/>
        <w:spacing w:line="360" w:lineRule="auto"/>
        <w:jc w:val="both"/>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patient. After the completed CRF is reviewed by the clinical supervisor, the first copy </w:t>
      </w:r>
    </w:p>
    <w:p>
      <w:pPr>
        <w:keepNext w:val="0"/>
        <w:keepLines w:val="0"/>
        <w:widowControl/>
        <w:suppressLineNumbers w:val="0"/>
        <w:spacing w:line="360" w:lineRule="auto"/>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is transferred to the data administrator for data entry and management.</w:t>
      </w:r>
    </w:p>
    <w:p>
      <w:pPr>
        <w:keepNext w:val="0"/>
        <w:keepLines w:val="0"/>
        <w:widowControl/>
        <w:suppressLineNumbers w:val="0"/>
        <w:spacing w:line="360" w:lineRule="auto"/>
        <w:jc w:val="both"/>
        <w:rPr>
          <w:rFonts w:hint="default" w:ascii="Times New Roman" w:hAnsi="Times New Roman" w:cs="Times New Roman"/>
          <w:sz w:val="24"/>
          <w:szCs w:val="24"/>
        </w:rPr>
      </w:pPr>
      <w:r>
        <w:rPr>
          <w:rFonts w:hint="default" w:ascii="Times New Roman" w:hAnsi="Times New Roman" w:eastAsia="TimesNewRomanPS-BoldMT" w:cs="Times New Roman"/>
          <w:b/>
          <w:bCs/>
          <w:color w:val="000000"/>
          <w:kern w:val="0"/>
          <w:sz w:val="24"/>
          <w:szCs w:val="24"/>
          <w:lang w:val="en-US" w:eastAsia="zh-CN" w:bidi="ar"/>
        </w:rPr>
        <w:t xml:space="preserve">9.2 Data Entry and Modification </w:t>
      </w:r>
    </w:p>
    <w:p>
      <w:pPr>
        <w:keepNext w:val="0"/>
        <w:keepLines w:val="0"/>
        <w:widowControl/>
        <w:suppressLineNumbers w:val="0"/>
        <w:spacing w:line="360" w:lineRule="auto"/>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Upon completion of patient registration, all relevant information will be forwarded to the Affiliated Cancer Hospital of Guizhou Medical University for proper management. Our team has dedicated personnel responsible for data entry and management. The data administrators utilize SPSS 26.0 software to create a data entry program and oversee the process. In case of any queries on the CRF, the data administrator will seek clarification from the investigator before proceeding with data entry and management. It is imperative for the investigator to promptly address and resolve any questions raised. Subsequently, the data administrator will make necessary adjustments, confirm, and input the data based on the investigator's responses.</w:t>
      </w:r>
    </w:p>
    <w:p>
      <w:pPr>
        <w:keepNext w:val="0"/>
        <w:keepLines w:val="0"/>
        <w:widowControl/>
        <w:suppressLineNumbers w:val="0"/>
        <w:spacing w:line="360" w:lineRule="auto"/>
        <w:jc w:val="both"/>
        <w:rPr>
          <w:rFonts w:hint="default" w:ascii="Times New Roman" w:hAnsi="Times New Roman" w:eastAsia="宋体" w:cs="Times New Roman"/>
          <w:color w:val="000000"/>
          <w:kern w:val="0"/>
          <w:sz w:val="24"/>
          <w:szCs w:val="24"/>
          <w:lang w:val="en-US" w:eastAsia="zh-CN" w:bidi="ar"/>
        </w:rPr>
      </w:pPr>
    </w:p>
    <w:p>
      <w:pPr>
        <w:keepNext w:val="0"/>
        <w:keepLines w:val="0"/>
        <w:widowControl/>
        <w:numPr>
          <w:ilvl w:val="0"/>
          <w:numId w:val="0"/>
        </w:numPr>
        <w:suppressLineNumbers w:val="0"/>
        <w:spacing w:line="360" w:lineRule="auto"/>
        <w:ind w:leftChars="0"/>
        <w:jc w:val="both"/>
        <w:rPr>
          <w:rFonts w:hint="default" w:ascii="Times New Roman" w:hAnsi="Times New Roman" w:eastAsia="TimesNewRomanPS-BoldMT" w:cs="Times New Roman"/>
          <w:b/>
          <w:bCs/>
          <w:color w:val="000000"/>
          <w:kern w:val="0"/>
          <w:sz w:val="24"/>
          <w:szCs w:val="24"/>
          <w:lang w:val="en-US" w:eastAsia="zh-CN" w:bidi="ar"/>
        </w:rPr>
      </w:pPr>
      <w:r>
        <w:rPr>
          <w:rFonts w:hint="eastAsia" w:eastAsia="TimesNewRomanPS-BoldMT" w:cs="Times New Roman"/>
          <w:b/>
          <w:bCs/>
          <w:color w:val="000000"/>
          <w:kern w:val="0"/>
          <w:sz w:val="24"/>
          <w:szCs w:val="24"/>
          <w:lang w:val="en-US" w:eastAsia="zh-CN" w:bidi="ar"/>
        </w:rPr>
        <w:t>10.</w:t>
      </w:r>
      <w:r>
        <w:rPr>
          <w:rFonts w:hint="default" w:ascii="Times New Roman" w:hAnsi="Times New Roman" w:eastAsia="TimesNewRomanPS-BoldMT" w:cs="Times New Roman"/>
          <w:b/>
          <w:bCs/>
          <w:color w:val="000000"/>
          <w:kern w:val="0"/>
          <w:sz w:val="24"/>
          <w:szCs w:val="24"/>
          <w:lang w:val="en-US" w:eastAsia="zh-CN" w:bidi="ar"/>
        </w:rPr>
        <w:t xml:space="preserve">Safety Measures and Quality Control </w:t>
      </w:r>
    </w:p>
    <w:p>
      <w:pPr>
        <w:keepNext w:val="0"/>
        <w:keepLines w:val="0"/>
        <w:widowControl/>
        <w:numPr>
          <w:ilvl w:val="0"/>
          <w:numId w:val="0"/>
        </w:numPr>
        <w:suppressLineNumbers w:val="0"/>
        <w:spacing w:line="360" w:lineRule="auto"/>
        <w:ind w:leftChars="0"/>
        <w:jc w:val="both"/>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t xml:space="preserve">a) The researchers are responsible for obtaining signed informed consent from each subject or their representative, accurately completing the case report form, and maintaining thorough records of laboratory tests, clinical data, and original medical records of the subjects. </w:t>
      </w:r>
    </w:p>
    <w:p>
      <w:pPr>
        <w:keepNext w:val="0"/>
        <w:keepLines w:val="0"/>
        <w:widowControl/>
        <w:numPr>
          <w:ilvl w:val="0"/>
          <w:numId w:val="0"/>
        </w:numPr>
        <w:suppressLineNumbers w:val="0"/>
        <w:spacing w:line="360" w:lineRule="auto"/>
        <w:ind w:leftChars="0"/>
        <w:jc w:val="both"/>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t>b) Establish a monitoring plan for adverse effects and an emergency response plan.</w:t>
      </w:r>
    </w:p>
    <w:p>
      <w:pPr>
        <w:keepNext w:val="0"/>
        <w:keepLines w:val="0"/>
        <w:widowControl/>
        <w:numPr>
          <w:ilvl w:val="0"/>
          <w:numId w:val="0"/>
        </w:numPr>
        <w:suppressLineNumbers w:val="0"/>
        <w:spacing w:line="360" w:lineRule="auto"/>
        <w:ind w:leftChars="0"/>
        <w:jc w:val="both"/>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t xml:space="preserve">c) All investigators must collaborate on the research plan, which must be approved by the Ethics Committee. </w:t>
      </w:r>
    </w:p>
    <w:p>
      <w:pPr>
        <w:keepNext w:val="0"/>
        <w:keepLines w:val="0"/>
        <w:widowControl/>
        <w:numPr>
          <w:ilvl w:val="0"/>
          <w:numId w:val="0"/>
        </w:numPr>
        <w:suppressLineNumbers w:val="0"/>
        <w:spacing w:line="360" w:lineRule="auto"/>
        <w:ind w:leftChars="0"/>
        <w:jc w:val="both"/>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t xml:space="preserve">d) Develop various standard operating procedures related to this study. </w:t>
      </w:r>
    </w:p>
    <w:p>
      <w:pPr>
        <w:keepNext w:val="0"/>
        <w:keepLines w:val="0"/>
        <w:widowControl/>
        <w:numPr>
          <w:ilvl w:val="0"/>
          <w:numId w:val="0"/>
        </w:numPr>
        <w:suppressLineNumbers w:val="0"/>
        <w:spacing w:line="360" w:lineRule="auto"/>
        <w:ind w:leftChars="0"/>
        <w:jc w:val="both"/>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t>e) Implement a standardized evaluation system to standardize diagnostic criteria and criteria for assessing treatment effectiveness.</w:t>
      </w:r>
    </w:p>
    <w:p>
      <w:pPr>
        <w:keepNext w:val="0"/>
        <w:keepLines w:val="0"/>
        <w:widowControl/>
        <w:numPr>
          <w:ilvl w:val="0"/>
          <w:numId w:val="0"/>
        </w:numPr>
        <w:suppressLineNumbers w:val="0"/>
        <w:spacing w:line="360" w:lineRule="auto"/>
        <w:ind w:leftChars="0"/>
        <w:jc w:val="left"/>
        <w:rPr>
          <w:rFonts w:hint="default" w:cs="Times New Roman"/>
          <w:color w:val="000000"/>
          <w:kern w:val="0"/>
          <w:sz w:val="24"/>
          <w:szCs w:val="24"/>
          <w:lang w:val="en-US" w:eastAsia="zh-CN" w:bidi="ar"/>
        </w:rPr>
      </w:pPr>
    </w:p>
    <w:p>
      <w:pPr>
        <w:keepNext w:val="0"/>
        <w:keepLines w:val="0"/>
        <w:widowControl/>
        <w:numPr>
          <w:ilvl w:val="0"/>
          <w:numId w:val="1"/>
        </w:numPr>
        <w:suppressLineNumbers w:val="0"/>
        <w:spacing w:line="360" w:lineRule="auto"/>
        <w:ind w:left="0" w:leftChars="0" w:firstLine="0" w:firstLineChars="0"/>
        <w:jc w:val="both"/>
        <w:rPr>
          <w:rFonts w:hint="default" w:ascii="Times New Roman" w:hAnsi="Times New Roman" w:eastAsia="TimesNewRomanPS-BoldMT" w:cs="Times New Roman"/>
          <w:b/>
          <w:bCs/>
          <w:color w:val="000000"/>
          <w:kern w:val="0"/>
          <w:sz w:val="24"/>
          <w:szCs w:val="24"/>
          <w:lang w:val="en-US" w:eastAsia="zh-CN" w:bidi="ar"/>
        </w:rPr>
      </w:pPr>
      <w:r>
        <w:rPr>
          <w:rFonts w:hint="default" w:ascii="Times New Roman" w:hAnsi="Times New Roman" w:eastAsia="TimesNewRomanPS-BoldMT" w:cs="Times New Roman"/>
          <w:b/>
          <w:bCs/>
          <w:color w:val="000000"/>
          <w:kern w:val="0"/>
          <w:sz w:val="24"/>
          <w:szCs w:val="24"/>
          <w:lang w:val="en-US" w:eastAsia="zh-CN" w:bidi="ar"/>
        </w:rPr>
        <w:t>Statistical Analysis</w:t>
      </w:r>
    </w:p>
    <w:p>
      <w:pPr>
        <w:keepNext w:val="0"/>
        <w:keepLines w:val="0"/>
        <w:widowControl/>
        <w:suppressLineNumbers w:val="0"/>
        <w:spacing w:line="360" w:lineRule="auto"/>
        <w:jc w:val="both"/>
        <w:rPr>
          <w:rFonts w:hint="default" w:ascii="Times New Roman" w:hAnsi="Times New Roman" w:cs="Times New Roman"/>
          <w:sz w:val="24"/>
          <w:szCs w:val="24"/>
        </w:rPr>
      </w:pPr>
      <w:r>
        <w:rPr>
          <w:rFonts w:hint="eastAsia" w:eastAsia="TimesNewRomanPS-BoldMT" w:cs="Times New Roman"/>
          <w:b/>
          <w:bCs/>
          <w:color w:val="000000"/>
          <w:kern w:val="0"/>
          <w:sz w:val="24"/>
          <w:szCs w:val="24"/>
          <w:lang w:val="en-US" w:eastAsia="zh-CN" w:bidi="ar"/>
        </w:rPr>
        <w:t>11</w:t>
      </w:r>
      <w:r>
        <w:rPr>
          <w:rFonts w:hint="default" w:ascii="Times New Roman" w:hAnsi="Times New Roman" w:eastAsia="TimesNewRomanPS-BoldMT" w:cs="Times New Roman"/>
          <w:b/>
          <w:bCs/>
          <w:color w:val="000000"/>
          <w:kern w:val="0"/>
          <w:sz w:val="24"/>
          <w:szCs w:val="24"/>
          <w:lang w:val="en-US" w:eastAsia="zh-CN" w:bidi="ar"/>
        </w:rPr>
        <w:t xml:space="preserve">.1 Endpoint Definitions </w:t>
      </w:r>
    </w:p>
    <w:p>
      <w:pPr>
        <w:keepNext w:val="0"/>
        <w:keepLines w:val="0"/>
        <w:widowControl/>
        <w:suppressLineNumbers w:val="0"/>
        <w:spacing w:line="360" w:lineRule="auto"/>
        <w:jc w:val="both"/>
        <w:rPr>
          <w:rFonts w:hint="default" w:ascii="Times New Roman" w:hAnsi="Times New Roman" w:eastAsia="TimesNewRomanPS-BoldMT" w:cs="Times New Roman"/>
          <w:b/>
          <w:bCs/>
          <w:color w:val="000000"/>
          <w:kern w:val="0"/>
          <w:sz w:val="24"/>
          <w:szCs w:val="24"/>
          <w:lang w:val="en-US" w:eastAsia="zh-CN" w:bidi="ar"/>
        </w:rPr>
      </w:pPr>
      <w:r>
        <w:rPr>
          <w:rFonts w:hint="eastAsia" w:eastAsia="TimesNewRomanPS-BoldMT" w:cs="Times New Roman"/>
          <w:b/>
          <w:bCs/>
          <w:color w:val="000000"/>
          <w:kern w:val="0"/>
          <w:sz w:val="24"/>
          <w:szCs w:val="24"/>
          <w:lang w:val="en-US" w:eastAsia="zh-CN" w:bidi="ar"/>
        </w:rPr>
        <w:t>11</w:t>
      </w:r>
      <w:r>
        <w:rPr>
          <w:rFonts w:hint="default" w:ascii="Times New Roman" w:hAnsi="Times New Roman" w:eastAsia="TimesNewRomanPS-BoldMT" w:cs="Times New Roman"/>
          <w:b/>
          <w:bCs/>
          <w:color w:val="000000"/>
          <w:kern w:val="0"/>
          <w:sz w:val="24"/>
          <w:szCs w:val="24"/>
          <w:lang w:val="en-US" w:eastAsia="zh-CN" w:bidi="ar"/>
        </w:rPr>
        <w:t>.1.1 Primary End Point</w:t>
      </w:r>
    </w:p>
    <w:p>
      <w:pPr>
        <w:keepNext w:val="0"/>
        <w:keepLines w:val="0"/>
        <w:widowControl/>
        <w:suppressLineNumbers w:val="0"/>
        <w:spacing w:line="360" w:lineRule="auto"/>
        <w:jc w:val="both"/>
        <w:rPr>
          <w:rFonts w:hint="default" w:ascii="Times New Roman" w:hAnsi="Times New Roman" w:eastAsia="TimesNewRomanPS-BoldMT" w:cs="Times New Roman"/>
          <w:b/>
          <w:bCs/>
          <w:color w:val="000000"/>
          <w:kern w:val="0"/>
          <w:sz w:val="24"/>
          <w:szCs w:val="24"/>
          <w:lang w:val="en-US" w:eastAsia="zh-CN" w:bidi="ar"/>
        </w:rPr>
      </w:pPr>
      <w:r>
        <w:rPr>
          <w:rFonts w:hint="eastAsia" w:ascii="Times New Roman" w:hAnsi="Times New Roman" w:cs="Times New Roman"/>
          <w:sz w:val="24"/>
          <w:szCs w:val="24"/>
          <w:lang w:val="en-US" w:eastAsia="zh-CN"/>
        </w:rPr>
        <w:t>The p</w:t>
      </w:r>
      <w:r>
        <w:rPr>
          <w:rFonts w:hint="default" w:ascii="Times New Roman" w:hAnsi="Times New Roman" w:cs="Times New Roman"/>
          <w:sz w:val="24"/>
          <w:szCs w:val="24"/>
        </w:rPr>
        <w:t xml:space="preserve">rimary outcome measure was the 3-year duration of PFS, which referred to the period starting from random assignment until occurrence of locoregional relapse, distant metastasis, or death from any cause. </w:t>
      </w:r>
    </w:p>
    <w:p>
      <w:pPr>
        <w:keepNext w:val="0"/>
        <w:keepLines w:val="0"/>
        <w:widowControl/>
        <w:suppressLineNumbers w:val="0"/>
        <w:spacing w:line="360" w:lineRule="auto"/>
        <w:jc w:val="both"/>
        <w:rPr>
          <w:rFonts w:hint="default" w:ascii="Times New Roman" w:hAnsi="Times New Roman" w:cs="Times New Roman"/>
          <w:sz w:val="24"/>
          <w:szCs w:val="24"/>
        </w:rPr>
      </w:pPr>
      <w:r>
        <w:rPr>
          <w:rFonts w:hint="eastAsia" w:eastAsia="TimesNewRomanPS-BoldMT" w:cs="Times New Roman"/>
          <w:b/>
          <w:bCs/>
          <w:color w:val="000000"/>
          <w:kern w:val="0"/>
          <w:sz w:val="24"/>
          <w:szCs w:val="24"/>
          <w:lang w:val="en-US" w:eastAsia="zh-CN" w:bidi="ar"/>
        </w:rPr>
        <w:t>11</w:t>
      </w:r>
      <w:r>
        <w:rPr>
          <w:rFonts w:hint="default" w:ascii="Times New Roman" w:hAnsi="Times New Roman" w:eastAsia="TimesNewRomanPS-BoldMT" w:cs="Times New Roman"/>
          <w:b/>
          <w:bCs/>
          <w:color w:val="000000"/>
          <w:kern w:val="0"/>
          <w:sz w:val="24"/>
          <w:szCs w:val="24"/>
          <w:lang w:val="en-US" w:eastAsia="zh-CN" w:bidi="ar"/>
        </w:rPr>
        <w:t xml:space="preserve">.1.2 Secondary End Points </w:t>
      </w:r>
    </w:p>
    <w:p>
      <w:pPr>
        <w:keepNext w:val="0"/>
        <w:keepLines w:val="0"/>
        <w:widowControl/>
        <w:suppressLineNumbers w:val="0"/>
        <w:spacing w:line="360" w:lineRule="auto"/>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Response rate. Approximately one week after completing induction therapy, the responses to induction therapy are assessed. The nasopharynx and cervical nodes should be assessed by endoscopy and MRI or CT at approximately 12 weeks after completion of radiotherapy. Other examinations included chest CT, abdominal CT/MR, and bone scans. Tumor response is classified according to the RECIST criteria, version 1.1. Complete response is the complete disappearance of all target lesions, with any pathological lymph nodes (whether target or nontarget) reduced in the short axis to &lt;10 mm. Partial response is a decrease of at least 30% in the sum of diameters of the target lesions compared to the baseline diameter sum. Progressive disease is an increase of at least 20% in the sum of diameters of the target lesions compared to the smallest sum during study, with an absolute increase of at least 5 mm. Stable disease is neither a sufficient size reduction for partial response nor a sufficient increase for progressive disease, using the smallest diameter sum during study as reference.</w:t>
      </w:r>
    </w:p>
    <w:p>
      <w:pPr>
        <w:keepNext w:val="0"/>
        <w:keepLines w:val="0"/>
        <w:widowControl/>
        <w:suppressLineNumbers w:val="0"/>
        <w:spacing w:line="360" w:lineRule="auto"/>
        <w:jc w:val="both"/>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 xml:space="preserve">OS, which is defined as the time from the initiation of induction therapy to anycause death. </w:t>
      </w:r>
    </w:p>
    <w:p>
      <w:pPr>
        <w:keepNext w:val="0"/>
        <w:keepLines w:val="0"/>
        <w:widowControl/>
        <w:suppressLineNumbers w:val="0"/>
        <w:spacing w:line="360" w:lineRule="auto"/>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 xml:space="preserve">LRFS, </w:t>
      </w:r>
      <w:r>
        <w:rPr>
          <w:rFonts w:ascii="Times New Roman" w:hAnsi="Times New Roman" w:cs="Times New Roman"/>
          <w:sz w:val="24"/>
          <w:szCs w:val="24"/>
        </w:rPr>
        <w:t>defined as</w:t>
      </w:r>
      <w:r>
        <w:rPr>
          <w:rFonts w:hint="default" w:ascii="Times New Roman" w:hAnsi="Times New Roman" w:cs="Times New Roman"/>
          <w:sz w:val="24"/>
          <w:szCs w:val="24"/>
        </w:rPr>
        <w:t xml:space="preserve"> the time elapsed between random assignment and onset of local or regional relapse or death from any cause.</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widowControl/>
        <w:suppressLineNumbers w:val="0"/>
        <w:spacing w:line="360" w:lineRule="auto"/>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rPr>
        <w:t>DMFS</w:t>
      </w:r>
      <w:r>
        <w:rPr>
          <w:rFonts w:hint="default" w:ascii="Times New Roman" w:hAnsi="Times New Roman" w:cs="Times New Roman"/>
          <w:sz w:val="24"/>
          <w:szCs w:val="24"/>
          <w:lang w:val="en-US" w:eastAsia="zh-CN"/>
        </w:rPr>
        <w:t>,which is</w:t>
      </w:r>
      <w:r>
        <w:rPr>
          <w:rFonts w:hint="default" w:ascii="Times New Roman" w:hAnsi="Times New Roman" w:cs="Times New Roman"/>
          <w:sz w:val="24"/>
          <w:szCs w:val="24"/>
        </w:rPr>
        <w:t xml:space="preserve"> </w:t>
      </w:r>
      <w:bookmarkStart w:id="31" w:name="OLE_LINK30"/>
      <w:r>
        <w:rPr>
          <w:rFonts w:hint="default" w:ascii="Times New Roman" w:hAnsi="Times New Roman" w:cs="Times New Roman"/>
          <w:sz w:val="24"/>
          <w:szCs w:val="24"/>
        </w:rPr>
        <w:t>defined as</w:t>
      </w:r>
      <w:bookmarkEnd w:id="31"/>
      <w:r>
        <w:rPr>
          <w:rFonts w:hint="default" w:ascii="Times New Roman" w:hAnsi="Times New Roman" w:cs="Times New Roman"/>
          <w:sz w:val="24"/>
          <w:szCs w:val="24"/>
        </w:rPr>
        <w:t xml:space="preserve"> the time span between random assignment and occurrence of distant metastasis or death from any cause</w:t>
      </w:r>
      <w:r>
        <w:rPr>
          <w:rFonts w:hint="default" w:ascii="Times New Roman" w:hAnsi="Times New Roman" w:cs="Times New Roman"/>
          <w:sz w:val="24"/>
          <w:szCs w:val="24"/>
          <w:lang w:val="en-US" w:eastAsia="zh-CN"/>
        </w:rPr>
        <w:t>.</w:t>
      </w:r>
    </w:p>
    <w:p>
      <w:pPr>
        <w:keepNext w:val="0"/>
        <w:keepLines w:val="0"/>
        <w:widowControl/>
        <w:suppressLineNumbers w:val="0"/>
        <w:spacing w:line="360" w:lineRule="auto"/>
        <w:jc w:val="both"/>
        <w:rPr>
          <w:rFonts w:hint="default" w:ascii="Times New Roman" w:hAnsi="Times New Roman" w:eastAsia="宋体" w:cs="Times New Roman"/>
          <w:color w:val="000000"/>
          <w:kern w:val="0"/>
          <w:sz w:val="24"/>
          <w:szCs w:val="24"/>
          <w:lang w:val="en-US" w:eastAsia="zh-CN" w:bidi="ar"/>
        </w:rPr>
      </w:pPr>
      <w:bookmarkStart w:id="32" w:name="OLE_LINK20"/>
      <w:r>
        <w:rPr>
          <w:rFonts w:hint="default" w:ascii="Times New Roman" w:hAnsi="Times New Roman" w:eastAsia="宋体" w:cs="Times New Roman"/>
          <w:color w:val="000000"/>
          <w:kern w:val="0"/>
          <w:sz w:val="24"/>
          <w:szCs w:val="24"/>
          <w:lang w:val="en-US" w:eastAsia="zh-CN" w:bidi="ar"/>
        </w:rPr>
        <w:t>Treatment toxicity, including serious adverse events related to treatment and the immune system, was assessed during the induction phase, radiotherapy phase, and maintenance phase, as well as late adverse events and adherence to treatment.</w:t>
      </w:r>
    </w:p>
    <w:p>
      <w:pPr>
        <w:keepNext w:val="0"/>
        <w:keepLines w:val="0"/>
        <w:widowControl/>
        <w:suppressLineNumbers w:val="0"/>
        <w:spacing w:line="360" w:lineRule="auto"/>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The term "adverse events" refers to any negative medical occurrences experienced by a patient, which may not necessarily be directly caused by the treatment they are receiving. It is important for investigators to meticulously document all adverse events that occur in patients, including a description of the event, when it occurred, its severity and duration, any measures taken, and the final outcomes. Investigators should also evaluate the potential connection between these adverse events and the drugs being tested using a five-level classification system: positive relevance, possible irrelevance, positive irrelevance, and inability to determine.</w:t>
      </w:r>
    </w:p>
    <w:p>
      <w:pPr>
        <w:keepNext w:val="0"/>
        <w:keepLines w:val="0"/>
        <w:widowControl/>
        <w:suppressLineNumbers w:val="0"/>
        <w:spacing w:line="360" w:lineRule="auto"/>
        <w:jc w:val="both"/>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The evaluation of treatment-related negative effects follows the guidelines of NCI-CTCAE version 5.0. Immediate toxicities encompass hematological toxicity, mucositis, allergic reactions, as well as other adverse events and serious adverse events. The severity of immune-related negative effects was assessed based on the criteria outlined in NCI-CTCAE version 5.0. Late adverse events were graded using the Radiation Therapy Oncology Group and European Organization for Research and Treatment of Cancer late radiation morbidity scoring scheme.</w:t>
      </w:r>
    </w:p>
    <w:p>
      <w:pPr>
        <w:keepNext w:val="0"/>
        <w:keepLines w:val="0"/>
        <w:widowControl/>
        <w:suppressLineNumbers w:val="0"/>
        <w:jc w:val="left"/>
        <w:rPr>
          <w:rFonts w:hint="default" w:ascii="Times New Roman" w:hAnsi="Times New Roman" w:eastAsia="TimesNewRomanPS-BoldMT" w:cs="Times New Roman"/>
          <w:b/>
          <w:bCs/>
          <w:color w:val="000000"/>
          <w:kern w:val="0"/>
          <w:sz w:val="24"/>
          <w:szCs w:val="24"/>
          <w:lang w:val="en-US" w:eastAsia="zh-CN" w:bidi="ar"/>
        </w:rPr>
      </w:pPr>
      <w:r>
        <w:rPr>
          <w:rFonts w:hint="default" w:ascii="Times New Roman" w:hAnsi="Times New Roman" w:eastAsia="TimesNewRomanPS-BoldMT" w:cs="Times New Roman"/>
          <w:b/>
          <w:bCs/>
          <w:color w:val="000000"/>
          <w:kern w:val="0"/>
          <w:sz w:val="24"/>
          <w:szCs w:val="24"/>
          <w:lang w:val="en-US" w:eastAsia="zh-CN" w:bidi="ar"/>
        </w:rPr>
        <w:t>11.2 Determination of the Sample Size</w:t>
      </w:r>
    </w:p>
    <w:p>
      <w:pPr>
        <w:keepNext w:val="0"/>
        <w:keepLines w:val="0"/>
        <w:widowControl/>
        <w:suppressLineNumbers w:val="0"/>
        <w:jc w:val="left"/>
        <w:rPr>
          <w:rFonts w:hint="default" w:ascii="Times New Roman" w:hAnsi="Times New Roman" w:eastAsia="TimesNewRomanPS-BoldMT" w:cs="Times New Roman"/>
          <w:b/>
          <w:bCs/>
          <w:color w:val="000000"/>
          <w:kern w:val="0"/>
          <w:sz w:val="24"/>
          <w:szCs w:val="24"/>
          <w:lang w:val="en-US" w:eastAsia="zh-CN" w:bidi="ar"/>
        </w:rPr>
      </w:pPr>
    </w:p>
    <w:p>
      <w:pPr>
        <w:keepNext w:val="0"/>
        <w:keepLines w:val="0"/>
        <w:widowControl/>
        <w:suppressLineNumbers w:val="0"/>
        <w:spacing w:line="360" w:lineRule="auto"/>
        <w:jc w:val="both"/>
        <w:rPr>
          <w:rFonts w:hint="eastAsia" w:cs="Times New Roman"/>
          <w:color w:val="000000"/>
          <w:kern w:val="0"/>
          <w:sz w:val="24"/>
          <w:szCs w:val="24"/>
          <w:lang w:val="en-US" w:eastAsia="zh-CN" w:bidi="ar"/>
        </w:rPr>
      </w:pPr>
      <w:r>
        <w:rPr>
          <w:rFonts w:hint="eastAsia" w:cs="Times New Roman"/>
          <w:color w:val="000000"/>
          <w:kern w:val="0"/>
          <w:sz w:val="24"/>
          <w:szCs w:val="24"/>
          <w:lang w:val="en-US" w:eastAsia="zh-CN" w:bidi="ar"/>
        </w:rPr>
        <w:t>The main focus of this study was to assess the PFS at the 3-year time point. The following group of assumptions were taken into account:</w:t>
      </w:r>
    </w:p>
    <w:p>
      <w:pPr>
        <w:keepNext w:val="0"/>
        <w:keepLines w:val="0"/>
        <w:widowControl/>
        <w:suppressLineNumbers w:val="0"/>
        <w:jc w:val="left"/>
        <w:rPr>
          <w:rFonts w:hint="eastAsia" w:eastAsia="宋体"/>
          <w:lang w:val="en-US" w:eastAsia="zh-CN"/>
        </w:rPr>
      </w:pPr>
      <w:r>
        <w:rPr>
          <w:rFonts w:hint="default" w:ascii="Times New Roman" w:hAnsi="Times New Roman" w:eastAsia="宋体" w:cs="Times New Roman"/>
          <w:color w:val="000000"/>
          <w:kern w:val="0"/>
          <w:sz w:val="24"/>
          <w:szCs w:val="24"/>
          <w:lang w:val="en-US" w:eastAsia="zh-CN" w:bidi="ar"/>
        </w:rPr>
        <w:t>H</w:t>
      </w:r>
      <w:r>
        <w:rPr>
          <w:rFonts w:hint="default" w:ascii="Times New Roman" w:hAnsi="Times New Roman" w:eastAsia="宋体" w:cs="Times New Roman"/>
          <w:color w:val="000000"/>
          <w:kern w:val="0"/>
          <w:sz w:val="16"/>
          <w:szCs w:val="16"/>
          <w:lang w:val="en-US" w:eastAsia="zh-CN" w:bidi="ar"/>
        </w:rPr>
        <w:t>0</w:t>
      </w:r>
      <w:r>
        <w:rPr>
          <w:rFonts w:hint="default" w:ascii="Times New Roman" w:hAnsi="Times New Roman" w:eastAsia="宋体" w:cs="Times New Roman"/>
          <w:color w:val="000000"/>
          <w:kern w:val="0"/>
          <w:sz w:val="24"/>
          <w:szCs w:val="24"/>
          <w:lang w:val="en-US" w:eastAsia="zh-CN" w:bidi="ar"/>
        </w:rPr>
        <w:t xml:space="preserve">: </w:t>
      </w:r>
      <w:bookmarkStart w:id="33" w:name="OLE_LINK21"/>
      <w:r>
        <w:rPr>
          <w:rFonts w:hint="eastAsia" w:cs="Times New Roman"/>
          <w:color w:val="000000"/>
          <w:kern w:val="0"/>
          <w:sz w:val="24"/>
          <w:szCs w:val="24"/>
          <w:lang w:val="en-US" w:eastAsia="zh-CN" w:bidi="ar"/>
        </w:rPr>
        <w:t>T</w:t>
      </w:r>
      <w:r>
        <w:rPr>
          <w:rFonts w:hint="default" w:ascii="Times New Roman" w:hAnsi="Times New Roman" w:cs="Times New Roman"/>
          <w:sz w:val="24"/>
          <w:szCs w:val="24"/>
          <w:lang w:bidi="ar"/>
        </w:rPr>
        <w:t>he 3-year PFS rate in the AC group was 78.0%</w:t>
      </w:r>
      <w:r>
        <w:rPr>
          <w:rFonts w:hint="eastAsia" w:cs="Times New Roman"/>
          <w:sz w:val="24"/>
          <w:szCs w:val="24"/>
          <w:lang w:val="en-US" w:eastAsia="zh-CN" w:bidi="ar"/>
        </w:rPr>
        <w:t>;</w:t>
      </w:r>
      <w:bookmarkEnd w:id="33"/>
    </w:p>
    <w:p>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H</w:t>
      </w:r>
      <w:r>
        <w:rPr>
          <w:rFonts w:hint="default" w:ascii="Times New Roman" w:hAnsi="Times New Roman" w:eastAsia="宋体" w:cs="Times New Roman"/>
          <w:color w:val="000000"/>
          <w:kern w:val="0"/>
          <w:sz w:val="16"/>
          <w:szCs w:val="16"/>
          <w:lang w:val="en-US" w:eastAsia="zh-CN" w:bidi="ar"/>
        </w:rPr>
        <w:t>A</w:t>
      </w:r>
      <w:r>
        <w:rPr>
          <w:rFonts w:hint="default" w:ascii="Times New Roman" w:hAnsi="Times New Roman" w:eastAsia="宋体" w:cs="Times New Roman"/>
          <w:color w:val="000000"/>
          <w:kern w:val="0"/>
          <w:sz w:val="24"/>
          <w:szCs w:val="24"/>
          <w:lang w:val="en-US" w:eastAsia="zh-CN" w:bidi="ar"/>
        </w:rPr>
        <w:t xml:space="preserve">: </w:t>
      </w:r>
      <w:r>
        <w:rPr>
          <w:rFonts w:hint="eastAsia" w:cs="Times New Roman"/>
          <w:color w:val="000000"/>
          <w:kern w:val="0"/>
          <w:sz w:val="24"/>
          <w:szCs w:val="24"/>
          <w:lang w:val="en-US" w:eastAsia="zh-CN" w:bidi="ar"/>
        </w:rPr>
        <w:t>T</w:t>
      </w:r>
      <w:r>
        <w:rPr>
          <w:rFonts w:hint="default" w:ascii="Times New Roman" w:hAnsi="Times New Roman" w:cs="Times New Roman"/>
          <w:sz w:val="24"/>
          <w:szCs w:val="24"/>
          <w:lang w:bidi="ar"/>
        </w:rPr>
        <w:t xml:space="preserve">he 3-year PFS rate in the </w:t>
      </w:r>
      <w:r>
        <w:rPr>
          <w:rFonts w:hint="eastAsia" w:ascii="Times New Roman" w:hAnsi="Times New Roman" w:cs="Times New Roman"/>
          <w:sz w:val="24"/>
          <w:szCs w:val="24"/>
          <w:lang w:val="en-US" w:eastAsia="zh-CN" w:bidi="ar"/>
        </w:rPr>
        <w:t>I</w:t>
      </w:r>
      <w:r>
        <w:rPr>
          <w:rFonts w:hint="default" w:ascii="Times New Roman" w:hAnsi="Times New Roman" w:cs="Times New Roman"/>
          <w:sz w:val="24"/>
          <w:szCs w:val="24"/>
          <w:lang w:bidi="ar"/>
        </w:rPr>
        <w:t>C group was</w:t>
      </w:r>
      <w:r>
        <w:rPr>
          <w:rFonts w:hint="default" w:ascii="Times New Roman" w:hAnsi="Times New Roman" w:eastAsia="宋体" w:cs="Times New Roman"/>
          <w:color w:val="000000"/>
          <w:kern w:val="0"/>
          <w:sz w:val="24"/>
          <w:szCs w:val="24"/>
          <w:lang w:val="en-US" w:eastAsia="zh-CN" w:bidi="ar"/>
        </w:rPr>
        <w:t xml:space="preserve"> 90%.</w:t>
      </w:r>
    </w:p>
    <w:p>
      <w:pPr>
        <w:widowControl/>
        <w:spacing w:line="360" w:lineRule="auto"/>
        <w:jc w:val="both"/>
        <w:rPr>
          <w:rFonts w:ascii="Times New Roman" w:hAnsi="Times New Roman" w:eastAsia="AdvOTd710a12c" w:cs="Times New Roman"/>
          <w:color w:val="000000"/>
          <w:sz w:val="24"/>
          <w:szCs w:val="24"/>
          <w:lang w:bidi="ar"/>
        </w:rPr>
      </w:pPr>
      <w:r>
        <w:rPr>
          <w:rFonts w:hint="default" w:ascii="Times New Roman" w:hAnsi="Times New Roman" w:cs="Times New Roman"/>
          <w:sz w:val="24"/>
          <w:szCs w:val="24"/>
          <w:lang w:bidi="ar"/>
        </w:rPr>
        <w:t>W</w:t>
      </w:r>
      <w:r>
        <w:rPr>
          <w:rFonts w:ascii="Times New Roman" w:hAnsi="Times New Roman" w:cs="Times New Roman"/>
          <w:sz w:val="24"/>
          <w:szCs w:val="24"/>
          <w:lang w:bidi="ar"/>
        </w:rPr>
        <w:t xml:space="preserve">hen the 3-year PFS rate in the AC group was 78.0% (estimated based on historical data) </w:t>
      </w:r>
      <w:r>
        <w:rPr>
          <w:rFonts w:hint="eastAsia" w:ascii="Times New Roman" w:hAnsi="Times New Roman" w:cs="Times New Roman"/>
          <w:sz w:val="24"/>
          <w:szCs w:val="24"/>
          <w:lang w:val="en-US" w:eastAsia="zh-CN" w:bidi="ar"/>
        </w:rPr>
        <w:t>,t</w:t>
      </w:r>
      <w:r>
        <w:rPr>
          <w:rFonts w:ascii="Times New Roman" w:hAnsi="Times New Roman" w:cs="Times New Roman"/>
          <w:sz w:val="24"/>
          <w:szCs w:val="24"/>
          <w:lang w:bidi="ar"/>
        </w:rPr>
        <w:t xml:space="preserve">his would correspond to a 12.0% improvement in 3-year PFS </w:t>
      </w:r>
      <w:r>
        <w:rPr>
          <w:rFonts w:hint="default" w:ascii="Times New Roman" w:hAnsi="Times New Roman" w:cs="Times New Roman"/>
          <w:sz w:val="24"/>
          <w:szCs w:val="24"/>
          <w:lang w:bidi="ar"/>
        </w:rPr>
        <w:t>in the IC group</w:t>
      </w:r>
      <w:r>
        <w:rPr>
          <w:rFonts w:hint="eastAsia" w:ascii="Times New Roman" w:hAnsi="Times New Roman" w:cs="Times New Roman"/>
          <w:sz w:val="24"/>
          <w:szCs w:val="24"/>
          <w:lang w:val="en-US" w:eastAsia="zh-CN" w:bidi="ar"/>
        </w:rPr>
        <w:t>.</w:t>
      </w:r>
      <w:r>
        <w:rPr>
          <w:rFonts w:ascii="Times New Roman" w:hAnsi="Times New Roman" w:eastAsia="AdvOTd710a12c" w:cs="Times New Roman"/>
          <w:color w:val="000000"/>
          <w:sz w:val="24"/>
          <w:szCs w:val="24"/>
          <w:lang w:bidi="ar"/>
        </w:rPr>
        <w:t>Considering the potential bene</w:t>
      </w:r>
      <w:r>
        <w:rPr>
          <w:rFonts w:ascii="Times New Roman" w:hAnsi="Times New Roman" w:eastAsia="AdvOTd710a12c + fb" w:cs="Times New Roman"/>
          <w:color w:val="000000"/>
          <w:sz w:val="24"/>
          <w:szCs w:val="24"/>
          <w:lang w:bidi="ar"/>
        </w:rPr>
        <w:t>fi</w:t>
      </w:r>
      <w:r>
        <w:rPr>
          <w:rFonts w:ascii="Times New Roman" w:hAnsi="Times New Roman" w:eastAsia="AdvOTd710a12c" w:cs="Times New Roman"/>
          <w:color w:val="000000"/>
          <w:sz w:val="24"/>
          <w:szCs w:val="24"/>
          <w:lang w:bidi="ar"/>
        </w:rPr>
        <w:t>ts of improved survival brought by IC, we supposed that it would take 2 years for patient</w:t>
      </w:r>
      <w:r>
        <w:rPr>
          <w:rFonts w:ascii="Times New Roman" w:hAnsi="Times New Roman" w:eastAsia="AdvOTd710a12c + 20" w:cs="Times New Roman"/>
          <w:color w:val="000000"/>
          <w:sz w:val="24"/>
          <w:szCs w:val="24"/>
          <w:lang w:bidi="ar"/>
        </w:rPr>
        <w:t xml:space="preserve"> </w:t>
      </w:r>
      <w:r>
        <w:rPr>
          <w:rFonts w:ascii="Times New Roman" w:hAnsi="Times New Roman" w:eastAsia="AdvOTd710a12c" w:cs="Times New Roman"/>
          <w:color w:val="000000"/>
          <w:sz w:val="24"/>
          <w:szCs w:val="24"/>
          <w:lang w:bidi="ar"/>
        </w:rPr>
        <w:t>enrollment and 3 years for follow-up. Given a 15% drop-out rate and a 5% two-sided type I error rate, at least 266 patients (133 in each group) would be required to achieve 80% power in the trial.</w:t>
      </w:r>
    </w:p>
    <w:p>
      <w:pPr>
        <w:keepNext w:val="0"/>
        <w:keepLines w:val="0"/>
        <w:widowControl/>
        <w:suppressLineNumbers w:val="0"/>
        <w:jc w:val="left"/>
        <w:rPr>
          <w:rFonts w:hint="default" w:ascii="Times New Roman" w:hAnsi="Times New Roman" w:eastAsia="宋体" w:cs="Times New Roman"/>
          <w:color w:val="000000"/>
          <w:sz w:val="24"/>
          <w:szCs w:val="24"/>
          <w:lang w:val="en-US" w:eastAsia="zh-CN" w:bidi="ar"/>
        </w:rPr>
      </w:pPr>
      <w:r>
        <w:rPr>
          <w:rFonts w:hint="default" w:ascii="Times New Roman" w:hAnsi="Times New Roman" w:cs="Times New Roman"/>
          <w:b/>
          <w:bCs/>
          <w:color w:val="000000"/>
          <w:sz w:val="24"/>
          <w:szCs w:val="24"/>
          <w:lang w:val="en-US" w:eastAsia="zh-CN" w:bidi="ar"/>
        </w:rPr>
        <w:t xml:space="preserve">11.3 </w:t>
      </w:r>
      <w:r>
        <w:rPr>
          <w:rFonts w:hint="default" w:ascii="Times New Roman" w:hAnsi="Times New Roman" w:eastAsia="TimesNewRomanPS-BoldMT" w:cs="Times New Roman"/>
          <w:b/>
          <w:bCs/>
          <w:color w:val="000000"/>
          <w:kern w:val="0"/>
          <w:sz w:val="24"/>
          <w:szCs w:val="24"/>
          <w:lang w:val="en-US" w:eastAsia="zh-CN" w:bidi="ar"/>
        </w:rPr>
        <w:t>Analytical method</w:t>
      </w:r>
    </w:p>
    <w:p>
      <w:pPr>
        <w:widowControl w:val="0"/>
        <w:spacing w:line="360" w:lineRule="auto"/>
        <w:rPr>
          <w:rFonts w:hint="default" w:ascii="Times New Roman" w:hAnsi="Times New Roman" w:cs="Times New Roman"/>
          <w:sz w:val="24"/>
          <w:szCs w:val="24"/>
        </w:rPr>
      </w:pPr>
      <w:r>
        <w:rPr>
          <w:rFonts w:hint="default" w:ascii="Times New Roman" w:hAnsi="Times New Roman" w:cs="Times New Roman"/>
          <w:sz w:val="24"/>
          <w:szCs w:val="24"/>
          <w:lang w:bidi="ar"/>
        </w:rPr>
        <w:t xml:space="preserve">The primary analysis was conducted on the intention-to-treat population, </w:t>
      </w:r>
      <w:r>
        <w:rPr>
          <w:rFonts w:hint="eastAsia" w:ascii="Times New Roman" w:hAnsi="Times New Roman" w:cs="Times New Roman"/>
          <w:sz w:val="24"/>
          <w:szCs w:val="24"/>
          <w:lang w:val="en-US" w:eastAsia="zh-CN" w:bidi="ar"/>
        </w:rPr>
        <w:t xml:space="preserve">which </w:t>
      </w:r>
      <w:r>
        <w:rPr>
          <w:rFonts w:hint="default" w:ascii="Times New Roman" w:hAnsi="Times New Roman" w:cs="Times New Roman"/>
          <w:sz w:val="24"/>
          <w:szCs w:val="24"/>
          <w:lang w:bidi="ar"/>
        </w:rPr>
        <w:t>consist</w:t>
      </w:r>
      <w:r>
        <w:rPr>
          <w:rFonts w:hint="eastAsia" w:ascii="Times New Roman" w:hAnsi="Times New Roman" w:cs="Times New Roman"/>
          <w:sz w:val="24"/>
          <w:szCs w:val="24"/>
          <w:lang w:val="en-US" w:eastAsia="zh-CN" w:bidi="ar"/>
        </w:rPr>
        <w:t>ed</w:t>
      </w:r>
      <w:r>
        <w:rPr>
          <w:rFonts w:hint="default" w:ascii="Times New Roman" w:hAnsi="Times New Roman" w:cs="Times New Roman"/>
          <w:sz w:val="24"/>
          <w:szCs w:val="24"/>
          <w:lang w:bidi="ar"/>
        </w:rPr>
        <w:t xml:space="preserve"> of participants who were randomly assigned. Sensitivity analysis was performed on the per-protocol population, </w:t>
      </w:r>
      <w:r>
        <w:rPr>
          <w:rFonts w:hint="eastAsia" w:ascii="Times New Roman" w:hAnsi="Times New Roman" w:cs="Times New Roman"/>
          <w:sz w:val="24"/>
          <w:szCs w:val="24"/>
          <w:lang w:val="en-US" w:eastAsia="zh-CN" w:bidi="ar"/>
        </w:rPr>
        <w:t>and</w:t>
      </w:r>
      <w:r>
        <w:rPr>
          <w:rFonts w:hint="default" w:ascii="Times New Roman" w:hAnsi="Times New Roman" w:cs="Times New Roman"/>
          <w:sz w:val="24"/>
          <w:szCs w:val="24"/>
          <w:lang w:bidi="ar"/>
        </w:rPr>
        <w:t xml:space="preserve"> toxicity analysis was carried out on the safety population who received at least two cycle</w:t>
      </w:r>
      <w:r>
        <w:rPr>
          <w:rFonts w:hint="eastAsia" w:ascii="Times New Roman" w:hAnsi="Times New Roman" w:cs="Times New Roman"/>
          <w:sz w:val="24"/>
          <w:szCs w:val="24"/>
          <w:lang w:val="en-US" w:eastAsia="zh-CN" w:bidi="ar"/>
        </w:rPr>
        <w:t>s</w:t>
      </w:r>
      <w:r>
        <w:rPr>
          <w:rFonts w:hint="default" w:ascii="Times New Roman" w:hAnsi="Times New Roman" w:cs="Times New Roman"/>
          <w:sz w:val="24"/>
          <w:szCs w:val="24"/>
          <w:lang w:bidi="ar"/>
        </w:rPr>
        <w:t xml:space="preserve"> of </w:t>
      </w:r>
      <w:r>
        <w:rPr>
          <w:rFonts w:hint="eastAsia" w:ascii="Times New Roman" w:hAnsi="Times New Roman" w:cs="Times New Roman"/>
          <w:sz w:val="24"/>
          <w:szCs w:val="24"/>
          <w:lang w:val="en-US" w:eastAsia="zh-CN" w:bidi="ar"/>
        </w:rPr>
        <w:t>CCRT</w:t>
      </w:r>
      <w:r>
        <w:rPr>
          <w:rFonts w:hint="default" w:ascii="Times New Roman" w:hAnsi="Times New Roman" w:cs="Times New Roman"/>
          <w:sz w:val="24"/>
          <w:szCs w:val="24"/>
          <w:lang w:bidi="ar"/>
        </w:rPr>
        <w:t xml:space="preserve"> and two cycles of</w:t>
      </w:r>
      <w:r>
        <w:rPr>
          <w:rFonts w:hint="eastAsia" w:ascii="Times New Roman" w:hAnsi="Times New Roman" w:cs="Times New Roman"/>
          <w:sz w:val="24"/>
          <w:szCs w:val="24"/>
          <w:lang w:val="en-US" w:eastAsia="zh-CN" w:bidi="ar"/>
        </w:rPr>
        <w:t xml:space="preserve"> IC or</w:t>
      </w:r>
      <w:r>
        <w:rPr>
          <w:rFonts w:hint="default" w:ascii="Times New Roman" w:hAnsi="Times New Roman" w:cs="Times New Roman"/>
          <w:sz w:val="24"/>
          <w:szCs w:val="24"/>
          <w:lang w:bidi="ar"/>
        </w:rPr>
        <w:t xml:space="preserve"> </w:t>
      </w:r>
      <w:r>
        <w:rPr>
          <w:rFonts w:hint="eastAsia" w:ascii="Times New Roman" w:hAnsi="Times New Roman" w:cs="Times New Roman"/>
          <w:sz w:val="24"/>
          <w:szCs w:val="24"/>
          <w:lang w:val="en-US" w:eastAsia="zh-CN" w:bidi="ar"/>
        </w:rPr>
        <w:t>AC</w:t>
      </w:r>
      <w:r>
        <w:rPr>
          <w:rFonts w:hint="default" w:ascii="Times New Roman" w:hAnsi="Times New Roman" w:cs="Times New Roman"/>
          <w:sz w:val="24"/>
          <w:szCs w:val="24"/>
          <w:lang w:bidi="ar"/>
        </w:rPr>
        <w:t xml:space="preserve"> or radiotherapy interrupted for less than 10 days.</w:t>
      </w:r>
      <w:r>
        <w:rPr>
          <w:rFonts w:ascii="Times New Roman" w:hAnsi="Times New Roman" w:cs="Times New Roman"/>
          <w:sz w:val="24"/>
          <w:szCs w:val="24"/>
          <w:lang w:bidi="ar"/>
        </w:rPr>
        <w:t xml:space="preserve"> We estimated PFS</w:t>
      </w:r>
      <w:r>
        <w:rPr>
          <w:rFonts w:hint="default" w:ascii="Times New Roman" w:hAnsi="Times New Roman" w:cs="Times New Roman"/>
          <w:sz w:val="24"/>
          <w:szCs w:val="24"/>
          <w:lang w:bidi="ar"/>
        </w:rPr>
        <w:t xml:space="preserve">, </w:t>
      </w:r>
      <w:r>
        <w:rPr>
          <w:rFonts w:ascii="Times New Roman" w:hAnsi="Times New Roman" w:cs="Times New Roman"/>
          <w:sz w:val="24"/>
          <w:szCs w:val="24"/>
          <w:lang w:bidi="ar"/>
        </w:rPr>
        <w:t>OS</w:t>
      </w:r>
      <w:r>
        <w:rPr>
          <w:rFonts w:hint="default" w:ascii="Times New Roman" w:hAnsi="Times New Roman" w:cs="Times New Roman"/>
          <w:sz w:val="24"/>
          <w:szCs w:val="24"/>
          <w:lang w:bidi="ar"/>
        </w:rPr>
        <w:t>, LRFS and DMFS</w:t>
      </w:r>
      <w:r>
        <w:rPr>
          <w:rFonts w:ascii="Times New Roman" w:hAnsi="Times New Roman" w:cs="Times New Roman"/>
          <w:sz w:val="24"/>
          <w:szCs w:val="24"/>
          <w:lang w:bidi="ar"/>
        </w:rPr>
        <w:t xml:space="preserve"> </w:t>
      </w:r>
      <w:r>
        <w:rPr>
          <w:rFonts w:hint="eastAsia" w:ascii="Times New Roman" w:hAnsi="Times New Roman" w:cs="Times New Roman"/>
          <w:sz w:val="24"/>
          <w:szCs w:val="24"/>
          <w:lang w:val="en-US" w:eastAsia="zh-CN" w:bidi="ar"/>
        </w:rPr>
        <w:t>using</w:t>
      </w:r>
      <w:r>
        <w:rPr>
          <w:rFonts w:ascii="Times New Roman" w:hAnsi="Times New Roman" w:cs="Times New Roman"/>
          <w:sz w:val="24"/>
          <w:szCs w:val="24"/>
          <w:lang w:bidi="ar"/>
        </w:rPr>
        <w:t xml:space="preserve"> Kaplan-Meier curves, and compared the difference with the log-rank test. Hazard ratios (HRs) for PFS, OS, LRFS and DMFS were determined using a Cox proportional hazards model, and the proportional hazards assumption was based on the Schoenfeld</w:t>
      </w:r>
      <w:r>
        <w:rPr>
          <w:rFonts w:ascii="Times New Roman" w:hAnsi="Times New Roman" w:cs="Times New Roman"/>
          <w:color w:val="0000FF"/>
          <w:sz w:val="24"/>
          <w:szCs w:val="24"/>
          <w:lang w:bidi="ar"/>
        </w:rPr>
        <w:t xml:space="preserve"> </w:t>
      </w:r>
      <w:r>
        <w:rPr>
          <w:rFonts w:ascii="Times New Roman" w:hAnsi="Times New Roman" w:cs="Times New Roman"/>
          <w:sz w:val="24"/>
          <w:szCs w:val="24"/>
          <w:lang w:bidi="ar"/>
        </w:rPr>
        <w:t xml:space="preserve">residuals. Preplanned subgroup survival analysis was performed according to </w:t>
      </w:r>
      <w:r>
        <w:rPr>
          <w:rFonts w:hint="default" w:ascii="Times New Roman" w:hAnsi="Times New Roman" w:cs="Times New Roman"/>
          <w:sz w:val="24"/>
          <w:szCs w:val="24"/>
          <w:lang w:bidi="ar"/>
        </w:rPr>
        <w:t>pre-treatment EBV DNA copies(</w:t>
      </w:r>
      <w:r>
        <w:rPr>
          <w:rFonts w:hint="default" w:ascii="Times New Roman" w:hAnsi="Times New Roman" w:cs="Times New Roman"/>
          <w:sz w:val="24"/>
          <w:szCs w:val="24"/>
          <w:lang w:val="en-US" w:eastAsia="zh-CN" w:bidi="ar"/>
        </w:rPr>
        <w:t>detected</w:t>
      </w:r>
      <w:r>
        <w:rPr>
          <w:rFonts w:hint="default" w:ascii="Times New Roman" w:hAnsi="Times New Roman" w:cs="Times New Roman"/>
          <w:sz w:val="24"/>
          <w:szCs w:val="24"/>
          <w:lang w:bidi="ar"/>
        </w:rPr>
        <w:t xml:space="preserve"> or </w:t>
      </w:r>
      <w:r>
        <w:rPr>
          <w:rFonts w:hint="default" w:ascii="Times New Roman" w:hAnsi="Times New Roman" w:cs="Times New Roman"/>
          <w:sz w:val="24"/>
          <w:szCs w:val="24"/>
          <w:lang w:val="en-US" w:eastAsia="zh-CN" w:bidi="ar"/>
        </w:rPr>
        <w:t>undetected</w:t>
      </w:r>
      <w:r>
        <w:rPr>
          <w:rFonts w:hint="default" w:ascii="Times New Roman" w:hAnsi="Times New Roman" w:cs="Times New Roman"/>
          <w:sz w:val="24"/>
          <w:szCs w:val="24"/>
          <w:lang w:bidi="ar"/>
        </w:rPr>
        <w:t xml:space="preserve">) and </w:t>
      </w:r>
      <w:r>
        <w:rPr>
          <w:rFonts w:ascii="Times New Roman" w:hAnsi="Times New Roman" w:cs="Times New Roman"/>
          <w:sz w:val="24"/>
          <w:szCs w:val="24"/>
          <w:lang w:bidi="ar"/>
        </w:rPr>
        <w:t>the clinical stage (stage III or IV</w:t>
      </w:r>
      <w:r>
        <w:rPr>
          <w:rFonts w:hint="default" w:ascii="Times New Roman" w:hAnsi="Times New Roman" w:cs="Times New Roman"/>
          <w:sz w:val="24"/>
          <w:szCs w:val="24"/>
          <w:lang w:val="en-US" w:eastAsia="zh-CN" w:bidi="ar"/>
        </w:rPr>
        <w:t>a</w:t>
      </w:r>
      <w:r>
        <w:rPr>
          <w:rFonts w:ascii="Times New Roman" w:hAnsi="Times New Roman" w:cs="Times New Roman"/>
          <w:sz w:val="24"/>
          <w:szCs w:val="24"/>
          <w:lang w:bidi="ar"/>
        </w:rPr>
        <w:t>).Categorical variables were compared using either the χ2 test or Fisher's exact test, as appropriate.</w:t>
      </w:r>
      <w:r>
        <w:rPr>
          <w:rFonts w:ascii="Times New Roman" w:hAnsi="Times New Roman" w:cs="Times New Roman"/>
          <w:sz w:val="24"/>
          <w:szCs w:val="24"/>
        </w:rPr>
        <w:t>Data analysis was performed using SPSS 26.0.</w:t>
      </w:r>
      <w:r>
        <w:rPr>
          <w:rFonts w:hint="default" w:ascii="Times New Roman" w:hAnsi="Times New Roman" w:cs="Times New Roman"/>
          <w:sz w:val="24"/>
          <w:szCs w:val="24"/>
        </w:rPr>
        <w:t xml:space="preserve">The significance level for type I error was established at 0.05, while the endpoint test utilized a two-sided </w:t>
      </w:r>
      <w:r>
        <w:rPr>
          <w:rFonts w:hint="eastAsia" w:ascii="Times New Roman" w:hAnsi="Times New Roman" w:cs="Times New Roman"/>
          <w:sz w:val="24"/>
          <w:szCs w:val="24"/>
          <w:lang w:val="en-US" w:eastAsia="zh-CN"/>
        </w:rPr>
        <w:t>p</w:t>
      </w:r>
      <w:r>
        <w:rPr>
          <w:rFonts w:hint="default" w:ascii="Times New Roman" w:hAnsi="Times New Roman" w:cs="Times New Roman"/>
          <w:sz w:val="24"/>
          <w:szCs w:val="24"/>
        </w:rPr>
        <w:t xml:space="preserve"> value.</w:t>
      </w:r>
    </w:p>
    <w:p>
      <w:pPr>
        <w:widowControl w:val="0"/>
        <w:spacing w:line="360" w:lineRule="auto"/>
        <w:rPr>
          <w:rFonts w:hint="default" w:ascii="Times New Roman" w:hAnsi="Times New Roman" w:cs="Times New Roman"/>
          <w:sz w:val="24"/>
          <w:szCs w:val="24"/>
        </w:rPr>
      </w:pPr>
    </w:p>
    <w:p>
      <w:pPr>
        <w:keepNext w:val="0"/>
        <w:keepLines w:val="0"/>
        <w:widowControl/>
        <w:suppressLineNumbers w:val="0"/>
        <w:jc w:val="left"/>
        <w:rPr>
          <w:rFonts w:hint="default" w:ascii="Times New Roman" w:hAnsi="Times New Roman" w:cs="Times New Roman"/>
          <w:sz w:val="24"/>
          <w:szCs w:val="24"/>
        </w:rPr>
      </w:pPr>
      <w:r>
        <w:rPr>
          <w:rFonts w:hint="default" w:ascii="Times New Roman" w:hAnsi="Times New Roman" w:eastAsia="TimesNewRomanPS-BoldMT" w:cs="Times New Roman"/>
          <w:b/>
          <w:bCs/>
          <w:color w:val="000000"/>
          <w:kern w:val="0"/>
          <w:sz w:val="24"/>
          <w:szCs w:val="24"/>
          <w:lang w:val="en-US" w:eastAsia="zh-CN" w:bidi="ar"/>
        </w:rPr>
        <w:t>12. Ethical Considerations</w:t>
      </w:r>
    </w:p>
    <w:p>
      <w:pPr>
        <w:widowControl w:val="0"/>
        <w:spacing w:line="360" w:lineRule="auto"/>
        <w:rPr>
          <w:rFonts w:ascii="Times New Roman" w:hAnsi="Times New Roman" w:cs="Times New Roman"/>
          <w:sz w:val="24"/>
          <w:szCs w:val="24"/>
        </w:rPr>
      </w:pPr>
      <w:r>
        <w:rPr>
          <w:rFonts w:ascii="Times New Roman" w:hAnsi="Times New Roman" w:cs="Times New Roman"/>
          <w:sz w:val="24"/>
          <w:szCs w:val="24"/>
          <w:lang w:bidi="ar"/>
        </w:rPr>
        <w:t>The research was conducted following the guidelines of the Declaration of Helsinki and International Conference on Harmonization of Good Clinical Practice. The trial protocol received approval from the ethics review board</w:t>
      </w:r>
      <w:r>
        <w:rPr>
          <w:rFonts w:hint="eastAsia" w:ascii="Times New Roman" w:hAnsi="Times New Roman" w:cs="Times New Roman"/>
          <w:sz w:val="24"/>
          <w:szCs w:val="24"/>
          <w:lang w:val="en-US" w:eastAsia="zh-CN" w:bidi="ar"/>
        </w:rPr>
        <w:t>s</w:t>
      </w:r>
      <w:r>
        <w:rPr>
          <w:rFonts w:ascii="Times New Roman" w:hAnsi="Times New Roman" w:cs="Times New Roman"/>
          <w:sz w:val="24"/>
          <w:szCs w:val="24"/>
          <w:lang w:bidi="ar"/>
        </w:rPr>
        <w:t xml:space="preserve"> at the </w:t>
      </w:r>
      <w:r>
        <w:rPr>
          <w:rFonts w:hint="default" w:ascii="Times New Roman" w:hAnsi="Times New Roman" w:cs="Times New Roman"/>
          <w:sz w:val="24"/>
          <w:szCs w:val="24"/>
          <w:lang w:val="en-US" w:eastAsia="zh-CN" w:bidi="ar"/>
        </w:rPr>
        <w:t xml:space="preserve">four institutions </w:t>
      </w:r>
      <w:r>
        <w:rPr>
          <w:rFonts w:ascii="Times New Roman" w:hAnsi="Times New Roman" w:cs="Times New Roman"/>
          <w:sz w:val="24"/>
          <w:szCs w:val="24"/>
          <w:lang w:bidi="ar"/>
        </w:rPr>
        <w:t>. All patients provided written informed consent for participation in this study.</w:t>
      </w:r>
    </w:p>
    <w:p>
      <w:pPr>
        <w:widowControl w:val="0"/>
        <w:spacing w:line="360" w:lineRule="auto"/>
        <w:rPr>
          <w:rFonts w:hint="default" w:ascii="Times New Roman" w:hAnsi="Times New Roman" w:cs="Times New Roman"/>
          <w:sz w:val="24"/>
          <w:szCs w:val="24"/>
        </w:rPr>
      </w:pPr>
    </w:p>
    <w:p>
      <w:pPr>
        <w:widowControl/>
        <w:spacing w:line="360" w:lineRule="auto"/>
        <w:jc w:val="both"/>
        <w:rPr>
          <w:rFonts w:ascii="Times New Roman" w:hAnsi="Times New Roman" w:eastAsia="AdvOTd710a12c" w:cs="Times New Roman"/>
          <w:color w:val="000000"/>
          <w:sz w:val="24"/>
          <w:szCs w:val="24"/>
          <w:lang w:bidi="ar"/>
        </w:rPr>
      </w:pPr>
    </w:p>
    <w:p>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bookmarkEnd w:id="32"/>
    <w:p>
      <w:pPr>
        <w:keepNext w:val="0"/>
        <w:keepLines w:val="0"/>
        <w:widowControl/>
        <w:suppressLineNumbers w:val="0"/>
        <w:spacing w:line="360" w:lineRule="auto"/>
        <w:jc w:val="left"/>
        <w:rPr>
          <w:rFonts w:hint="default" w:ascii="Times New Roman" w:hAnsi="Times New Roman" w:eastAsia="宋体" w:cs="Times New Roman"/>
          <w:color w:val="000000"/>
          <w:kern w:val="0"/>
          <w:sz w:val="24"/>
          <w:szCs w:val="24"/>
          <w:lang w:val="en-US" w:eastAsia="zh-CN" w:bidi="ar"/>
        </w:rPr>
      </w:pPr>
    </w:p>
    <w:p>
      <w:pPr>
        <w:snapToGrid w:val="0"/>
        <w:spacing w:before="100" w:beforeAutospacing="1" w:after="100" w:afterAutospacing="1" w:line="360" w:lineRule="auto"/>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Attachment 1: The Recommended Clinical Staging (8th edition, 2016) by the International Union Against Cancer (UICC/AJCC)</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T Stage (Primary Tumor):</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T1: Restricted to nasopharynx or involves oral and nasal cavity without invasion of the pharyngeal space</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T2: Pharyngeal space, internal and external oblique muscles of the mandible, pterygoid muscle, and pterygopalatine fossa invasion</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T3: Involves skull base bones or paranasal sinuses (nasal septum, maxillary sinus, pterygopalatine fossa, skull base, cervical vertebrae)</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T4: Intracranial invasion and/or nerve palsy or widespread soft tissue invasion (upper laryngeal pharyngeal, eye orbit, parotid gland, and beyond external pterygoid muscle)</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N Stage (Regional Lymph Nodes):</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NX: Regional lymph nodes cannot be assessed</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N0: No regional lymph node metastasis</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N1: Unilateral, above cricoid cartilage, with a maximum diameter of ≤6cm and/or unilateral or bilateral postcricoid lymph nodes with a maximum diameter of ≤6cm</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N2: Bilateral, above cricoid cartilage, with a maximum diameter of ≤6cm</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N3: Extension to lower neck (below cricoid cartilage including level Ⅳ and Ⅴb) with metastasis or lymph nodes &gt;6cm</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M Stage (Distant Metastasis):</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MX: Distant metastasis cannot be assessed</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M0: No distant metastasis</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M1: Distant metastasis present</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Clinical Stage:</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Stage I: T1N0M0</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Stage II: T2N0M0/ T1-2N1M0</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Stage III: T1-2N2M0/ T3N0-2M0</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Stage IVa: T4N0-2M0 / AnyTN3M0</w:t>
      </w:r>
    </w:p>
    <w:p>
      <w:pPr>
        <w:snapToGrid w:val="0"/>
        <w:spacing w:before="100" w:beforeAutospacing="1" w:after="100" w:afterAutospacing="1" w:line="360" w:lineRule="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Stage IVb: AnyT, N, M1</w:t>
      </w: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p>
      <w:pPr>
        <w:snapToGrid w:val="0"/>
        <w:spacing w:before="100" w:beforeAutospacing="1" w:after="100" w:afterAutospacing="1" w:line="360" w:lineRule="auto"/>
        <w:rPr>
          <w:rFonts w:hint="default" w:ascii="Times New Roman" w:hAnsi="Times New Roman" w:cs="Times New Roman"/>
          <w:color w:val="000000"/>
          <w:sz w:val="24"/>
          <w:szCs w:val="24"/>
        </w:rPr>
      </w:pPr>
    </w:p>
    <w:bookmarkEnd w:id="29"/>
    <w:bookmarkEnd w:id="30"/>
    <w:p>
      <w:pPr>
        <w:pStyle w:val="2"/>
        <w:numPr>
          <w:ilvl w:val="0"/>
          <w:numId w:val="0"/>
        </w:numPr>
        <w:spacing w:after="120"/>
        <w:rPr>
          <w:rFonts w:hint="default" w:ascii="Times New Roman" w:hAnsi="Times New Roman" w:cs="Times New Roman"/>
          <w:snapToGrid/>
          <w:kern w:val="0"/>
          <w:sz w:val="24"/>
          <w:szCs w:val="24"/>
          <w:u w:val="none" w:color="FFFFFF"/>
        </w:rPr>
      </w:pPr>
      <w:r>
        <w:rPr>
          <w:rFonts w:hint="default" w:ascii="Times New Roman" w:hAnsi="Times New Roman" w:cs="Times New Roman"/>
          <w:sz w:val="24"/>
          <w:szCs w:val="24"/>
          <w:u w:val="none" w:color="FFFFFF"/>
        </w:rPr>
        <w:t xml:space="preserve">Attachment </w:t>
      </w:r>
      <w:r>
        <w:rPr>
          <w:rFonts w:hint="default" w:ascii="Times New Roman" w:hAnsi="Times New Roman" w:cs="Times New Roman"/>
          <w:snapToGrid/>
          <w:kern w:val="0"/>
          <w:sz w:val="24"/>
          <w:szCs w:val="24"/>
          <w:u w:val="none" w:color="FFFFFF"/>
        </w:rPr>
        <w:t>2</w:t>
      </w:r>
      <w:r>
        <w:rPr>
          <w:rFonts w:hint="eastAsia" w:ascii="Times New Roman" w:hAnsi="Times New Roman" w:cs="Times New Roman"/>
          <w:snapToGrid/>
          <w:kern w:val="0"/>
          <w:sz w:val="24"/>
          <w:szCs w:val="24"/>
          <w:u w:val="none" w:color="FFFFFF"/>
          <w:lang w:eastAsia="zh-CN"/>
        </w:rPr>
        <w:t>：</w:t>
      </w:r>
      <w:r>
        <w:rPr>
          <w:rFonts w:hint="default" w:ascii="Times New Roman" w:hAnsi="Times New Roman" w:cs="Times New Roman"/>
          <w:snapToGrid/>
          <w:kern w:val="0"/>
          <w:sz w:val="24"/>
          <w:szCs w:val="24"/>
          <w:u w:val="none" w:color="FFFFFF"/>
        </w:rPr>
        <w:t xml:space="preserve"> K arnofsky, scoring standard for physical strength condition</w:t>
      </w:r>
    </w:p>
    <w:tbl>
      <w:tblPr>
        <w:tblStyle w:val="10"/>
        <w:tblW w:w="7106" w:type="dxa"/>
        <w:jc w:val="center"/>
        <w:tblLayout w:type="fixed"/>
        <w:tblCellMar>
          <w:top w:w="0" w:type="dxa"/>
          <w:left w:w="108" w:type="dxa"/>
          <w:bottom w:w="0" w:type="dxa"/>
          <w:right w:w="108" w:type="dxa"/>
        </w:tblCellMar>
      </w:tblPr>
      <w:tblGrid>
        <w:gridCol w:w="1143"/>
        <w:gridCol w:w="5963"/>
      </w:tblGrid>
      <w:tr>
        <w:tblPrEx>
          <w:tblCellMar>
            <w:top w:w="0" w:type="dxa"/>
            <w:left w:w="108" w:type="dxa"/>
            <w:bottom w:w="0" w:type="dxa"/>
            <w:right w:w="108" w:type="dxa"/>
          </w:tblCellMar>
        </w:tblPrEx>
        <w:trPr>
          <w:trHeight w:val="241" w:hRule="atLeast"/>
          <w:jc w:val="center"/>
        </w:trPr>
        <w:tc>
          <w:tcPr>
            <w:tcW w:w="114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b/>
                <w:snapToGrid/>
                <w:kern w:val="0"/>
                <w:sz w:val="24"/>
                <w:szCs w:val="24"/>
                <w:u w:val="none" w:color="FFFFFF"/>
              </w:rPr>
            </w:pPr>
            <w:r>
              <w:rPr>
                <w:rFonts w:hint="default" w:ascii="Times New Roman" w:hAnsi="Times New Roman" w:cs="Times New Roman"/>
                <w:b/>
                <w:snapToGrid/>
                <w:kern w:val="0"/>
                <w:sz w:val="24"/>
                <w:szCs w:val="24"/>
                <w:u w:val="none" w:color="FFFFFF"/>
              </w:rPr>
              <w:t>scoring</w:t>
            </w:r>
          </w:p>
        </w:tc>
        <w:tc>
          <w:tcPr>
            <w:tcW w:w="596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b/>
                <w:snapToGrid/>
                <w:kern w:val="0"/>
                <w:sz w:val="24"/>
                <w:szCs w:val="24"/>
                <w:u w:val="none" w:color="FFFFFF"/>
              </w:rPr>
            </w:pPr>
            <w:r>
              <w:rPr>
                <w:rFonts w:hint="default" w:ascii="Times New Roman" w:hAnsi="Times New Roman" w:cs="Times New Roman"/>
                <w:b/>
                <w:snapToGrid/>
                <w:kern w:val="0"/>
                <w:sz w:val="24"/>
                <w:szCs w:val="24"/>
                <w:u w:val="none" w:color="FFFFFF"/>
              </w:rPr>
              <w:t>activity level</w:t>
            </w:r>
          </w:p>
        </w:tc>
      </w:tr>
      <w:tr>
        <w:tblPrEx>
          <w:tblCellMar>
            <w:top w:w="0" w:type="dxa"/>
            <w:left w:w="108" w:type="dxa"/>
            <w:bottom w:w="0" w:type="dxa"/>
            <w:right w:w="108" w:type="dxa"/>
          </w:tblCellMar>
        </w:tblPrEx>
        <w:trPr>
          <w:trHeight w:val="90" w:hRule="atLeast"/>
          <w:jc w:val="center"/>
        </w:trPr>
        <w:tc>
          <w:tcPr>
            <w:tcW w:w="114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napToGrid/>
                <w:kern w:val="0"/>
                <w:sz w:val="24"/>
                <w:szCs w:val="24"/>
                <w:u w:val="none" w:color="FFFFFF"/>
              </w:rPr>
            </w:pPr>
            <w:r>
              <w:rPr>
                <w:rFonts w:hint="default" w:ascii="Times New Roman" w:hAnsi="Times New Roman" w:cs="Times New Roman"/>
                <w:snapToGrid/>
                <w:kern w:val="0"/>
                <w:sz w:val="24"/>
                <w:szCs w:val="24"/>
                <w:u w:val="none" w:color="FFFFFF"/>
              </w:rPr>
              <w:t>100</w:t>
            </w:r>
          </w:p>
        </w:tc>
        <w:tc>
          <w:tcPr>
            <w:tcW w:w="5963"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napToGrid/>
                <w:kern w:val="0"/>
                <w:sz w:val="24"/>
                <w:szCs w:val="24"/>
                <w:u w:val="none" w:color="FFFFFF"/>
              </w:rPr>
              <w:t>Ability to move normally without symptoms of discomfort or disease</w:t>
            </w:r>
          </w:p>
        </w:tc>
      </w:tr>
      <w:tr>
        <w:tblPrEx>
          <w:tblCellMar>
            <w:top w:w="0" w:type="dxa"/>
            <w:left w:w="108" w:type="dxa"/>
            <w:bottom w:w="0" w:type="dxa"/>
            <w:right w:w="108" w:type="dxa"/>
          </w:tblCellMar>
        </w:tblPrEx>
        <w:trPr>
          <w:trHeight w:val="90" w:hRule="atLeast"/>
          <w:jc w:val="center"/>
        </w:trPr>
        <w:tc>
          <w:tcPr>
            <w:tcW w:w="114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napToGrid/>
                <w:kern w:val="0"/>
                <w:sz w:val="24"/>
                <w:szCs w:val="24"/>
                <w:u w:val="none" w:color="FFFFFF"/>
              </w:rPr>
            </w:pPr>
            <w:r>
              <w:rPr>
                <w:rFonts w:hint="default" w:ascii="Times New Roman" w:hAnsi="Times New Roman" w:cs="Times New Roman"/>
                <w:sz w:val="24"/>
                <w:szCs w:val="24"/>
                <w:u w:val="none" w:color="FFFFFF"/>
              </w:rPr>
              <w:t>90</w:t>
            </w:r>
          </w:p>
        </w:tc>
        <w:tc>
          <w:tcPr>
            <w:tcW w:w="596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Ability to perform normal activities, with mild symptoms</w:t>
            </w:r>
          </w:p>
        </w:tc>
      </w:tr>
      <w:tr>
        <w:tblPrEx>
          <w:tblCellMar>
            <w:top w:w="0" w:type="dxa"/>
            <w:left w:w="108" w:type="dxa"/>
            <w:bottom w:w="0" w:type="dxa"/>
            <w:right w:w="108" w:type="dxa"/>
          </w:tblCellMar>
        </w:tblPrEx>
        <w:trPr>
          <w:trHeight w:val="383" w:hRule="atLeast"/>
          <w:jc w:val="center"/>
        </w:trPr>
        <w:tc>
          <w:tcPr>
            <w:tcW w:w="114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80</w:t>
            </w:r>
          </w:p>
        </w:tc>
        <w:tc>
          <w:tcPr>
            <w:tcW w:w="596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Can barely perform normal activities, with some symptoms or signs</w:t>
            </w:r>
          </w:p>
        </w:tc>
      </w:tr>
      <w:tr>
        <w:tblPrEx>
          <w:tblCellMar>
            <w:top w:w="0" w:type="dxa"/>
            <w:left w:w="108" w:type="dxa"/>
            <w:bottom w:w="0" w:type="dxa"/>
            <w:right w:w="108" w:type="dxa"/>
          </w:tblCellMar>
        </w:tblPrEx>
        <w:trPr>
          <w:trHeight w:val="347" w:hRule="atLeast"/>
          <w:jc w:val="center"/>
        </w:trPr>
        <w:tc>
          <w:tcPr>
            <w:tcW w:w="114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70</w:t>
            </w:r>
          </w:p>
        </w:tc>
        <w:tc>
          <w:tcPr>
            <w:tcW w:w="596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Life can take care of themselves, but can not maintain normal activities or active work</w:t>
            </w:r>
          </w:p>
        </w:tc>
      </w:tr>
      <w:tr>
        <w:tblPrEx>
          <w:tblCellMar>
            <w:top w:w="0" w:type="dxa"/>
            <w:left w:w="108" w:type="dxa"/>
            <w:bottom w:w="0" w:type="dxa"/>
            <w:right w:w="108" w:type="dxa"/>
          </w:tblCellMar>
        </w:tblPrEx>
        <w:trPr>
          <w:trHeight w:val="310" w:hRule="atLeast"/>
          <w:jc w:val="center"/>
        </w:trPr>
        <w:tc>
          <w:tcPr>
            <w:tcW w:w="114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60</w:t>
            </w:r>
          </w:p>
        </w:tc>
        <w:tc>
          <w:tcPr>
            <w:tcW w:w="596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I occasionally need help from others in my life, but I can take care of myself most of the time</w:t>
            </w:r>
          </w:p>
        </w:tc>
      </w:tr>
      <w:tr>
        <w:tblPrEx>
          <w:tblCellMar>
            <w:top w:w="0" w:type="dxa"/>
            <w:left w:w="108" w:type="dxa"/>
            <w:bottom w:w="0" w:type="dxa"/>
            <w:right w:w="108" w:type="dxa"/>
          </w:tblCellMar>
        </w:tblPrEx>
        <w:trPr>
          <w:trHeight w:val="374" w:hRule="atLeast"/>
          <w:jc w:val="center"/>
        </w:trPr>
        <w:tc>
          <w:tcPr>
            <w:tcW w:w="114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50</w:t>
            </w:r>
          </w:p>
        </w:tc>
        <w:tc>
          <w:tcPr>
            <w:tcW w:w="596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Life is often need the help of others, or frequent medical care</w:t>
            </w:r>
          </w:p>
        </w:tc>
      </w:tr>
      <w:tr>
        <w:tblPrEx>
          <w:tblCellMar>
            <w:top w:w="0" w:type="dxa"/>
            <w:left w:w="108" w:type="dxa"/>
            <w:bottom w:w="0" w:type="dxa"/>
            <w:right w:w="108" w:type="dxa"/>
          </w:tblCellMar>
        </w:tblPrEx>
        <w:trPr>
          <w:trHeight w:val="347" w:hRule="atLeast"/>
          <w:jc w:val="center"/>
        </w:trPr>
        <w:tc>
          <w:tcPr>
            <w:tcW w:w="114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40</w:t>
            </w:r>
          </w:p>
        </w:tc>
        <w:tc>
          <w:tcPr>
            <w:tcW w:w="596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They cannot take care of themselves and need special help and care</w:t>
            </w:r>
          </w:p>
        </w:tc>
      </w:tr>
      <w:tr>
        <w:tblPrEx>
          <w:tblCellMar>
            <w:top w:w="0" w:type="dxa"/>
            <w:left w:w="108" w:type="dxa"/>
            <w:bottom w:w="0" w:type="dxa"/>
            <w:right w:w="108" w:type="dxa"/>
          </w:tblCellMar>
        </w:tblPrEx>
        <w:trPr>
          <w:trHeight w:val="355" w:hRule="atLeast"/>
          <w:jc w:val="center"/>
        </w:trPr>
        <w:tc>
          <w:tcPr>
            <w:tcW w:w="114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30</w:t>
            </w:r>
          </w:p>
        </w:tc>
        <w:tc>
          <w:tcPr>
            <w:tcW w:w="596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Life is completely can not take care of themselves, should be hospitalized, but there is no risk of death</w:t>
            </w:r>
          </w:p>
        </w:tc>
      </w:tr>
      <w:tr>
        <w:tblPrEx>
          <w:tblCellMar>
            <w:top w:w="0" w:type="dxa"/>
            <w:left w:w="108" w:type="dxa"/>
            <w:bottom w:w="0" w:type="dxa"/>
            <w:right w:w="108" w:type="dxa"/>
          </w:tblCellMar>
        </w:tblPrEx>
        <w:trPr>
          <w:trHeight w:val="283" w:hRule="atLeast"/>
          <w:jc w:val="center"/>
        </w:trPr>
        <w:tc>
          <w:tcPr>
            <w:tcW w:w="114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20</w:t>
            </w:r>
          </w:p>
        </w:tc>
        <w:tc>
          <w:tcPr>
            <w:tcW w:w="596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Must be hospitalized, become seriously ill, and require active supportive care</w:t>
            </w:r>
          </w:p>
        </w:tc>
      </w:tr>
      <w:tr>
        <w:tblPrEx>
          <w:tblCellMar>
            <w:top w:w="0" w:type="dxa"/>
            <w:left w:w="108" w:type="dxa"/>
            <w:bottom w:w="0" w:type="dxa"/>
            <w:right w:w="108" w:type="dxa"/>
          </w:tblCellMar>
        </w:tblPrEx>
        <w:trPr>
          <w:trHeight w:val="320" w:hRule="atLeast"/>
          <w:jc w:val="center"/>
        </w:trPr>
        <w:tc>
          <w:tcPr>
            <w:tcW w:w="114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10</w:t>
            </w:r>
          </w:p>
        </w:tc>
        <w:tc>
          <w:tcPr>
            <w:tcW w:w="5963"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Critical condition, near death</w:t>
            </w:r>
          </w:p>
        </w:tc>
      </w:tr>
      <w:tr>
        <w:tblPrEx>
          <w:tblCellMar>
            <w:top w:w="0" w:type="dxa"/>
            <w:left w:w="108" w:type="dxa"/>
            <w:bottom w:w="0" w:type="dxa"/>
            <w:right w:w="108" w:type="dxa"/>
          </w:tblCellMar>
        </w:tblPrEx>
        <w:trPr>
          <w:trHeight w:val="90" w:hRule="atLeast"/>
          <w:jc w:val="center"/>
        </w:trPr>
        <w:tc>
          <w:tcPr>
            <w:tcW w:w="1143"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0</w:t>
            </w:r>
          </w:p>
        </w:tc>
        <w:tc>
          <w:tcPr>
            <w:tcW w:w="5963"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outlineLvl w:val="9"/>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die</w:t>
            </w:r>
          </w:p>
        </w:tc>
      </w:tr>
    </w:tbl>
    <w:p>
      <w:pPr>
        <w:pStyle w:val="2"/>
        <w:numPr>
          <w:ilvl w:val="0"/>
          <w:numId w:val="0"/>
        </w:numPr>
        <w:spacing w:after="120"/>
        <w:rPr>
          <w:rFonts w:hint="default" w:ascii="Times New Roman" w:hAnsi="Times New Roman" w:cs="Times New Roman"/>
          <w:sz w:val="24"/>
          <w:szCs w:val="24"/>
          <w:u w:val="none" w:color="FFFFFF"/>
        </w:rPr>
      </w:pPr>
      <w:r>
        <w:rPr>
          <w:rFonts w:hint="default" w:ascii="Times New Roman" w:hAnsi="Times New Roman" w:cs="Times New Roman"/>
          <w:sz w:val="24"/>
          <w:szCs w:val="24"/>
          <w:u w:val="none" w:color="FFFFFF"/>
        </w:rPr>
        <w:t>Attachment 3: Target area setting criteria and delineation principles</w:t>
      </w:r>
    </w:p>
    <w:p>
      <w:pPr>
        <w:widowControl/>
        <w:spacing w:line="360" w:lineRule="auto"/>
        <w:rPr>
          <w:rFonts w:hint="default" w:ascii="Times New Roman" w:hAnsi="Times New Roman" w:cs="Times New Roman"/>
          <w:b/>
          <w:bCs/>
          <w:color w:val="000000"/>
          <w:kern w:val="0"/>
          <w:sz w:val="24"/>
          <w:szCs w:val="24"/>
        </w:rPr>
      </w:pPr>
      <w:r>
        <w:rPr>
          <w:rFonts w:hint="default" w:ascii="Times New Roman" w:hAnsi="Times New Roman" w:cs="Times New Roman"/>
          <w:snapToGrid/>
          <w:kern w:val="0"/>
          <w:sz w:val="24"/>
          <w:szCs w:val="24"/>
          <w:u w:val="none" w:color="FFFFFF"/>
        </w:rPr>
        <w:t xml:space="preserve"> Strength sity modulated radiotherapy target and dose</w:t>
      </w:r>
    </w:p>
    <w:p>
      <w:pPr>
        <w:pStyle w:val="22"/>
        <w:spacing w:line="360" w:lineRule="auto"/>
        <w:ind w:left="360"/>
        <w:jc w:val="both"/>
        <w:rPr>
          <w:rFonts w:hint="default" w:ascii="Times New Roman" w:hAnsi="Times New Roman" w:cs="Times New Roman"/>
          <w:sz w:val="24"/>
          <w:szCs w:val="24"/>
        </w:rPr>
      </w:pPr>
      <w:r>
        <w:rPr>
          <w:rFonts w:hint="default" w:ascii="Times New Roman" w:hAnsi="Times New Roman" w:cs="Times New Roman"/>
          <w:sz w:val="24"/>
          <w:szCs w:val="24"/>
        </w:rPr>
        <w:t xml:space="preserve"> Target area: including primary focal area, subclinical focal area and involved lymph node area. Primary area: the area of nasopharyngeal tumor and its invasion. Subclinical focal area: areas where nasopharyngeal carcinoma may expand and invade, such as skull base, posterior nasal cavity, posterior ethid sinus, inferior sphenoidal sinus, parapharyngeal space and negative lymph node drainage area; neck irradiation range should be 1 to 2 cervical areas beyond the lymph node metastasis site.</w:t>
      </w:r>
    </w:p>
    <w:p>
      <w:pPr>
        <w:pStyle w:val="22"/>
        <w:spacing w:line="360" w:lineRule="auto"/>
        <w:ind w:left="361" w:leftChars="171" w:hanging="2"/>
        <w:rPr>
          <w:rFonts w:hint="default" w:ascii="Times New Roman" w:hAnsi="Times New Roman" w:cs="Times New Roman"/>
          <w:sz w:val="24"/>
          <w:szCs w:val="24"/>
        </w:rPr>
      </w:pPr>
      <w:r>
        <w:rPr>
          <w:rFonts w:hint="default" w:ascii="Times New Roman" w:hAnsi="Times New Roman" w:cs="Times New Roman"/>
          <w:sz w:val="24"/>
          <w:szCs w:val="24"/>
        </w:rPr>
        <w:t>Affected lymph node area: the area of enlarged lymph nodes indicated by clinical and / or radiographic observations meeting the diagnostic criteria.</w:t>
      </w:r>
    </w:p>
    <w:tbl>
      <w:tblPr>
        <w:tblStyle w:val="10"/>
        <w:tblW w:w="9468" w:type="dxa"/>
        <w:jc w:val="center"/>
        <w:tblBorders>
          <w:top w:val="single" w:color="auto" w:sz="18" w:space="0"/>
          <w:left w:val="none" w:color="auto" w:sz="0" w:space="0"/>
          <w:bottom w:val="single" w:color="auto"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1"/>
        <w:gridCol w:w="1287"/>
        <w:gridCol w:w="5794"/>
        <w:gridCol w:w="1406"/>
      </w:tblGrid>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tcBorders>
              <w:top w:val="single" w:color="auto" w:sz="18" w:space="0"/>
              <w:bottom w:val="single" w:color="auto" w:sz="8" w:space="0"/>
            </w:tcBorders>
            <w:vAlign w:val="center"/>
          </w:tcPr>
          <w:p>
            <w:pPr>
              <w:jc w:val="center"/>
              <w:rPr>
                <w:rFonts w:hint="default" w:ascii="Times New Roman" w:hAnsi="Times New Roman" w:cs="Times New Roman"/>
                <w:b w:val="0"/>
                <w:bCs/>
                <w:sz w:val="24"/>
                <w:szCs w:val="24"/>
              </w:rPr>
            </w:pPr>
            <w:r>
              <w:rPr>
                <w:rFonts w:hint="default" w:ascii="Times New Roman" w:hAnsi="Times New Roman" w:cs="Times New Roman"/>
                <w:b w:val="0"/>
                <w:bCs/>
                <w:sz w:val="24"/>
                <w:szCs w:val="24"/>
              </w:rPr>
              <w:t>T stage</w:t>
            </w:r>
          </w:p>
        </w:tc>
        <w:tc>
          <w:tcPr>
            <w:tcW w:w="1287" w:type="dxa"/>
            <w:tcBorders>
              <w:top w:val="single" w:color="auto" w:sz="18" w:space="0"/>
              <w:bottom w:val="single" w:color="auto" w:sz="8" w:space="0"/>
            </w:tcBorders>
            <w:vAlign w:val="center"/>
          </w:tcPr>
          <w:p>
            <w:pPr>
              <w:jc w:val="center"/>
              <w:rPr>
                <w:rFonts w:hint="default" w:ascii="Times New Roman" w:hAnsi="Times New Roman" w:cs="Times New Roman"/>
                <w:b w:val="0"/>
                <w:bCs/>
                <w:sz w:val="24"/>
                <w:szCs w:val="24"/>
              </w:rPr>
            </w:pPr>
            <w:r>
              <w:rPr>
                <w:rFonts w:hint="default" w:ascii="Times New Roman" w:hAnsi="Times New Roman" w:cs="Times New Roman"/>
                <w:b w:val="0"/>
                <w:bCs/>
                <w:sz w:val="24"/>
                <w:szCs w:val="24"/>
              </w:rPr>
              <w:t>Target area name</w:t>
            </w:r>
          </w:p>
        </w:tc>
        <w:tc>
          <w:tcPr>
            <w:tcW w:w="5794" w:type="dxa"/>
            <w:tcBorders>
              <w:top w:val="single" w:color="auto" w:sz="18" w:space="0"/>
              <w:bottom w:val="single" w:color="auto" w:sz="8" w:space="0"/>
            </w:tcBorders>
            <w:vAlign w:val="center"/>
          </w:tcPr>
          <w:p>
            <w:pPr>
              <w:jc w:val="center"/>
              <w:rPr>
                <w:rFonts w:hint="default" w:ascii="Times New Roman" w:hAnsi="Times New Roman" w:cs="Times New Roman"/>
                <w:b w:val="0"/>
                <w:bCs/>
                <w:sz w:val="24"/>
                <w:szCs w:val="24"/>
              </w:rPr>
            </w:pPr>
            <w:r>
              <w:rPr>
                <w:rFonts w:hint="default" w:ascii="Times New Roman" w:hAnsi="Times New Roman" w:cs="Times New Roman"/>
                <w:b w:val="0"/>
                <w:bCs/>
                <w:sz w:val="24"/>
                <w:szCs w:val="24"/>
              </w:rPr>
              <w:t>definition</w:t>
            </w:r>
          </w:p>
        </w:tc>
        <w:tc>
          <w:tcPr>
            <w:tcW w:w="1406" w:type="dxa"/>
            <w:tcBorders>
              <w:top w:val="single" w:color="auto" w:sz="18" w:space="0"/>
              <w:bottom w:val="single" w:color="auto" w:sz="8" w:space="0"/>
            </w:tcBorders>
            <w:vAlign w:val="center"/>
          </w:tcPr>
          <w:p>
            <w:pPr>
              <w:jc w:val="center"/>
              <w:rPr>
                <w:rFonts w:hint="default" w:ascii="Times New Roman" w:hAnsi="Times New Roman" w:cs="Times New Roman"/>
                <w:b w:val="0"/>
                <w:bCs/>
                <w:sz w:val="24"/>
                <w:szCs w:val="24"/>
              </w:rPr>
            </w:pPr>
            <w:r>
              <w:rPr>
                <w:rFonts w:hint="default" w:ascii="Times New Roman" w:hAnsi="Times New Roman" w:cs="Times New Roman"/>
                <w:b w:val="0"/>
                <w:bCs/>
                <w:sz w:val="24"/>
                <w:szCs w:val="24"/>
              </w:rPr>
              <w:t>remarks</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tcBorders>
              <w:top w:val="single" w:color="auto" w:sz="8" w:space="0"/>
            </w:tcBorders>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T1-2</w:t>
            </w:r>
          </w:p>
        </w:tc>
        <w:tc>
          <w:tcPr>
            <w:tcW w:w="1287" w:type="dxa"/>
            <w:tcBorders>
              <w:top w:val="single" w:color="auto" w:sz="8" w:space="0"/>
            </w:tcBorders>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GTVnx</w:t>
            </w:r>
          </w:p>
        </w:tc>
        <w:tc>
          <w:tcPr>
            <w:tcW w:w="5794" w:type="dxa"/>
            <w:tcBorders>
              <w:top w:val="single" w:color="auto" w:sz="8" w:space="0"/>
            </w:tcBorders>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Including radiologically and endoscopically visible primary tumor sites</w:t>
            </w:r>
          </w:p>
        </w:tc>
        <w:tc>
          <w:tcPr>
            <w:tcW w:w="1406" w:type="dxa"/>
            <w:tcBorders>
              <w:top w:val="single" w:color="auto" w:sz="8" w:space="0"/>
            </w:tcBorders>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GTVnd</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Including imaging and palpation to determine the metastatic lymph node sites</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PGTVnx</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GTVnx + 5mm</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CTV1</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PGTVnx + The surrounding high-risk area * + the upper cervical lymph node drainage area</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PTV1</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 1 + 3mm</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CTV2</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Drainage area of the middle and lower neck lymph nodes</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PTV2</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CTV 2 + was placed outside for 3mm</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T3-4</w:t>
            </w: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GTVnx</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same T1-2</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GTVnd</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same T1-2</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color w:val="FF0000"/>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CTVnx</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GTVnx + 5mm + the wall of the nasopharynx</w:t>
            </w:r>
          </w:p>
        </w:tc>
        <w:tc>
          <w:tcPr>
            <w:tcW w:w="1406" w:type="dxa"/>
            <w:vAlign w:val="center"/>
          </w:tcPr>
          <w:p>
            <w:pPr>
              <w:rPr>
                <w:rFonts w:hint="default" w:ascii="Times New Roman" w:hAnsi="Times New Roman" w:cs="Times New Roman"/>
                <w:b w:val="0"/>
                <w:bCs/>
                <w:color w:val="FF0000"/>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PTVnx</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CTVnx + 3mm</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CTV1</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same T1-2</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PTV1</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same T1-2</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CTV2</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same T1-2</w:t>
            </w:r>
          </w:p>
        </w:tc>
        <w:tc>
          <w:tcPr>
            <w:tcW w:w="1406" w:type="dxa"/>
            <w:vAlign w:val="center"/>
          </w:tcPr>
          <w:p>
            <w:pPr>
              <w:rPr>
                <w:rFonts w:hint="default" w:ascii="Times New Roman" w:hAnsi="Times New Roman" w:cs="Times New Roman"/>
                <w:b w:val="0"/>
                <w:bCs/>
                <w:sz w:val="24"/>
                <w:szCs w:val="24"/>
              </w:rPr>
            </w:pP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81" w:type="dxa"/>
            <w:vAlign w:val="center"/>
          </w:tcPr>
          <w:p>
            <w:pPr>
              <w:rPr>
                <w:rFonts w:hint="default" w:ascii="Times New Roman" w:hAnsi="Times New Roman" w:cs="Times New Roman"/>
                <w:b w:val="0"/>
                <w:bCs/>
                <w:sz w:val="24"/>
                <w:szCs w:val="24"/>
              </w:rPr>
            </w:pPr>
          </w:p>
        </w:tc>
        <w:tc>
          <w:tcPr>
            <w:tcW w:w="1287"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PTV2</w:t>
            </w:r>
          </w:p>
        </w:tc>
        <w:tc>
          <w:tcPr>
            <w:tcW w:w="5794" w:type="dxa"/>
            <w:vAlign w:val="center"/>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same T1-2</w:t>
            </w:r>
          </w:p>
        </w:tc>
        <w:tc>
          <w:tcPr>
            <w:tcW w:w="1406" w:type="dxa"/>
            <w:vAlign w:val="center"/>
          </w:tcPr>
          <w:p>
            <w:pPr>
              <w:rPr>
                <w:rFonts w:hint="default" w:ascii="Times New Roman" w:hAnsi="Times New Roman" w:cs="Times New Roman"/>
                <w:b w:val="0"/>
                <w:bCs/>
                <w:sz w:val="24"/>
                <w:szCs w:val="24"/>
              </w:rPr>
            </w:pPr>
          </w:p>
        </w:tc>
      </w:tr>
    </w:tbl>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 Surrounding high-risk areas: including skull base, pterygopalatine socket, parapharyngeal space, 1 / 3 posterior nasal cavity / maxillary sinus, lower boundary to the level of hyoid bone;</w:t>
      </w:r>
    </w:p>
    <w:p>
      <w:pPr>
        <w:rPr>
          <w:rFonts w:hint="default" w:ascii="Times New Roman" w:hAnsi="Times New Roman" w:cs="Times New Roman"/>
          <w:b w:val="0"/>
          <w:bCs/>
          <w:sz w:val="24"/>
          <w:szCs w:val="24"/>
        </w:rPr>
      </w:pPr>
    </w:p>
    <w:p>
      <w:pPr>
        <w:rPr>
          <w:rFonts w:hint="default" w:ascii="Times New Roman" w:hAnsi="Times New Roman" w:cs="Times New Roman"/>
          <w:b w:val="0"/>
          <w:bCs/>
          <w:sz w:val="24"/>
          <w:szCs w:val="24"/>
        </w:rPr>
      </w:pPr>
    </w:p>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Range of neck CTV included and dose prescription of PTV</w:t>
      </w:r>
    </w:p>
    <w:tbl>
      <w:tblPr>
        <w:tblStyle w:val="10"/>
        <w:tblW w:w="7995" w:type="dxa"/>
        <w:tblCellSpacing w:w="0"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43"/>
        <w:gridCol w:w="3929"/>
        <w:gridCol w:w="2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tblCellSpacing w:w="0" w:type="dxa"/>
        </w:trPr>
        <w:tc>
          <w:tcPr>
            <w:tcW w:w="164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Positive LN zone</w:t>
            </w: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 includes range</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Irradiation dose (Gy)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0" w:hRule="atLeast"/>
          <w:tblCellSpacing w:w="0" w:type="dxa"/>
        </w:trPr>
        <w:tc>
          <w:tcPr>
            <w:tcW w:w="1643" w:type="dxa"/>
            <w:vMerge w:val="restart"/>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N0</w:t>
            </w: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 1: double,, Va</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60.06 ~ 66.00/33F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blCellSpacing w:w="0" w:type="dxa"/>
        </w:trPr>
        <w:tc>
          <w:tcPr>
            <w:tcW w:w="1643" w:type="dxa"/>
            <w:vMerge w:val="continue"/>
            <w:vAlign w:val="center"/>
          </w:tcPr>
          <w:p>
            <w:pPr>
              <w:rPr>
                <w:rFonts w:hint="default" w:ascii="Times New Roman" w:hAnsi="Times New Roman" w:cs="Times New Roman"/>
                <w:b w:val="0"/>
                <w:bCs/>
                <w:sz w:val="24"/>
                <w:szCs w:val="24"/>
              </w:rPr>
            </w:pP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No preventive irradiation of the lymph node drainage area of both lower neck (, Vb)</w:t>
            </w:r>
          </w:p>
        </w:tc>
        <w:tc>
          <w:tcPr>
            <w:tcW w:w="2423" w:type="dxa"/>
            <w:vAlign w:val="top"/>
          </w:tcPr>
          <w:p>
            <w:pPr>
              <w:rPr>
                <w:rFonts w:hint="default" w:ascii="Times New Roman" w:hAnsi="Times New Roman"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tblCellSpacing w:w="0" w:type="dxa"/>
        </w:trPr>
        <w:tc>
          <w:tcPr>
            <w:tcW w:w="1643" w:type="dxa"/>
            <w:vMerge w:val="restart"/>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Unilateral uterine region</w:t>
            </w: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 1: ipsilateral (Ib area irradiation as indicated below),, V + opposite, Va</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60.06 ~ 66.00/33F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tblCellSpacing w:w="0" w:type="dxa"/>
        </w:trPr>
        <w:tc>
          <w:tcPr>
            <w:tcW w:w="1643" w:type="dxa"/>
            <w:vMerge w:val="continue"/>
            <w:vAlign w:val="center"/>
          </w:tcPr>
          <w:p>
            <w:pPr>
              <w:rPr>
                <w:rFonts w:hint="default" w:ascii="Times New Roman" w:hAnsi="Times New Roman" w:cs="Times New Roman"/>
                <w:b w:val="0"/>
                <w:bCs/>
                <w:sz w:val="24"/>
                <w:szCs w:val="24"/>
              </w:rPr>
            </w:pP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lymph node drainage area of the contralateral neck (, Vb) does not prevent irradiation</w:t>
            </w:r>
          </w:p>
        </w:tc>
        <w:tc>
          <w:tcPr>
            <w:tcW w:w="2423" w:type="dxa"/>
            <w:vAlign w:val="top"/>
          </w:tcPr>
          <w:p>
            <w:pPr>
              <w:rPr>
                <w:rFonts w:hint="default" w:ascii="Times New Roman" w:hAnsi="Times New Roman"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tblCellSpacing w:w="0" w:type="dxa"/>
        </w:trPr>
        <w:tc>
          <w:tcPr>
            <w:tcW w:w="164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Bilateral uterine areas</w:t>
            </w: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 1: double ~ Vb (Ib)</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60.06 ~ 66.00/33F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6" w:hRule="atLeast"/>
          <w:tblCellSpacing w:w="0" w:type="dxa"/>
        </w:trPr>
        <w:tc>
          <w:tcPr>
            <w:tcW w:w="164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Unilateral + zone</w:t>
            </w: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same as the single uterus area</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60.06 ~ 66.00/33F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3" w:hRule="atLeast"/>
          <w:tblCellSpacing w:w="0" w:type="dxa"/>
        </w:trPr>
        <w:tc>
          <w:tcPr>
            <w:tcW w:w="164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One-sided V zone</w:t>
            </w: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Ihomo zone does not include zone Ib</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With oneself region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blCellSpacing w:w="0" w:type="dxa"/>
        </w:trPr>
        <w:tc>
          <w:tcPr>
            <w:tcW w:w="1643" w:type="dxa"/>
            <w:vMerge w:val="restart"/>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Unilateral retropharyngeal lymph node metastasis</w:t>
            </w: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 1: double neck, and Va area</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60.06 ~ 66.00/33F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tblCellSpacing w:w="0" w:type="dxa"/>
        </w:trPr>
        <w:tc>
          <w:tcPr>
            <w:tcW w:w="1643" w:type="dxa"/>
            <w:vMerge w:val="continue"/>
            <w:vAlign w:val="top"/>
          </w:tcPr>
          <w:p>
            <w:pPr>
              <w:rPr>
                <w:rFonts w:hint="default" w:ascii="Times New Roman" w:hAnsi="Times New Roman" w:cs="Times New Roman"/>
                <w:b w:val="0"/>
                <w:bCs/>
                <w:sz w:val="24"/>
                <w:szCs w:val="24"/>
              </w:rPr>
            </w:pP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 2: ipsilateral neck, Vb</w:t>
            </w:r>
          </w:p>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The lymph node drainage area of the contralateral neck (, Vb) does not prevent irradiation</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50.96 ~ 56.00/28F</w:t>
            </w:r>
          </w:p>
          <w:p>
            <w:pPr>
              <w:rPr>
                <w:rFonts w:hint="default" w:ascii="Times New Roman" w:hAnsi="Times New Roman"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blCellSpacing w:w="0" w:type="dxa"/>
        </w:trPr>
        <w:tc>
          <w:tcPr>
            <w:tcW w:w="1643" w:type="dxa"/>
            <w:vMerge w:val="restart"/>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Bilateral retropharyngeal lymph node metastasis</w:t>
            </w: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 1: double neck (,, Va area)</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60.06 ~ 66.00/33F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blCellSpacing w:w="0" w:type="dxa"/>
        </w:trPr>
        <w:tc>
          <w:tcPr>
            <w:tcW w:w="1643" w:type="dxa"/>
            <w:vMerge w:val="continue"/>
            <w:vAlign w:val="top"/>
          </w:tcPr>
          <w:p>
            <w:pPr>
              <w:rPr>
                <w:rFonts w:hint="default" w:ascii="Times New Roman" w:hAnsi="Times New Roman" w:cs="Times New Roman"/>
                <w:b w:val="0"/>
                <w:bCs/>
                <w:sz w:val="24"/>
                <w:szCs w:val="24"/>
              </w:rPr>
            </w:pPr>
          </w:p>
        </w:tc>
        <w:tc>
          <w:tcPr>
            <w:tcW w:w="3929"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CTV 2: bilateral neck, Vb</w:t>
            </w:r>
          </w:p>
        </w:tc>
        <w:tc>
          <w:tcPr>
            <w:tcW w:w="2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50.96 ~ 56.00/28F</w:t>
            </w:r>
          </w:p>
        </w:tc>
      </w:tr>
    </w:tbl>
    <w:p>
      <w:pPr>
        <w:rPr>
          <w:rFonts w:hint="default" w:ascii="Times New Roman" w:hAnsi="Times New Roman" w:cs="Times New Roman"/>
          <w:b w:val="0"/>
          <w:bCs/>
          <w:sz w:val="24"/>
          <w:szCs w:val="24"/>
        </w:rPr>
      </w:pPr>
      <w:r>
        <w:rPr>
          <w:rFonts w:hint="eastAsia" w:cs="Times New Roman"/>
          <w:b w:val="0"/>
          <w:bCs/>
          <w:sz w:val="24"/>
          <w:szCs w:val="24"/>
          <w:lang w:val="en-US" w:eastAsia="zh-CN"/>
        </w:rPr>
        <w:t>Note</w:t>
      </w:r>
      <w:r>
        <w:rPr>
          <w:rFonts w:hint="default" w:ascii="Times New Roman" w:hAnsi="Times New Roman" w:cs="Times New Roman"/>
          <w:b w:val="0"/>
          <w:bCs/>
          <w:sz w:val="24"/>
          <w:szCs w:val="24"/>
        </w:rPr>
        <w:t>:</w:t>
      </w:r>
    </w:p>
    <w:p>
      <w:pPr>
        <w:spacing w:line="240" w:lineRule="auto"/>
        <w:ind w:firstLine="480" w:firstLineChars="200"/>
        <w:rPr>
          <w:rFonts w:hint="default" w:ascii="Times New Roman" w:hAnsi="Times New Roman" w:cs="Times New Roman"/>
          <w:b w:val="0"/>
          <w:bCs/>
          <w:sz w:val="24"/>
          <w:szCs w:val="24"/>
        </w:rPr>
      </w:pPr>
      <w:r>
        <w:rPr>
          <w:rFonts w:hint="default" w:ascii="Times New Roman" w:hAnsi="Times New Roman" w:cs="Times New Roman"/>
          <w:b w:val="0"/>
          <w:bCs/>
          <w:sz w:val="24"/>
          <w:szCs w:val="24"/>
        </w:rPr>
        <w:t>1. Imaging examination showed that there were cervical lymph nodes, but it had not reached the diagnostic criteria for metastatic lymph nodes, and clinically considered high-risk lymph nodes. CTV 1 should include the ipsilateral neck ~V area, contralateral, III and Va areas.</w:t>
      </w:r>
    </w:p>
    <w:p>
      <w:pPr>
        <w:spacing w:line="240" w:lineRule="auto"/>
        <w:rPr>
          <w:rFonts w:hint="default" w:ascii="Times New Roman" w:hAnsi="Times New Roman" w:cs="Times New Roman"/>
          <w:b w:val="0"/>
          <w:bCs/>
          <w:sz w:val="24"/>
          <w:szCs w:val="24"/>
        </w:rPr>
      </w:pPr>
      <w:r>
        <w:rPr>
          <w:rFonts w:hint="default" w:ascii="Times New Roman" w:hAnsi="Times New Roman" w:cs="Times New Roman"/>
          <w:b w:val="0"/>
          <w:bCs/>
          <w:sz w:val="24"/>
          <w:szCs w:val="24"/>
        </w:rPr>
        <w:t>2, the lymph nodes in zone Ib</w:t>
      </w:r>
    </w:p>
    <w:p>
      <w:pPr>
        <w:spacing w:line="240" w:lineRule="auto"/>
        <w:ind w:firstLine="435"/>
        <w:rPr>
          <w:rFonts w:hint="default" w:ascii="Times New Roman" w:hAnsi="Times New Roman" w:cs="Times New Roman"/>
          <w:b w:val="0"/>
          <w:bCs/>
          <w:sz w:val="24"/>
          <w:szCs w:val="24"/>
        </w:rPr>
      </w:pPr>
      <w:r>
        <w:rPr>
          <w:rFonts w:hint="default" w:ascii="Times New Roman" w:hAnsi="Times New Roman" w:cs="Times New Roman"/>
          <w:b w:val="0"/>
          <w:bCs/>
          <w:sz w:val="24"/>
          <w:szCs w:val="24"/>
        </w:rPr>
        <w:t>Cervical CTV lymph nodes does not include zone Ib lymph nodes but should be included in the CTV area in the following cases:</w:t>
      </w:r>
    </w:p>
    <w:p>
      <w:pPr>
        <w:spacing w:line="240" w:lineRule="auto"/>
        <w:ind w:firstLine="736" w:firstLineChars="307"/>
        <w:rPr>
          <w:rFonts w:hint="default" w:ascii="Times New Roman" w:hAnsi="Times New Roman" w:cs="Times New Roman"/>
          <w:b w:val="0"/>
          <w:bCs/>
          <w:sz w:val="24"/>
          <w:szCs w:val="24"/>
        </w:rPr>
      </w:pPr>
      <w:r>
        <w:rPr>
          <w:rFonts w:hint="default" w:ascii="Times New Roman" w:hAnsi="Times New Roman" w:cs="Times New Roman"/>
          <w:b w:val="0"/>
          <w:bCs/>
          <w:sz w:val="24"/>
          <w:szCs w:val="24"/>
        </w:rPr>
        <w:t>1) Metastatic lymph nodes in the Ib area, including after lymphadenectomy;</w:t>
      </w:r>
    </w:p>
    <w:p>
      <w:pPr>
        <w:spacing w:line="240" w:lineRule="auto"/>
        <w:ind w:firstLine="736" w:firstLineChars="307"/>
        <w:rPr>
          <w:rFonts w:hint="default" w:ascii="Times New Roman" w:hAnsi="Times New Roman" w:cs="Times New Roman"/>
          <w:b w:val="0"/>
          <w:bCs/>
          <w:sz w:val="24"/>
          <w:szCs w:val="24"/>
        </w:rPr>
      </w:pPr>
      <w:r>
        <w:rPr>
          <w:rFonts w:hint="default" w:ascii="Times New Roman" w:hAnsi="Times New Roman" w:cs="Times New Roman"/>
          <w:b w:val="0"/>
          <w:bCs/>
          <w:sz w:val="24"/>
          <w:szCs w:val="24"/>
        </w:rPr>
        <w:t>2) Metastatic lymph node capsule invasion or diameter of 3cm in area A;</w:t>
      </w:r>
    </w:p>
    <w:p>
      <w:pPr>
        <w:spacing w:line="240" w:lineRule="auto"/>
        <w:ind w:firstLine="736" w:firstLineChars="307"/>
        <w:rPr>
          <w:rFonts w:hint="default" w:ascii="Times New Roman" w:hAnsi="Times New Roman" w:cs="Times New Roman"/>
          <w:b w:val="0"/>
          <w:bCs/>
          <w:sz w:val="24"/>
          <w:szCs w:val="24"/>
        </w:rPr>
      </w:pPr>
      <w:r>
        <w:rPr>
          <w:rFonts w:hint="default" w:ascii="Times New Roman" w:hAnsi="Times New Roman" w:cs="Times New Roman"/>
          <w:b w:val="0"/>
          <w:bCs/>
          <w:sz w:val="24"/>
          <w:szCs w:val="24"/>
        </w:rPr>
        <w:t>3) Lh node metastasis in multiple areas (4 regions) of the ipsilateral total neck;</w:t>
      </w:r>
    </w:p>
    <w:p>
      <w:pPr>
        <w:spacing w:line="240" w:lineRule="auto"/>
        <w:ind w:firstLine="360" w:firstLineChars="150"/>
        <w:rPr>
          <w:rFonts w:hint="default" w:ascii="Times New Roman" w:hAnsi="Times New Roman" w:cs="Times New Roman"/>
          <w:b w:val="0"/>
          <w:bCs/>
          <w:color w:val="000000"/>
          <w:sz w:val="24"/>
          <w:szCs w:val="24"/>
        </w:rPr>
      </w:pPr>
      <w:r>
        <w:rPr>
          <w:rFonts w:hint="default" w:ascii="Times New Roman" w:hAnsi="Times New Roman" w:cs="Times New Roman"/>
          <w:b w:val="0"/>
          <w:bCs/>
          <w:color w:val="000000"/>
          <w:sz w:val="24"/>
          <w:szCs w:val="24"/>
        </w:rPr>
        <w:t>3, parotid gland, soft palate, mandible and other sensitive organs, according to the specific situation, PTV can be appropriately reduced when placed outside the range;</w:t>
      </w:r>
    </w:p>
    <w:p>
      <w:pPr>
        <w:spacing w:line="240" w:lineRule="auto"/>
        <w:rPr>
          <w:rFonts w:hint="default" w:ascii="Times New Roman" w:hAnsi="Times New Roman" w:cs="Times New Roman"/>
          <w:b w:val="0"/>
          <w:bCs/>
          <w:color w:val="000000"/>
          <w:sz w:val="24"/>
          <w:szCs w:val="24"/>
        </w:rPr>
      </w:pPr>
      <w:r>
        <w:rPr>
          <w:rFonts w:hint="default" w:ascii="Times New Roman" w:hAnsi="Times New Roman" w:cs="Times New Roman"/>
          <w:b w:val="0"/>
          <w:bCs/>
          <w:color w:val="000000"/>
          <w:sz w:val="24"/>
          <w:szCs w:val="24"/>
        </w:rPr>
        <w:t>4. T</w:t>
      </w:r>
      <w:r>
        <w:rPr>
          <w:rFonts w:hint="default" w:ascii="Times New Roman" w:hAnsi="Times New Roman" w:cs="Times New Roman"/>
          <w:b w:val="0"/>
          <w:bCs/>
          <w:color w:val="000000"/>
          <w:sz w:val="24"/>
          <w:szCs w:val="24"/>
          <w:vertAlign w:val="subscript"/>
        </w:rPr>
        <w:t>1-2</w:t>
      </w:r>
      <w:r>
        <w:rPr>
          <w:rFonts w:hint="default" w:ascii="Times New Roman" w:hAnsi="Times New Roman" w:cs="Times New Roman"/>
          <w:b w:val="0"/>
          <w:bCs/>
          <w:color w:val="000000"/>
          <w:sz w:val="24"/>
          <w:szCs w:val="24"/>
        </w:rPr>
        <w:t>Stage of patients with CTV</w:t>
      </w:r>
      <w:r>
        <w:rPr>
          <w:rFonts w:hint="default" w:ascii="Times New Roman" w:hAnsi="Times New Roman" w:cs="Times New Roman"/>
          <w:b w:val="0"/>
          <w:bCs/>
          <w:color w:val="000000"/>
          <w:sz w:val="24"/>
          <w:szCs w:val="24"/>
          <w:vertAlign w:val="subscript"/>
        </w:rPr>
        <w:t>1</w:t>
      </w:r>
      <w:r>
        <w:rPr>
          <w:rFonts w:hint="default" w:ascii="Times New Roman" w:hAnsi="Times New Roman" w:cs="Times New Roman"/>
          <w:b w:val="0"/>
          <w:bCs/>
          <w:color w:val="000000"/>
          <w:sz w:val="24"/>
          <w:szCs w:val="24"/>
        </w:rPr>
        <w:t>The posterior bound of can be delineated to the PGTV</w:t>
      </w:r>
      <w:r>
        <w:rPr>
          <w:rFonts w:hint="default" w:ascii="Times New Roman" w:hAnsi="Times New Roman" w:cs="Times New Roman"/>
          <w:b w:val="0"/>
          <w:bCs/>
          <w:color w:val="000000"/>
          <w:sz w:val="24"/>
          <w:szCs w:val="24"/>
          <w:vertAlign w:val="subscript"/>
        </w:rPr>
        <w:t>nx</w:t>
      </w:r>
      <w:r>
        <w:rPr>
          <w:rFonts w:hint="default" w:ascii="Times New Roman" w:hAnsi="Times New Roman" w:cs="Times New Roman"/>
          <w:b w:val="0"/>
          <w:bCs/>
          <w:color w:val="000000"/>
          <w:sz w:val="24"/>
          <w:szCs w:val="24"/>
        </w:rPr>
        <w:t>2-3mm;</w:t>
      </w:r>
    </w:p>
    <w:p>
      <w:pPr>
        <w:spacing w:line="240" w:lineRule="auto"/>
        <w:ind w:firstLine="360" w:firstLineChars="150"/>
        <w:rPr>
          <w:rFonts w:hint="default" w:ascii="Times New Roman" w:hAnsi="Times New Roman" w:cs="Times New Roman"/>
          <w:b w:val="0"/>
          <w:bCs/>
          <w:color w:val="000000"/>
          <w:sz w:val="24"/>
          <w:szCs w:val="24"/>
        </w:rPr>
      </w:pPr>
      <w:r>
        <w:rPr>
          <w:rFonts w:hint="default" w:ascii="Times New Roman" w:hAnsi="Times New Roman" w:cs="Times New Roman"/>
          <w:b w:val="0"/>
          <w:bCs/>
          <w:color w:val="000000"/>
          <w:sz w:val="24"/>
          <w:szCs w:val="24"/>
        </w:rPr>
        <w:t>5. Oroopharynx can be delineated on PGTV</w:t>
      </w:r>
      <w:r>
        <w:rPr>
          <w:rFonts w:hint="default" w:ascii="Times New Roman" w:hAnsi="Times New Roman" w:cs="Times New Roman"/>
          <w:b w:val="0"/>
          <w:bCs/>
          <w:color w:val="000000"/>
          <w:sz w:val="24"/>
          <w:szCs w:val="24"/>
          <w:vertAlign w:val="subscript"/>
        </w:rPr>
        <w:t>nx</w:t>
      </w:r>
      <w:r>
        <w:rPr>
          <w:rFonts w:hint="default" w:ascii="Times New Roman" w:hAnsi="Times New Roman" w:cs="Times New Roman"/>
          <w:b w:val="0"/>
          <w:bCs/>
          <w:color w:val="000000"/>
          <w:sz w:val="24"/>
          <w:szCs w:val="24"/>
        </w:rPr>
        <w:t>perhaps GTV</w:t>
      </w:r>
      <w:r>
        <w:rPr>
          <w:rFonts w:hint="default" w:ascii="Times New Roman" w:hAnsi="Times New Roman" w:cs="Times New Roman"/>
          <w:b w:val="0"/>
          <w:bCs/>
          <w:color w:val="000000"/>
          <w:sz w:val="24"/>
          <w:szCs w:val="24"/>
          <w:vertAlign w:val="subscript"/>
        </w:rPr>
        <w:t>nx</w:t>
      </w:r>
      <w:r>
        <w:rPr>
          <w:rFonts w:hint="default" w:ascii="Times New Roman" w:hAnsi="Times New Roman" w:cs="Times New Roman"/>
          <w:b w:val="0"/>
          <w:bCs/>
          <w:color w:val="000000"/>
          <w:sz w:val="24"/>
          <w:szCs w:val="24"/>
        </w:rPr>
        <w:t>After the three layers, only the lymph node drainage area was delineated;</w:t>
      </w:r>
    </w:p>
    <w:p>
      <w:pPr>
        <w:spacing w:line="240" w:lineRule="auto"/>
        <w:ind w:firstLine="360" w:firstLineChars="150"/>
        <w:rPr>
          <w:rFonts w:hint="default" w:ascii="Times New Roman" w:hAnsi="Times New Roman" w:cs="Times New Roman"/>
          <w:b w:val="0"/>
          <w:bCs/>
          <w:sz w:val="24"/>
          <w:szCs w:val="24"/>
        </w:rPr>
      </w:pPr>
      <w:r>
        <w:rPr>
          <w:rFonts w:hint="default" w:ascii="Times New Roman" w:hAnsi="Times New Roman" w:cs="Times New Roman"/>
          <w:b w:val="0"/>
          <w:bCs/>
          <w:color w:val="000000"/>
          <w:sz w:val="24"/>
          <w:szCs w:val="24"/>
        </w:rPr>
        <w:t>6. The PTV near the skin of the neck should not exceed the skin, and generally should be 3-5mm away from the skin margin;</w:t>
      </w:r>
    </w:p>
    <w:tbl>
      <w:tblPr>
        <w:tblStyle w:val="10"/>
        <w:tblW w:w="7957" w:type="dxa"/>
        <w:tblInd w:w="0" w:type="dxa"/>
        <w:tblBorders>
          <w:top w:val="single" w:color="auto" w:sz="18" w:space="0"/>
          <w:left w:val="none" w:color="auto" w:sz="0" w:space="0"/>
          <w:bottom w:val="single" w:color="auto"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96"/>
        <w:gridCol w:w="1423"/>
        <w:gridCol w:w="1835"/>
        <w:gridCol w:w="2550"/>
        <w:gridCol w:w="1353"/>
      </w:tblGrid>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tcBorders>
              <w:top w:val="single" w:color="auto" w:sz="18" w:space="0"/>
              <w:bottom w:val="single" w:color="auto" w:sz="8" w:space="0"/>
            </w:tcBorders>
            <w:vAlign w:val="top"/>
          </w:tcPr>
          <w:p>
            <w:pPr>
              <w:jc w:val="center"/>
              <w:rPr>
                <w:rFonts w:hint="default" w:ascii="Times New Roman" w:hAnsi="Times New Roman" w:cs="Times New Roman"/>
                <w:b w:val="0"/>
                <w:bCs/>
                <w:sz w:val="24"/>
                <w:szCs w:val="24"/>
              </w:rPr>
            </w:pPr>
            <w:r>
              <w:rPr>
                <w:rFonts w:hint="default" w:ascii="Times New Roman" w:hAnsi="Times New Roman" w:cs="Times New Roman"/>
                <w:b w:val="0"/>
                <w:bCs/>
                <w:sz w:val="24"/>
                <w:szCs w:val="24"/>
              </w:rPr>
              <w:t>stage</w:t>
            </w:r>
          </w:p>
        </w:tc>
        <w:tc>
          <w:tcPr>
            <w:tcW w:w="1423" w:type="dxa"/>
            <w:tcBorders>
              <w:top w:val="single" w:color="auto" w:sz="18" w:space="0"/>
              <w:bottom w:val="single" w:color="auto" w:sz="8" w:space="0"/>
            </w:tcBorders>
            <w:vAlign w:val="top"/>
          </w:tcPr>
          <w:p>
            <w:pPr>
              <w:jc w:val="center"/>
              <w:rPr>
                <w:rFonts w:hint="default" w:ascii="Times New Roman" w:hAnsi="Times New Roman" w:cs="Times New Roman"/>
                <w:b w:val="0"/>
                <w:bCs/>
                <w:sz w:val="24"/>
                <w:szCs w:val="24"/>
              </w:rPr>
            </w:pPr>
            <w:r>
              <w:rPr>
                <w:rFonts w:hint="default" w:ascii="Times New Roman" w:hAnsi="Times New Roman" w:cs="Times New Roman"/>
                <w:b w:val="0"/>
                <w:bCs/>
                <w:sz w:val="24"/>
                <w:szCs w:val="24"/>
              </w:rPr>
              <w:t>Target area name</w:t>
            </w:r>
          </w:p>
        </w:tc>
        <w:tc>
          <w:tcPr>
            <w:tcW w:w="1835" w:type="dxa"/>
            <w:tcBorders>
              <w:top w:val="single" w:color="auto" w:sz="18" w:space="0"/>
              <w:bottom w:val="single" w:color="auto" w:sz="8" w:space="0"/>
            </w:tcBorders>
            <w:vAlign w:val="top"/>
          </w:tcPr>
          <w:p>
            <w:pPr>
              <w:jc w:val="center"/>
              <w:rPr>
                <w:rFonts w:hint="default" w:ascii="Times New Roman" w:hAnsi="Times New Roman" w:cs="Times New Roman"/>
                <w:b w:val="0"/>
                <w:bCs/>
                <w:sz w:val="24"/>
                <w:szCs w:val="24"/>
              </w:rPr>
            </w:pPr>
            <w:r>
              <w:rPr>
                <w:rFonts w:hint="default" w:ascii="Times New Roman" w:hAnsi="Times New Roman" w:cs="Times New Roman"/>
                <w:b w:val="0"/>
                <w:bCs/>
                <w:sz w:val="24"/>
                <w:szCs w:val="24"/>
              </w:rPr>
              <w:t>single dose (Gy)</w:t>
            </w:r>
          </w:p>
        </w:tc>
        <w:tc>
          <w:tcPr>
            <w:tcW w:w="2550" w:type="dxa"/>
            <w:tcBorders>
              <w:top w:val="single" w:color="auto" w:sz="18" w:space="0"/>
              <w:bottom w:val="single" w:color="auto" w:sz="8" w:space="0"/>
            </w:tcBorders>
            <w:vAlign w:val="top"/>
          </w:tcPr>
          <w:p>
            <w:pPr>
              <w:jc w:val="center"/>
              <w:rPr>
                <w:rFonts w:hint="default" w:ascii="Times New Roman" w:hAnsi="Times New Roman" w:cs="Times New Roman"/>
                <w:b w:val="0"/>
                <w:bCs/>
                <w:sz w:val="24"/>
                <w:szCs w:val="24"/>
              </w:rPr>
            </w:pPr>
            <w:r>
              <w:rPr>
                <w:rFonts w:hint="default" w:ascii="Times New Roman" w:hAnsi="Times New Roman" w:cs="Times New Roman"/>
                <w:b w:val="0"/>
                <w:bCs/>
                <w:sz w:val="24"/>
                <w:szCs w:val="24"/>
              </w:rPr>
              <w:t>integral dose (Gy)</w:t>
            </w:r>
          </w:p>
        </w:tc>
        <w:tc>
          <w:tcPr>
            <w:tcW w:w="1353" w:type="dxa"/>
            <w:tcBorders>
              <w:top w:val="single" w:color="auto" w:sz="18" w:space="0"/>
              <w:bottom w:val="single" w:color="auto" w:sz="8" w:space="0"/>
            </w:tcBorders>
            <w:vAlign w:val="top"/>
          </w:tcPr>
          <w:p>
            <w:pPr>
              <w:jc w:val="center"/>
              <w:rPr>
                <w:rFonts w:hint="default" w:ascii="Times New Roman" w:hAnsi="Times New Roman" w:cs="Times New Roman"/>
                <w:b w:val="0"/>
                <w:bCs/>
                <w:sz w:val="24"/>
                <w:szCs w:val="24"/>
              </w:rPr>
            </w:pPr>
            <w:r>
              <w:rPr>
                <w:rFonts w:hint="default" w:ascii="Times New Roman" w:hAnsi="Times New Roman" w:cs="Times New Roman"/>
                <w:b w:val="0"/>
                <w:bCs/>
                <w:sz w:val="24"/>
                <w:szCs w:val="24"/>
              </w:rPr>
              <w:t>number of times (F)</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tcBorders>
              <w:top w:val="single" w:color="auto" w:sz="8" w:space="0"/>
            </w:tcBorders>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T1-2</w:t>
            </w:r>
          </w:p>
        </w:tc>
        <w:tc>
          <w:tcPr>
            <w:tcW w:w="1423" w:type="dxa"/>
            <w:tcBorders>
              <w:top w:val="single" w:color="auto" w:sz="8" w:space="0"/>
            </w:tcBorders>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PGTVnx</w:t>
            </w:r>
          </w:p>
        </w:tc>
        <w:tc>
          <w:tcPr>
            <w:tcW w:w="1835" w:type="dxa"/>
            <w:tcBorders>
              <w:top w:val="single" w:color="auto" w:sz="8" w:space="0"/>
            </w:tcBorders>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2.12</w:t>
            </w:r>
          </w:p>
        </w:tc>
        <w:tc>
          <w:tcPr>
            <w:tcW w:w="2550" w:type="dxa"/>
            <w:tcBorders>
              <w:top w:val="single" w:color="auto" w:sz="8" w:space="0"/>
            </w:tcBorders>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69.96</w:t>
            </w:r>
          </w:p>
        </w:tc>
        <w:tc>
          <w:tcPr>
            <w:tcW w:w="1353" w:type="dxa"/>
            <w:tcBorders>
              <w:top w:val="single" w:color="auto" w:sz="8" w:space="0"/>
            </w:tcBorders>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33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vAlign w:val="top"/>
          </w:tcPr>
          <w:p>
            <w:pPr>
              <w:rPr>
                <w:rFonts w:hint="default" w:ascii="Times New Roman" w:hAnsi="Times New Roman" w:cs="Times New Roman"/>
                <w:b w:val="0"/>
                <w:bCs/>
                <w:sz w:val="24"/>
                <w:szCs w:val="24"/>
              </w:rPr>
            </w:pPr>
          </w:p>
        </w:tc>
        <w:tc>
          <w:tcPr>
            <w:tcW w:w="1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GTVnd</w:t>
            </w:r>
          </w:p>
        </w:tc>
        <w:tc>
          <w:tcPr>
            <w:tcW w:w="1835"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2.12</w:t>
            </w:r>
          </w:p>
        </w:tc>
        <w:tc>
          <w:tcPr>
            <w:tcW w:w="255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69.96</w:t>
            </w:r>
          </w:p>
        </w:tc>
        <w:tc>
          <w:tcPr>
            <w:tcW w:w="135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33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vAlign w:val="top"/>
          </w:tcPr>
          <w:p>
            <w:pPr>
              <w:rPr>
                <w:rFonts w:hint="default" w:ascii="Times New Roman" w:hAnsi="Times New Roman" w:cs="Times New Roman"/>
                <w:b w:val="0"/>
                <w:bCs/>
                <w:sz w:val="24"/>
                <w:szCs w:val="24"/>
              </w:rPr>
            </w:pPr>
          </w:p>
        </w:tc>
        <w:tc>
          <w:tcPr>
            <w:tcW w:w="1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PTV1</w:t>
            </w:r>
          </w:p>
        </w:tc>
        <w:tc>
          <w:tcPr>
            <w:tcW w:w="1835"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1.82 ~ 2.00</w:t>
            </w:r>
          </w:p>
        </w:tc>
        <w:tc>
          <w:tcPr>
            <w:tcW w:w="255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60.06 ~ 66.00</w:t>
            </w:r>
          </w:p>
        </w:tc>
        <w:tc>
          <w:tcPr>
            <w:tcW w:w="1353" w:type="dxa"/>
            <w:tcBorders>
              <w:bottom w:val="nil"/>
            </w:tcBorders>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33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shd w:val="clear" w:color="auto" w:fill="auto"/>
            <w:vAlign w:val="top"/>
          </w:tcPr>
          <w:p>
            <w:pPr>
              <w:rPr>
                <w:rFonts w:hint="default" w:ascii="Times New Roman" w:hAnsi="Times New Roman" w:cs="Times New Roman"/>
                <w:b w:val="0"/>
                <w:bCs/>
                <w:sz w:val="24"/>
                <w:szCs w:val="24"/>
              </w:rPr>
            </w:pPr>
          </w:p>
        </w:tc>
        <w:tc>
          <w:tcPr>
            <w:tcW w:w="1423" w:type="dxa"/>
            <w:shd w:val="clear" w:color="auto" w:fill="auto"/>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PTV2</w:t>
            </w:r>
          </w:p>
        </w:tc>
        <w:tc>
          <w:tcPr>
            <w:tcW w:w="1835" w:type="dxa"/>
            <w:shd w:val="clear" w:color="auto" w:fill="auto"/>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1.82 ~ 2.00</w:t>
            </w:r>
          </w:p>
        </w:tc>
        <w:tc>
          <w:tcPr>
            <w:tcW w:w="2550" w:type="dxa"/>
            <w:shd w:val="clear" w:color="auto" w:fill="auto"/>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50.96 ~ 56.00</w:t>
            </w:r>
          </w:p>
        </w:tc>
        <w:tc>
          <w:tcPr>
            <w:tcW w:w="1353" w:type="dxa"/>
            <w:tcBorders>
              <w:top w:val="nil"/>
              <w:bottom w:val="nil"/>
            </w:tcBorders>
            <w:shd w:val="clear" w:color="auto" w:fill="E6E6E6"/>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28</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T3-4</w:t>
            </w:r>
          </w:p>
        </w:tc>
        <w:tc>
          <w:tcPr>
            <w:tcW w:w="1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GTVnx</w:t>
            </w:r>
          </w:p>
        </w:tc>
        <w:tc>
          <w:tcPr>
            <w:tcW w:w="1835"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2.2</w:t>
            </w:r>
          </w:p>
        </w:tc>
        <w:tc>
          <w:tcPr>
            <w:tcW w:w="2550" w:type="dxa"/>
            <w:vAlign w:val="top"/>
          </w:tcPr>
          <w:p>
            <w:pPr>
              <w:rPr>
                <w:rFonts w:hint="default" w:ascii="Times New Roman" w:hAnsi="Times New Roman" w:eastAsia="宋体" w:cs="Times New Roman"/>
                <w:b w:val="0"/>
                <w:bCs/>
                <w:sz w:val="24"/>
                <w:szCs w:val="24"/>
                <w:lang w:val="en-US" w:eastAsia="zh-CN"/>
              </w:rPr>
            </w:pPr>
            <w:r>
              <w:rPr>
                <w:rFonts w:hint="default" w:ascii="Times New Roman" w:hAnsi="Times New Roman" w:cs="Times New Roman"/>
                <w:b w:val="0"/>
                <w:bCs/>
                <w:sz w:val="24"/>
                <w:szCs w:val="24"/>
              </w:rPr>
              <w:t>72.6</w:t>
            </w:r>
          </w:p>
        </w:tc>
        <w:tc>
          <w:tcPr>
            <w:tcW w:w="1353" w:type="dxa"/>
            <w:tcBorders>
              <w:top w:val="nil"/>
            </w:tcBorders>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33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vAlign w:val="top"/>
          </w:tcPr>
          <w:p>
            <w:pPr>
              <w:rPr>
                <w:rFonts w:hint="default" w:ascii="Times New Roman" w:hAnsi="Times New Roman" w:cs="Times New Roman"/>
                <w:b w:val="0"/>
                <w:bCs/>
                <w:sz w:val="24"/>
                <w:szCs w:val="24"/>
              </w:rPr>
            </w:pPr>
          </w:p>
        </w:tc>
        <w:tc>
          <w:tcPr>
            <w:tcW w:w="1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PTVnx</w:t>
            </w:r>
          </w:p>
        </w:tc>
        <w:tc>
          <w:tcPr>
            <w:tcW w:w="1835"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2.12</w:t>
            </w:r>
          </w:p>
        </w:tc>
        <w:tc>
          <w:tcPr>
            <w:tcW w:w="255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69.96</w:t>
            </w:r>
          </w:p>
        </w:tc>
        <w:tc>
          <w:tcPr>
            <w:tcW w:w="135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33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vAlign w:val="top"/>
          </w:tcPr>
          <w:p>
            <w:pPr>
              <w:rPr>
                <w:rFonts w:hint="default" w:ascii="Times New Roman" w:hAnsi="Times New Roman" w:cs="Times New Roman"/>
                <w:b w:val="0"/>
                <w:bCs/>
                <w:sz w:val="24"/>
                <w:szCs w:val="24"/>
              </w:rPr>
            </w:pPr>
          </w:p>
        </w:tc>
        <w:tc>
          <w:tcPr>
            <w:tcW w:w="1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GTVnd</w:t>
            </w:r>
          </w:p>
        </w:tc>
        <w:tc>
          <w:tcPr>
            <w:tcW w:w="1835"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2.12</w:t>
            </w:r>
          </w:p>
        </w:tc>
        <w:tc>
          <w:tcPr>
            <w:tcW w:w="255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69.96</w:t>
            </w:r>
          </w:p>
        </w:tc>
        <w:tc>
          <w:tcPr>
            <w:tcW w:w="135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33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vAlign w:val="top"/>
          </w:tcPr>
          <w:p>
            <w:pPr>
              <w:rPr>
                <w:rFonts w:hint="default" w:ascii="Times New Roman" w:hAnsi="Times New Roman" w:cs="Times New Roman"/>
                <w:b w:val="0"/>
                <w:bCs/>
                <w:sz w:val="24"/>
                <w:szCs w:val="24"/>
              </w:rPr>
            </w:pPr>
          </w:p>
        </w:tc>
        <w:tc>
          <w:tcPr>
            <w:tcW w:w="1423"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PTV1</w:t>
            </w:r>
          </w:p>
        </w:tc>
        <w:tc>
          <w:tcPr>
            <w:tcW w:w="1835"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1.82 ~ 2.00</w:t>
            </w:r>
          </w:p>
        </w:tc>
        <w:tc>
          <w:tcPr>
            <w:tcW w:w="255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60.06 ~ 66.00</w:t>
            </w:r>
          </w:p>
        </w:tc>
        <w:tc>
          <w:tcPr>
            <w:tcW w:w="1353" w:type="dxa"/>
            <w:tcBorders>
              <w:bottom w:val="nil"/>
            </w:tcBorders>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33</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796" w:type="dxa"/>
            <w:shd w:val="clear" w:color="auto" w:fill="auto"/>
            <w:vAlign w:val="top"/>
          </w:tcPr>
          <w:p>
            <w:pPr>
              <w:rPr>
                <w:rFonts w:hint="default" w:ascii="Times New Roman" w:hAnsi="Times New Roman" w:cs="Times New Roman"/>
                <w:b w:val="0"/>
                <w:bCs/>
                <w:sz w:val="24"/>
                <w:szCs w:val="24"/>
              </w:rPr>
            </w:pPr>
          </w:p>
        </w:tc>
        <w:tc>
          <w:tcPr>
            <w:tcW w:w="1423" w:type="dxa"/>
            <w:shd w:val="clear" w:color="auto" w:fill="auto"/>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PTV2</w:t>
            </w:r>
          </w:p>
        </w:tc>
        <w:tc>
          <w:tcPr>
            <w:tcW w:w="1835" w:type="dxa"/>
            <w:shd w:val="clear" w:color="auto" w:fill="auto"/>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1.82 ~ 2.00</w:t>
            </w:r>
          </w:p>
        </w:tc>
        <w:tc>
          <w:tcPr>
            <w:tcW w:w="2550" w:type="dxa"/>
            <w:shd w:val="clear" w:color="auto" w:fill="auto"/>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50.96 ~ 56.00</w:t>
            </w:r>
          </w:p>
        </w:tc>
        <w:tc>
          <w:tcPr>
            <w:tcW w:w="1353" w:type="dxa"/>
            <w:tcBorders>
              <w:top w:val="nil"/>
              <w:bottom w:val="single" w:color="auto" w:sz="18" w:space="0"/>
            </w:tcBorders>
            <w:shd w:val="clear" w:color="auto" w:fill="E6E6E6"/>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28</w:t>
            </w:r>
          </w:p>
        </w:tc>
      </w:tr>
    </w:tbl>
    <w:p>
      <w:pPr>
        <w:rPr>
          <w:rFonts w:hint="default" w:ascii="Times New Roman" w:hAnsi="Times New Roman" w:cs="Times New Roman"/>
          <w:b/>
          <w:sz w:val="24"/>
          <w:szCs w:val="24"/>
        </w:rPr>
      </w:pPr>
    </w:p>
    <w:p>
      <w:pPr>
        <w:pStyle w:val="2"/>
        <w:numPr>
          <w:ilvl w:val="0"/>
          <w:numId w:val="0"/>
        </w:numPr>
        <w:spacing w:after="120"/>
        <w:rPr>
          <w:rFonts w:hint="default" w:ascii="Times New Roman" w:hAnsi="Times New Roman" w:cs="Times New Roman"/>
          <w:b/>
          <w:sz w:val="24"/>
          <w:szCs w:val="24"/>
          <w:u w:val="none" w:color="FFFFFF"/>
        </w:rPr>
      </w:pPr>
      <w:bookmarkStart w:id="34" w:name="OLE_LINK17"/>
      <w:r>
        <w:rPr>
          <w:rFonts w:hint="default" w:ascii="Times New Roman" w:hAnsi="Times New Roman" w:cs="Times New Roman"/>
          <w:sz w:val="24"/>
          <w:szCs w:val="24"/>
          <w:u w:val="none" w:color="FFFFFF"/>
        </w:rPr>
        <w:t>Attachment 4: Response Assessment Criteria for Solid tumors (Response Evaluation Criteria In Solid Tumors, RECIST criteria)</w:t>
      </w:r>
    </w:p>
    <w:bookmarkEnd w:id="34"/>
    <w:p>
      <w:pPr>
        <w:spacing w:after="120" w:afterLines="50"/>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1. Case selection</w:t>
      </w:r>
    </w:p>
    <w:p>
      <w:pPr>
        <w:spacing w:after="120" w:afterLines="50"/>
        <w:ind w:firstLine="480" w:firstLineChars="200"/>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A study protocol with tumor remission as the primary endpoint will only enroll patients with measurable lesions at baseline.</w:t>
      </w:r>
    </w:p>
    <w:p>
      <w:pPr>
        <w:spacing w:after="120" w:afterLines="50"/>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2. Definition of lesions</w:t>
      </w:r>
    </w:p>
    <w:p>
      <w:pPr>
        <w:spacing w:after="120" w:afterLines="50"/>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rPr>
        <w:t>2.1 Measurable lesions</w:t>
      </w:r>
    </w:p>
    <w:p>
      <w:pPr>
        <w:ind w:firstLine="480" w:firstLineChars="200"/>
        <w:rPr>
          <w:rFonts w:hint="default" w:ascii="Times New Roman" w:hAnsi="Times New Roman" w:cs="Times New Roman"/>
          <w:b w:val="0"/>
          <w:bCs/>
          <w:sz w:val="24"/>
          <w:szCs w:val="24"/>
        </w:rPr>
      </w:pPr>
      <w:r>
        <w:rPr>
          <w:rFonts w:hint="default" w:ascii="Times New Roman" w:hAnsi="Times New Roman" w:cs="Times New Roman"/>
          <w:b w:val="0"/>
          <w:bCs/>
          <w:sz w:val="24"/>
          <w:szCs w:val="24"/>
          <w:u w:val="none" w:color="FFFFFF"/>
        </w:rPr>
        <w:t xml:space="preserve">  </w:t>
      </w:r>
      <w:r>
        <w:rPr>
          <w:rFonts w:hint="default" w:ascii="Times New Roman" w:hAnsi="Times New Roman" w:cs="Times New Roman"/>
          <w:b w:val="0"/>
          <w:bCs/>
          <w:sz w:val="24"/>
          <w:szCs w:val="24"/>
        </w:rPr>
        <w:t>Tumor lesion: at least one diameter (which can be recorded as maximum) with the following minimum length:</w:t>
      </w:r>
    </w:p>
    <w:p>
      <w:pPr>
        <w:pStyle w:val="25"/>
        <w:numPr>
          <w:ilvl w:val="0"/>
          <w:numId w:val="18"/>
        </w:numPr>
        <w:ind w:left="0" w:firstLine="484" w:firstLineChars="202"/>
        <w:rPr>
          <w:rFonts w:hint="default" w:ascii="Times New Roman" w:hAnsi="Times New Roman" w:cs="Times New Roman"/>
          <w:b w:val="0"/>
          <w:bCs/>
          <w:sz w:val="24"/>
          <w:szCs w:val="24"/>
        </w:rPr>
      </w:pPr>
      <w:r>
        <w:rPr>
          <w:rFonts w:hint="default" w:ascii="Times New Roman" w:hAnsi="Times New Roman" w:cs="Times New Roman"/>
          <w:b w:val="0"/>
          <w:bCs/>
          <w:sz w:val="24"/>
          <w:szCs w:val="24"/>
        </w:rPr>
        <w:t>CT scan 10 mm (CT scan layer thickness not greater than 5mm)</w:t>
      </w:r>
    </w:p>
    <w:p>
      <w:pPr>
        <w:pStyle w:val="25"/>
        <w:numPr>
          <w:ilvl w:val="0"/>
          <w:numId w:val="18"/>
        </w:numPr>
        <w:ind w:left="0" w:firstLine="484" w:firstLineChars="202"/>
        <w:rPr>
          <w:rFonts w:hint="default" w:ascii="Times New Roman" w:hAnsi="Times New Roman" w:cs="Times New Roman"/>
          <w:b w:val="0"/>
          <w:bCs/>
          <w:sz w:val="24"/>
          <w:szCs w:val="24"/>
        </w:rPr>
      </w:pPr>
      <w:r>
        <w:rPr>
          <w:rFonts w:hint="default" w:ascii="Times New Roman" w:hAnsi="Times New Roman" w:cs="Times New Roman"/>
          <w:b w:val="0"/>
          <w:bCs/>
          <w:sz w:val="24"/>
          <w:szCs w:val="24"/>
        </w:rPr>
        <w:t>Clinical routine examination instrument 10 mm (tumor lesion cannot be accurately measured with diameter instrument should be recorded as unmeasurable)</w:t>
      </w:r>
    </w:p>
    <w:p>
      <w:pPr>
        <w:pStyle w:val="25"/>
        <w:numPr>
          <w:ilvl w:val="0"/>
          <w:numId w:val="18"/>
        </w:numPr>
        <w:ind w:left="0" w:firstLine="484" w:firstLineChars="202"/>
        <w:rPr>
          <w:rFonts w:hint="default" w:ascii="Times New Roman" w:hAnsi="Times New Roman" w:cs="Times New Roman"/>
          <w:b w:val="0"/>
          <w:bCs/>
          <w:sz w:val="24"/>
          <w:szCs w:val="24"/>
        </w:rPr>
      </w:pPr>
      <w:r>
        <w:rPr>
          <w:rFonts w:hint="default" w:ascii="Times New Roman" w:hAnsi="Times New Roman" w:cs="Times New Roman"/>
          <w:b w:val="0"/>
          <w:bCs/>
          <w:sz w:val="24"/>
          <w:szCs w:val="24"/>
        </w:rPr>
        <w:t xml:space="preserve"> Chest X-ray at 20 mm</w:t>
      </w:r>
    </w:p>
    <w:p>
      <w:pPr>
        <w:pStyle w:val="25"/>
        <w:numPr>
          <w:ilvl w:val="0"/>
          <w:numId w:val="18"/>
        </w:numPr>
        <w:ind w:left="0" w:firstLine="484" w:firstLineChars="202"/>
        <w:rPr>
          <w:rFonts w:hint="default" w:ascii="Times New Roman" w:hAnsi="Times New Roman" w:cs="Times New Roman"/>
          <w:b w:val="0"/>
          <w:bCs/>
          <w:sz w:val="24"/>
          <w:szCs w:val="24"/>
        </w:rPr>
      </w:pPr>
      <w:r>
        <w:rPr>
          <w:rFonts w:hint="default" w:ascii="Times New Roman" w:hAnsi="Times New Roman" w:cs="Times New Roman"/>
          <w:b w:val="0"/>
          <w:bCs/>
          <w:sz w:val="24"/>
          <w:szCs w:val="24"/>
        </w:rPr>
        <w:t>Malignant lymph nodes: Pathologically enlarged and measurable, short CT scan diameter 15 mm (CT scan thickness recommended not more than 5 mm). At baseline and follow-up, only short paths were measured and followed up.</w:t>
      </w:r>
    </w:p>
    <w:p>
      <w:pPr>
        <w:spacing w:after="120" w:afterLines="50"/>
        <w:ind w:left="357"/>
        <w:jc w:val="both"/>
        <w:rPr>
          <w:rFonts w:hint="default" w:ascii="Times New Roman" w:hAnsi="Times New Roman" w:cs="Times New Roman"/>
          <w:b w:val="0"/>
          <w:bCs/>
          <w:sz w:val="24"/>
          <w:szCs w:val="24"/>
          <w:u w:val="none" w:color="FFFFFF"/>
        </w:rPr>
      </w:pPr>
    </w:p>
    <w:p>
      <w:pPr>
        <w:spacing w:after="120" w:afterLines="50"/>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rPr>
        <w:t>2.2 Non-measurable lesions</w:t>
      </w:r>
    </w:p>
    <w:p>
      <w:pPr>
        <w:ind w:firstLine="480" w:firstLineChars="200"/>
        <w:rPr>
          <w:rFonts w:hint="default" w:ascii="Times New Roman" w:hAnsi="Times New Roman" w:cs="Times New Roman"/>
          <w:b w:val="0"/>
          <w:bCs/>
          <w:sz w:val="24"/>
          <w:szCs w:val="24"/>
        </w:rPr>
      </w:pPr>
      <w:r>
        <w:rPr>
          <w:rFonts w:hint="default" w:ascii="Times New Roman" w:hAnsi="Times New Roman" w:cs="Times New Roman"/>
          <w:b w:val="0"/>
          <w:bCs/>
          <w:sz w:val="24"/>
          <w:szCs w:val="24"/>
        </w:rPr>
        <w:t>All other lesions, including small lesions (&lt;10 mm or 10 mm to &lt;15 mm) and unmeasurable lesions. Unmeasurable lesions include meningeal disease, ascites, pleural or pericardial effusion, inflammatory breast cancer, cancerous lymphangitis of the skin / lung, imaging of unconfirmed and follow-up abdominal mass, and cystic lesions.</w:t>
      </w:r>
    </w:p>
    <w:p>
      <w:pPr>
        <w:spacing w:after="120" w:afterLines="50"/>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3. Measurement method</w:t>
      </w:r>
    </w:p>
    <w:p>
      <w:pPr>
        <w:spacing w:after="120" w:afterLines="50"/>
        <w:ind w:left="357"/>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1 Physical examination: applicable only if the lesion is located on the body surface.</w:t>
      </w:r>
    </w:p>
    <w:p>
      <w:pPr>
        <w:spacing w:after="120" w:afterLines="50"/>
        <w:ind w:left="357"/>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 xml:space="preserve"> One chest x x: only if the measured lesion is well defined and the lungs are well ventilated, but preferably chest CT.</w:t>
      </w:r>
    </w:p>
    <w:p>
      <w:pPr>
        <w:spacing w:after="120" w:afterLines="50"/>
        <w:ind w:left="357"/>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-CT / MRI: currently the most commonly used and most reproducible test method.</w:t>
      </w:r>
    </w:p>
    <w:p>
      <w:pPr>
        <w:spacing w:after="120" w:afterLines="50"/>
        <w:ind w:left="357"/>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1 Ultrasound: When the primary endpoint of the study is the objective response rate, ultrasound examination should not be used as a means of efficacy evaluation.</w:t>
      </w:r>
    </w:p>
    <w:p>
      <w:pPr>
        <w:spacing w:after="120" w:afterLines="50"/>
        <w:ind w:left="357"/>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 xml:space="preserve"> A tumor marker: can not be used alone to evaluate efficacy alone. However, if the pre-treatment tumor markers are above the upper limit of normal, complete clinical remission can be evaluated when all tumor lesions disappear and the tumor markers also fall to the normal range.</w:t>
      </w:r>
    </w:p>
    <w:p>
      <w:pPr>
        <w:spacing w:after="120" w:afterLines="50"/>
        <w:ind w:left="357"/>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1 Cytology and histological evaluation: applicable in rare cases such as residual lesions and body cavity effusion.</w:t>
      </w:r>
    </w:p>
    <w:p>
      <w:pPr>
        <w:spacing w:after="120" w:afterLines="50"/>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4. Tumor response (efficacy) evaluation</w:t>
      </w:r>
    </w:p>
    <w:p>
      <w:pPr>
        <w:spacing w:after="120" w:afterLines="50"/>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rPr>
        <w:t>4.1 Target lesion (Target lesions) and baseline recording</w:t>
      </w:r>
    </w:p>
    <w:p>
      <w:pPr>
        <w:ind w:firstLine="570"/>
        <w:rPr>
          <w:rFonts w:hint="default" w:ascii="Times New Roman" w:hAnsi="Times New Roman" w:cs="Times New Roman"/>
          <w:b w:val="0"/>
          <w:bCs/>
          <w:sz w:val="24"/>
          <w:szCs w:val="24"/>
        </w:rPr>
      </w:pPr>
      <w:r>
        <w:rPr>
          <w:rFonts w:hint="default" w:ascii="Times New Roman" w:hAnsi="Times New Roman" w:cs="Times New Roman"/>
          <w:b w:val="0"/>
          <w:bCs/>
          <w:sz w:val="24"/>
          <w:szCs w:val="24"/>
          <w:u w:val="none" w:color="FFFFFF"/>
        </w:rPr>
        <w:t xml:space="preserve">   </w:t>
      </w:r>
      <w:r>
        <w:rPr>
          <w:rFonts w:hint="default" w:ascii="Times New Roman" w:hAnsi="Times New Roman" w:cs="Times New Roman"/>
          <w:b w:val="0"/>
          <w:bCs/>
          <w:sz w:val="24"/>
          <w:szCs w:val="24"/>
        </w:rPr>
        <w:t xml:space="preserve"> When there are more than one measurable lesions at baseline assessment, all lesions should be recorded and measured, a total of not more than 5 (no more than 2 each organ), as the target lesions represent all the organs involved (that is, patients with only one or two cumulative organs choose up to two or four target lesions as the baseline measurement lesions).</w:t>
      </w:r>
    </w:p>
    <w:p>
      <w:pPr>
        <w:ind w:firstLine="570"/>
        <w:rPr>
          <w:rFonts w:hint="default" w:ascii="Times New Roman" w:hAnsi="Times New Roman" w:cs="Times New Roman"/>
          <w:b w:val="0"/>
          <w:bCs/>
          <w:sz w:val="24"/>
          <w:szCs w:val="24"/>
        </w:rPr>
      </w:pPr>
      <w:r>
        <w:rPr>
          <w:rFonts w:hint="default" w:ascii="Times New Roman" w:hAnsi="Times New Roman" w:cs="Times New Roman"/>
          <w:b w:val="0"/>
          <w:bCs/>
          <w:sz w:val="24"/>
          <w:szCs w:val="24"/>
        </w:rPr>
        <w:t>Target lesions must be selected based on size (longest diameter), representative of all organs involved, and measurements must be well reproducible. Sometimes when the largest lesion cannot be repeatedly measured, the largest lesion can be reselected.</w:t>
      </w:r>
    </w:p>
    <w:p>
      <w:pPr>
        <w:ind w:firstLine="570"/>
        <w:rPr>
          <w:rFonts w:hint="default" w:ascii="Times New Roman" w:hAnsi="Times New Roman" w:cs="Times New Roman"/>
          <w:b w:val="0"/>
          <w:bCs/>
          <w:sz w:val="24"/>
          <w:szCs w:val="24"/>
        </w:rPr>
      </w:pPr>
      <w:r>
        <w:rPr>
          <w:rFonts w:hint="default" w:ascii="Times New Roman" w:hAnsi="Times New Roman" w:cs="Times New Roman"/>
          <w:b w:val="0"/>
          <w:bCs/>
          <w:sz w:val="24"/>
          <w:szCs w:val="24"/>
        </w:rPr>
        <w:t xml:space="preserve"> Lymph nodes need special attention because they are normal tissue and can be detected by imaging even in the absence of tumor metastasis. Pathological lymph nodes defined as measurable nodules or even target lesions must meet the following criteria: CT measurement of a short diameter of 15 mm. Baseline only detects the short diameter. Nodules with 10 mm diameter but &lt;15 mm should not be considered as target lesions. However, nodules &lt;10 mm do not belong to the category of pathological nodules and do not need to be recorded and further observed. The sum of the diameter of all target lesions (including the longest diameter of the non-nodular lesion and the short diameter of the nodular lesion) will be considered</w:t>
      </w:r>
    </w:p>
    <w:p>
      <w:pPr>
        <w:spacing w:after="120" w:afterLines="50"/>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rPr>
        <w:t xml:space="preserve"> Total amount of the baseline diameter is reported.</w:t>
      </w:r>
    </w:p>
    <w:p>
      <w:pPr>
        <w:spacing w:after="120" w:afterLines="50"/>
        <w:ind w:firstLine="588" w:firstLineChars="245"/>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rPr>
        <w:t xml:space="preserve"> Small to unmeasurable target lesions: In clinical studies, all baseline recorded lesions (nodules or non-nodules) should be recorded again in the later evaluation, even if the lesions are very small (e. g. 2 mm). When an exact measurement cannot be given, 5 mm.</w:t>
      </w:r>
    </w:p>
    <w:p>
      <w:pPr>
        <w:autoSpaceDE w:val="0"/>
        <w:autoSpaceDN w:val="0"/>
        <w:adjustRightInd w:val="0"/>
        <w:ind w:firstLine="480" w:firstLineChars="200"/>
        <w:rPr>
          <w:rFonts w:hint="default" w:ascii="Times New Roman" w:hAnsi="Times New Roman" w:cs="Times New Roman"/>
          <w:b w:val="0"/>
          <w:bCs/>
          <w:sz w:val="24"/>
          <w:szCs w:val="24"/>
        </w:rPr>
      </w:pPr>
      <w:r>
        <w:rPr>
          <w:rFonts w:hint="default" w:ascii="Times New Roman" w:hAnsi="Times New Roman" w:cs="Times New Roman"/>
          <w:b w:val="0"/>
          <w:bCs/>
          <w:sz w:val="24"/>
          <w:szCs w:val="24"/>
        </w:rPr>
        <w:t>Isolated or combined lesion: When the non-nodular lesion is divided into fragments, the longest diameter of each separated part is combined to calculate the sum of the lesion diameter. Similarly, for the binding lesions, they can be distinguished by the plane between the bound parts, and then the respective maximum diameter is calculated. However, if the combination is inseparable, the longest diameter should be taken as the longest diameter of the whole fusion lesion.</w:t>
      </w:r>
    </w:p>
    <w:p>
      <w:pPr>
        <w:autoSpaceDE w:val="0"/>
        <w:autoSpaceDN w:val="0"/>
        <w:adjustRightInd w:val="0"/>
        <w:ind w:firstLine="480" w:firstLineChars="200"/>
        <w:rPr>
          <w:rFonts w:hint="default" w:ascii="Times New Roman" w:hAnsi="Times New Roman" w:cs="Times New Roman"/>
          <w:b w:val="0"/>
          <w:bCs/>
          <w:sz w:val="24"/>
          <w:szCs w:val="24"/>
        </w:rPr>
      </w:pPr>
    </w:p>
    <w:p>
      <w:pPr>
        <w:spacing w:after="120" w:afterLines="50"/>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rPr>
        <w:t>4.2 Non-target lesion (Non-target lesions) and baseline recording</w:t>
      </w:r>
    </w:p>
    <w:p>
      <w:pPr>
        <w:spacing w:after="120" w:afterLines="50"/>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 xml:space="preserve"> All lesions (or lesion sites) except the target lesion should also be fully documented at the baseline evaluation;</w:t>
      </w:r>
    </w:p>
    <w:p>
      <w:pPr>
        <w:spacing w:after="120" w:afterLines="50"/>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These lesions do not need to be measured, but the presence / absence of these lesions is evaluated during the study.</w:t>
      </w:r>
    </w:p>
    <w:p>
      <w:pPr>
        <w:spacing w:after="120" w:afterLines="50"/>
        <w:jc w:val="both"/>
        <w:rPr>
          <w:rFonts w:hint="default" w:ascii="Times New Roman" w:hAnsi="Times New Roman" w:cs="Times New Roman"/>
          <w:b w:val="0"/>
          <w:bCs/>
          <w:sz w:val="24"/>
          <w:szCs w:val="24"/>
        </w:rPr>
      </w:pPr>
      <w:r>
        <w:rPr>
          <w:rFonts w:hint="default" w:ascii="Times New Roman" w:hAnsi="Times New Roman" w:cs="Times New Roman"/>
          <w:b w:val="0"/>
          <w:bCs/>
          <w:sz w:val="24"/>
          <w:szCs w:val="24"/>
        </w:rPr>
        <w:t>4.3 Evaluation Criteria</w:t>
      </w:r>
    </w:p>
    <w:tbl>
      <w:tblPr>
        <w:tblStyle w:val="10"/>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4620"/>
        <w:gridCol w:w="4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7" w:hRule="atLeast"/>
          <w:jc w:val="center"/>
        </w:trPr>
        <w:tc>
          <w:tcPr>
            <w:tcW w:w="576"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center"/>
              <w:textAlignment w:val="auto"/>
              <w:outlineLvl w:val="9"/>
              <w:rPr>
                <w:rFonts w:hint="default" w:ascii="Times New Roman" w:hAnsi="Times New Roman" w:cs="Times New Roman"/>
                <w:b w:val="0"/>
                <w:bCs/>
                <w:sz w:val="24"/>
                <w:szCs w:val="24"/>
                <w:u w:val="none" w:color="FFFFFF"/>
              </w:rPr>
            </w:pPr>
          </w:p>
        </w:tc>
        <w:tc>
          <w:tcPr>
            <w:tcW w:w="4620"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center"/>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Target focus</w:t>
            </w:r>
          </w:p>
        </w:tc>
        <w:tc>
          <w:tcPr>
            <w:tcW w:w="4644"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center"/>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Non-target lesions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576"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 xml:space="preserve"> CR</w:t>
            </w:r>
          </w:p>
        </w:tc>
        <w:tc>
          <w:tcPr>
            <w:tcW w:w="4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default" w:ascii="Times New Roman" w:hAnsi="Times New Roman" w:cs="Times New Roman"/>
                <w:b w:val="0"/>
                <w:bCs/>
                <w:sz w:val="24"/>
                <w:szCs w:val="24"/>
              </w:rPr>
            </w:pPr>
            <w:r>
              <w:rPr>
                <w:rFonts w:hint="default" w:ascii="Times New Roman" w:hAnsi="Times New Roman" w:cs="Times New Roman"/>
                <w:b w:val="0"/>
                <w:bCs/>
                <w:sz w:val="24"/>
                <w:szCs w:val="24"/>
              </w:rPr>
              <w:t xml:space="preserve"> All target lesions disappear, and the short diameter of all pathological lymph nodes (including target nodules and non-target nodules) must be reduced to &lt;10 mm.</w:t>
            </w:r>
          </w:p>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p>
        </w:tc>
        <w:tc>
          <w:tcPr>
            <w:tcW w:w="46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default" w:ascii="Times New Roman" w:hAnsi="Times New Roman" w:cs="Times New Roman"/>
                <w:b w:val="0"/>
                <w:bCs/>
                <w:sz w:val="24"/>
                <w:szCs w:val="24"/>
              </w:rPr>
            </w:pPr>
            <w:r>
              <w:rPr>
                <w:rFonts w:hint="default" w:ascii="Times New Roman" w:hAnsi="Times New Roman" w:cs="Times New Roman"/>
                <w:b w:val="0"/>
                <w:bCs/>
                <w:sz w:val="24"/>
                <w:szCs w:val="24"/>
              </w:rPr>
              <w:t>All non-target lesions disappeared and the tumor markers returned to normal levels. All lymph nodes were of non-pathological dimensions (short diameter &lt;10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76"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 xml:space="preserve"> PR</w:t>
            </w:r>
          </w:p>
        </w:tc>
        <w:tc>
          <w:tcPr>
            <w:tcW w:w="4620"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 xml:space="preserve"> Partial response: The sum of the target lesion was at least 30% less from baseline.</w:t>
            </w:r>
          </w:p>
        </w:tc>
        <w:tc>
          <w:tcPr>
            <w:tcW w:w="4644"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576"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 xml:space="preserve"> SD</w:t>
            </w:r>
          </w:p>
        </w:tc>
        <w:tc>
          <w:tcPr>
            <w:tcW w:w="4620"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rPr>
              <w:t xml:space="preserve"> The decrease of target lesions did not reach PR, and the degree of increase did not reach the PD level, in between the two. The minimum value of the sum of diameters can be used as a reference.</w:t>
            </w:r>
          </w:p>
        </w:tc>
        <w:tc>
          <w:tcPr>
            <w:tcW w:w="4644"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Incomplete response / stabilization: One or more non-target lesions were present and / or tumor marker levels remain above the normal range.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576"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 xml:space="preserve"> PD</w:t>
            </w:r>
          </w:p>
        </w:tc>
        <w:tc>
          <w:tcPr>
            <w:tcW w:w="4620"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rPr>
              <w:t xml:space="preserve"> Using the minimum value of the sum of the measured target lesions, the diameter and relative increase are at least 20% (if the baseline measurement is the minimum); otherwise, the absolute increase of the diameter and must be met (one or more new lesions are also considered as disease progression).</w:t>
            </w:r>
          </w:p>
        </w:tc>
        <w:tc>
          <w:tcPr>
            <w:tcW w:w="4644" w:type="dxa"/>
            <w:vAlign w:val="center"/>
          </w:tcPr>
          <w:p>
            <w:pPr>
              <w:keepNext w:val="0"/>
              <w:keepLines w:val="0"/>
              <w:pageBreakBefore w:val="0"/>
              <w:widowControl w:val="0"/>
              <w:kinsoku/>
              <w:wordWrap/>
              <w:overflowPunct/>
              <w:topLinePunct w:val="0"/>
              <w:autoSpaceDE/>
              <w:autoSpaceDN/>
              <w:bidi w:val="0"/>
              <w:adjustRightInd/>
              <w:snapToGrid/>
              <w:spacing w:after="50" w:line="240" w:lineRule="exact"/>
              <w:jc w:val="both"/>
              <w:textAlignment w:val="auto"/>
              <w:outlineLvl w:val="9"/>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Progression: presence of one or more new lesions and / or presence of non-target lesions.</w:t>
            </w:r>
          </w:p>
        </w:tc>
      </w:tr>
    </w:tbl>
    <w:p>
      <w:pPr>
        <w:spacing w:after="120" w:afterLines="50"/>
        <w:rPr>
          <w:rFonts w:hint="default" w:ascii="Times New Roman" w:hAnsi="Times New Roman" w:cs="Times New Roman"/>
          <w:b/>
          <w:sz w:val="24"/>
          <w:szCs w:val="24"/>
        </w:rPr>
      </w:pPr>
    </w:p>
    <w:p>
      <w:pPr>
        <w:spacing w:after="120" w:afterLines="50"/>
        <w:rPr>
          <w:rFonts w:hint="default" w:ascii="Times New Roman" w:hAnsi="Times New Roman" w:cs="Times New Roman"/>
          <w:b/>
          <w:sz w:val="24"/>
          <w:szCs w:val="24"/>
        </w:rPr>
      </w:pPr>
      <w:r>
        <w:rPr>
          <w:rFonts w:hint="default" w:ascii="Times New Roman" w:hAnsi="Times New Roman" w:cs="Times New Roman"/>
          <w:sz w:val="24"/>
          <w:szCs w:val="24"/>
        </w:rPr>
        <w:t>4.4 Time point response: subjects with target lesions (including or excluding non-target lesions)</w:t>
      </w:r>
    </w:p>
    <w:tbl>
      <w:tblPr>
        <w:tblStyle w:val="10"/>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Target focus</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Non-target lesions</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New lesions</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Total relief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CR</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CR</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mistake</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CR</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Non-CR / non-PD</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mistake</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CR</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Can't evaluate</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mistake</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PR</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Non-progressive or could not be fully assessed</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mistake</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SD</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Non-progressive or could not be fully assessed</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mistake</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SD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Not fully evaluated</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Non-progression</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mistake</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PD</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Any situation</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Yes or no</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Any situation</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PD</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Yes or no</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Any situation</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Any situation</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yes</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CR= complete remission</w:t>
            </w:r>
          </w:p>
        </w:tc>
        <w:tc>
          <w:tcPr>
            <w:tcW w:w="2130"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PR= partial remission</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SD= disease</w:t>
            </w:r>
          </w:p>
        </w:tc>
        <w:tc>
          <w:tcPr>
            <w:tcW w:w="2131" w:type="dxa"/>
            <w:vAlign w:val="top"/>
          </w:tcPr>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PD= PD</w:t>
            </w:r>
          </w:p>
          <w:p>
            <w:pPr>
              <w:rPr>
                <w:rFonts w:hint="default" w:ascii="Times New Roman" w:hAnsi="Times New Roman" w:cs="Times New Roman"/>
                <w:b w:val="0"/>
                <w:bCs/>
                <w:sz w:val="24"/>
                <w:szCs w:val="24"/>
              </w:rPr>
            </w:pPr>
            <w:r>
              <w:rPr>
                <w:rFonts w:hint="default" w:ascii="Times New Roman" w:hAnsi="Times New Roman" w:cs="Times New Roman"/>
                <w:b w:val="0"/>
                <w:bCs/>
                <w:sz w:val="24"/>
                <w:szCs w:val="24"/>
              </w:rPr>
              <w:t>NE = not assessed</w:t>
            </w:r>
          </w:p>
        </w:tc>
      </w:tr>
    </w:tbl>
    <w:p>
      <w:pPr>
        <w:spacing w:after="120" w:afterLines="50"/>
        <w:jc w:val="both"/>
        <w:rPr>
          <w:rFonts w:hint="default" w:ascii="Times New Roman" w:hAnsi="Times New Roman" w:cs="Times New Roman"/>
          <w:sz w:val="24"/>
          <w:szCs w:val="24"/>
          <w:u w:val="none" w:color="FFFFFF"/>
        </w:rPr>
      </w:pPr>
    </w:p>
    <w:p>
      <w:pPr>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5. Efficacy confirmation and time to response</w:t>
      </w:r>
    </w:p>
    <w:p>
      <w:pPr>
        <w:spacing w:after="120" w:afterLines="50"/>
        <w:rPr>
          <w:rFonts w:hint="default" w:ascii="Times New Roman" w:hAnsi="Times New Roman" w:cs="Times New Roman"/>
          <w:b w:val="0"/>
          <w:bCs/>
          <w:sz w:val="24"/>
          <w:szCs w:val="24"/>
        </w:rPr>
      </w:pPr>
      <w:r>
        <w:rPr>
          <w:rFonts w:hint="default" w:ascii="Times New Roman" w:hAnsi="Times New Roman" w:cs="Times New Roman"/>
          <w:b w:val="0"/>
          <w:bCs/>
          <w:sz w:val="24"/>
          <w:szCs w:val="24"/>
        </w:rPr>
        <w:t>5.1.</w:t>
      </w:r>
      <w:r>
        <w:rPr>
          <w:rFonts w:hint="default" w:ascii="Times New Roman" w:hAnsi="Times New Roman" w:cs="Times New Roman"/>
          <w:b w:val="0"/>
          <w:bCs/>
          <w:sz w:val="24"/>
          <w:szCs w:val="24"/>
        </w:rPr>
        <w:tab/>
      </w:r>
      <w:r>
        <w:rPr>
          <w:rFonts w:hint="default" w:ascii="Times New Roman" w:hAnsi="Times New Roman" w:cs="Times New Roman"/>
          <w:b w:val="0"/>
          <w:bCs/>
          <w:sz w:val="24"/>
          <w:szCs w:val="24"/>
        </w:rPr>
        <w:t xml:space="preserve"> Efficacy confirmation:</w:t>
      </w:r>
    </w:p>
    <w:p>
      <w:pPr>
        <w:spacing w:after="120" w:afterLines="50"/>
        <w:ind w:left="357"/>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Patients with CR or PR must be repeated four weeks after the initial evaluation of CR or PR to confirm efficacy.</w:t>
      </w:r>
    </w:p>
    <w:p>
      <w:pPr>
        <w:spacing w:after="120" w:afterLines="50"/>
        <w:rPr>
          <w:rFonts w:hint="default" w:ascii="Times New Roman" w:hAnsi="Times New Roman" w:cs="Times New Roman"/>
          <w:b w:val="0"/>
          <w:bCs/>
          <w:sz w:val="24"/>
          <w:szCs w:val="24"/>
        </w:rPr>
      </w:pPr>
      <w:r>
        <w:rPr>
          <w:rFonts w:hint="default" w:ascii="Times New Roman" w:hAnsi="Times New Roman" w:cs="Times New Roman"/>
          <w:b w:val="0"/>
          <w:bCs/>
          <w:sz w:val="24"/>
          <w:szCs w:val="24"/>
        </w:rPr>
        <w:t>5.2.</w:t>
      </w:r>
      <w:r>
        <w:rPr>
          <w:rFonts w:hint="default" w:ascii="Times New Roman" w:hAnsi="Times New Roman" w:cs="Times New Roman"/>
          <w:b w:val="0"/>
          <w:bCs/>
          <w:sz w:val="24"/>
          <w:szCs w:val="24"/>
        </w:rPr>
        <w:tab/>
      </w:r>
      <w:r>
        <w:rPr>
          <w:rFonts w:hint="default" w:ascii="Times New Roman" w:hAnsi="Times New Roman" w:cs="Times New Roman"/>
          <w:b w:val="0"/>
          <w:bCs/>
          <w:sz w:val="24"/>
          <w:szCs w:val="24"/>
        </w:rPr>
        <w:t xml:space="preserve"> Total remission period:</w:t>
      </w:r>
    </w:p>
    <w:p>
      <w:pPr>
        <w:spacing w:after="120" w:afterLines="50"/>
        <w:ind w:left="357"/>
        <w:jc w:val="both"/>
        <w:rPr>
          <w:rFonts w:hint="default" w:ascii="Times New Roman" w:hAnsi="Times New Roman" w:cs="Times New Roman"/>
          <w:b w:val="0"/>
          <w:bCs/>
          <w:sz w:val="24"/>
          <w:szCs w:val="24"/>
          <w:u w:val="none" w:color="FFFFFF"/>
        </w:rPr>
      </w:pPr>
      <w:r>
        <w:rPr>
          <w:rFonts w:hint="default" w:ascii="Times New Roman" w:hAnsi="Times New Roman" w:cs="Times New Roman"/>
          <w:b w:val="0"/>
          <w:bCs/>
          <w:sz w:val="24"/>
          <w:szCs w:val="24"/>
          <w:u w:val="none" w:color="FFFFFF"/>
        </w:rPr>
        <w:t>The first measurement met the criteria for CR or PR (subject to first recording) until the objectively recorded date of disease recurrence or progression (the minimum measured lesion after initiation of treatment was recorded as a reference to disease progression).</w:t>
      </w:r>
    </w:p>
    <w:p>
      <w:pPr>
        <w:spacing w:after="120" w:afterLines="50"/>
        <w:rPr>
          <w:rFonts w:hint="default" w:ascii="Times New Roman" w:hAnsi="Times New Roman" w:cs="Times New Roman"/>
          <w:b w:val="0"/>
          <w:bCs/>
          <w:sz w:val="24"/>
          <w:szCs w:val="24"/>
        </w:rPr>
      </w:pPr>
      <w:r>
        <w:rPr>
          <w:rFonts w:hint="default" w:ascii="Times New Roman" w:hAnsi="Times New Roman" w:cs="Times New Roman"/>
          <w:b w:val="0"/>
          <w:bCs/>
          <w:sz w:val="24"/>
          <w:szCs w:val="24"/>
        </w:rPr>
        <w:t>5.3.</w:t>
      </w:r>
      <w:r>
        <w:rPr>
          <w:rFonts w:hint="default" w:ascii="Times New Roman" w:hAnsi="Times New Roman" w:cs="Times New Roman"/>
          <w:b w:val="0"/>
          <w:bCs/>
          <w:sz w:val="24"/>
          <w:szCs w:val="24"/>
        </w:rPr>
        <w:tab/>
      </w:r>
      <w:r>
        <w:rPr>
          <w:rFonts w:hint="default" w:ascii="Times New Roman" w:hAnsi="Times New Roman" w:cs="Times New Roman"/>
          <w:b w:val="0"/>
          <w:bCs/>
          <w:sz w:val="24"/>
          <w:szCs w:val="24"/>
        </w:rPr>
        <w:t>stationary phase:</w:t>
      </w:r>
    </w:p>
    <w:p>
      <w:pPr>
        <w:rPr>
          <w:rFonts w:hint="default" w:ascii="Times New Roman" w:hAnsi="Times New Roman" w:cs="Times New Roman"/>
          <w:b w:val="0"/>
          <w:bCs/>
          <w:sz w:val="24"/>
          <w:szCs w:val="24"/>
        </w:rPr>
      </w:pPr>
      <w:r>
        <w:rPr>
          <w:rFonts w:hint="default" w:ascii="Times New Roman" w:hAnsi="Times New Roman" w:cs="Times New Roman"/>
          <w:b w:val="0"/>
          <w:bCs/>
          <w:sz w:val="24"/>
          <w:szCs w:val="24"/>
          <w:u w:val="none" w:color="FFFFFF"/>
        </w:rPr>
        <w:t>From the onset of treatment to disease progression, the minimum measurement lesion at the onset of treatment. For patients with SD, at least one follow-up lesion met SD criteria after a minimum of 6 – 8 weeks of entry into the study.</w:t>
      </w:r>
    </w:p>
    <w:p>
      <w:pPr>
        <w:rPr>
          <w:rFonts w:hint="default" w:ascii="Times New Roman" w:hAnsi="Times New Roman" w:cs="Times New Roman"/>
          <w:sz w:val="24"/>
          <w:szCs w:val="24"/>
        </w:rPr>
      </w:pPr>
    </w:p>
    <w:p>
      <w:pPr>
        <w:rPr>
          <w:rFonts w:hint="default" w:ascii="Times New Roman" w:hAnsi="Times New Roman" w:cs="Times New Roman"/>
          <w:sz w:val="24"/>
          <w:szCs w:val="24"/>
        </w:rPr>
      </w:pPr>
    </w:p>
    <w:p>
      <w:pPr>
        <w:spacing w:line="240" w:lineRule="auto"/>
        <w:ind w:left="0" w:leftChars="0" w:firstLine="0" w:firstLineChars="0"/>
        <w:jc w:val="left"/>
        <w:rPr>
          <w:rFonts w:hint="eastAsia" w:ascii="Times New Roman" w:hAnsi="Times New Roman" w:cs="Times New Roman"/>
          <w:b/>
          <w:bCs/>
          <w:sz w:val="24"/>
          <w:szCs w:val="24"/>
          <w:u w:val="none" w:color="FFFFFF"/>
          <w:lang w:val="en-US" w:eastAsia="zh-CN"/>
        </w:rPr>
      </w:pPr>
      <w:r>
        <w:rPr>
          <w:rFonts w:hint="default" w:ascii="Times New Roman" w:hAnsi="Times New Roman" w:cs="Times New Roman"/>
          <w:b/>
          <w:bCs/>
          <w:sz w:val="24"/>
          <w:szCs w:val="24"/>
          <w:u w:val="none" w:color="FFFFFF"/>
        </w:rPr>
        <w:t xml:space="preserve">Attachment </w:t>
      </w:r>
      <w:r>
        <w:rPr>
          <w:rFonts w:hint="eastAsia" w:cs="Times New Roman"/>
          <w:b/>
          <w:bCs/>
          <w:sz w:val="24"/>
          <w:szCs w:val="24"/>
          <w:u w:val="none" w:color="FFFFFF"/>
          <w:lang w:val="en-US" w:eastAsia="zh-CN"/>
        </w:rPr>
        <w:t>5</w:t>
      </w:r>
      <w:r>
        <w:rPr>
          <w:rFonts w:hint="default" w:ascii="Times New Roman" w:hAnsi="Times New Roman" w:cs="Times New Roman"/>
          <w:b/>
          <w:bCs/>
          <w:sz w:val="24"/>
          <w:szCs w:val="24"/>
          <w:u w:val="none" w:color="FFFFFF"/>
        </w:rPr>
        <w:t xml:space="preserve">: </w:t>
      </w:r>
      <w:r>
        <w:rPr>
          <w:rFonts w:hint="eastAsia" w:ascii="Times New Roman" w:hAnsi="Times New Roman" w:cs="Times New Roman"/>
          <w:b/>
          <w:bCs/>
          <w:sz w:val="24"/>
          <w:szCs w:val="24"/>
          <w:u w:val="none" w:color="FFFFFF"/>
          <w:lang w:val="en-US" w:eastAsia="zh-CN"/>
        </w:rPr>
        <w:t>CTCAE4.0 toxicity in head and neck</w:t>
      </w:r>
    </w:p>
    <w:p>
      <w:pPr>
        <w:spacing w:line="240" w:lineRule="auto"/>
        <w:ind w:left="0" w:leftChars="0" w:firstLine="0" w:firstLineChars="0"/>
        <w:jc w:val="both"/>
        <w:rPr>
          <w:rFonts w:hint="eastAsia" w:ascii="Times New Roman" w:hAnsi="Times New Roman" w:cs="Times New Roman"/>
          <w:b/>
          <w:bCs/>
          <w:sz w:val="24"/>
          <w:szCs w:val="24"/>
          <w:u w:val="none" w:color="FFFFFF"/>
          <w:lang w:val="en-US" w:eastAsia="zh-CN"/>
        </w:rPr>
      </w:pPr>
      <w:r>
        <w:rPr>
          <w:rFonts w:hint="eastAsia" w:ascii="Times New Roman" w:hAnsi="Times New Roman" w:cs="Times New Roman"/>
          <w:b/>
          <w:bCs/>
          <w:sz w:val="24"/>
          <w:szCs w:val="24"/>
          <w:u w:val="none" w:color="FFFFFF"/>
          <w:lang w:val="en-US" w:eastAsia="zh-CN"/>
        </w:rPr>
        <w:drawing>
          <wp:inline distT="0" distB="0" distL="114300" distR="114300">
            <wp:extent cx="4865370" cy="8852535"/>
            <wp:effectExtent l="0" t="0" r="11430" b="12065"/>
            <wp:docPr id="6" name="图片 6" descr="图片1_1_1_translate_20240117090418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1_1_1_translate_20240117090418_00(1)"/>
                    <pic:cNvPicPr>
                      <a:picLocks noChangeAspect="1"/>
                    </pic:cNvPicPr>
                  </pic:nvPicPr>
                  <pic:blipFill>
                    <a:blip r:embed="rId9"/>
                    <a:stretch>
                      <a:fillRect/>
                    </a:stretch>
                  </pic:blipFill>
                  <pic:spPr>
                    <a:xfrm>
                      <a:off x="0" y="0"/>
                      <a:ext cx="4865370" cy="8852535"/>
                    </a:xfrm>
                    <a:prstGeom prst="rect">
                      <a:avLst/>
                    </a:prstGeom>
                  </pic:spPr>
                </pic:pic>
              </a:graphicData>
            </a:graphic>
          </wp:inline>
        </w:drawing>
      </w:r>
    </w:p>
    <w:p>
      <w:pPr>
        <w:spacing w:line="240" w:lineRule="auto"/>
        <w:ind w:left="0" w:leftChars="0" w:firstLine="0" w:firstLineChars="0"/>
        <w:jc w:val="both"/>
        <w:rPr>
          <w:rFonts w:hint="eastAsia" w:ascii="Times New Roman" w:hAnsi="Times New Roman" w:cs="Times New Roman"/>
          <w:b/>
          <w:bCs/>
          <w:sz w:val="24"/>
          <w:szCs w:val="24"/>
          <w:u w:val="none" w:color="FFFFFF"/>
          <w:lang w:val="en-US" w:eastAsia="zh-CN"/>
        </w:rPr>
      </w:pPr>
      <w:r>
        <w:rPr>
          <w:rFonts w:hint="eastAsia" w:ascii="Times New Roman" w:hAnsi="Times New Roman" w:cs="Times New Roman"/>
          <w:b/>
          <w:bCs/>
          <w:sz w:val="24"/>
          <w:szCs w:val="24"/>
          <w:u w:val="none" w:color="FFFFFF"/>
          <w:lang w:val="en-US" w:eastAsia="zh-CN"/>
        </w:rPr>
        <w:drawing>
          <wp:inline distT="0" distB="0" distL="114300" distR="114300">
            <wp:extent cx="4865370" cy="8852535"/>
            <wp:effectExtent l="0" t="0" r="11430" b="12065"/>
            <wp:docPr id="7" name="图片 7" descr="图片1_1_1_translate_20240117090418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_1_1_translate_20240117090418_01"/>
                    <pic:cNvPicPr>
                      <a:picLocks noChangeAspect="1"/>
                    </pic:cNvPicPr>
                  </pic:nvPicPr>
                  <pic:blipFill>
                    <a:blip r:embed="rId10"/>
                    <a:stretch>
                      <a:fillRect/>
                    </a:stretch>
                  </pic:blipFill>
                  <pic:spPr>
                    <a:xfrm>
                      <a:off x="0" y="0"/>
                      <a:ext cx="4865370" cy="8852535"/>
                    </a:xfrm>
                    <a:prstGeom prst="rect">
                      <a:avLst/>
                    </a:prstGeom>
                  </pic:spPr>
                </pic:pic>
              </a:graphicData>
            </a:graphic>
          </wp:inline>
        </w:drawing>
      </w:r>
    </w:p>
    <w:p>
      <w:pPr>
        <w:spacing w:line="240" w:lineRule="auto"/>
        <w:ind w:left="0" w:leftChars="0" w:firstLine="0" w:firstLineChars="0"/>
        <w:jc w:val="center"/>
        <w:rPr>
          <w:rFonts w:hint="default" w:ascii="Times New Roman" w:hAnsi="Times New Roman" w:cs="Times New Roman"/>
          <w:b/>
          <w:i w:val="0"/>
          <w:sz w:val="24"/>
          <w:szCs w:val="24"/>
          <w:u w:val="none"/>
          <w:lang w:eastAsia="zh-CN"/>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ADDIN KYMRDOC </w:instrText>
      </w:r>
      <w:r>
        <w:rPr>
          <w:rFonts w:hint="default" w:ascii="Times New Roman" w:hAnsi="Times New Roman" w:cs="Times New Roman"/>
          <w:sz w:val="24"/>
          <w:szCs w:val="24"/>
        </w:rPr>
        <w:fldChar w:fldCharType="separate"/>
      </w:r>
      <w:r>
        <w:rPr>
          <w:rFonts w:hint="default" w:ascii="Times New Roman" w:hAnsi="Times New Roman" w:cs="Times New Roman"/>
          <w:b/>
          <w:i w:val="0"/>
          <w:sz w:val="24"/>
          <w:szCs w:val="24"/>
          <w:u w:val="none"/>
          <w:lang w:eastAsia="zh-CN"/>
        </w:rPr>
        <w:t>References</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[1]</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Chang ET, Ye W, Zeng YX, Adami HO. The Evolving Epidemiology of Nasopharyngeal Carcinoma. Cancer Epidemiol Biomarkers Prev. 2021. 30(6): 1035-1047.</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[2]</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Chen YP, Chan A, Le QT, Blanchard P, Sun Y, Ma J. Nasopharyngeal carcinoma. Lancet. 2019. 394(10192): 64-80.</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[3]</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Petit C, Lee A, Ma J, et al. Role of chemotherapy in patients with nasopharynx carcinoma treated with radiotherapy (MAC-NPC): an updated individual patient data network meta-analysis. Lancet Oncol. 2023. 24(6): 611-623.</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[4]</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Sun Y, Li WF, Chen NY, et al. Induction chemotherapy plus concurrent chemoradiotherapy versus concurrent chemoradiotherapy alone in locoregionally advanced nasopharyngeal carcinoma: a phase 3, multicentre, randomised controlled trial. Lancet Oncol. 2016. 17(11): 1509-1520.</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[5]</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Gou XX, Jin F, Wu WL, et al. Induction chronomodulated chemotherapy plus radiotherapy for nasopharyngeal carcinoma: A Phase II prospective randomized study. J Cancer Res Ther. 2018. 14(7): 1613-1619.</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[6]</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Bi T, Jin F, Wu W, et al. [Phase II clinical trial of two different modes of administration of the induction chemotherapy for locally advanced nasopharyngeal carcinoma]. Zhonghua Zhong Liu Za Zhi. 2015. 37(9): 676-81.</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[7]</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Zhang PX, Jin F, Li ZL, et al. A randomized phase II trial of induction chemotherapy followed by cisplatin chronotherapy versus constant rate delivery combined with radiotherapy. Chronobiol Int. 2018. 35(2): 240-248.</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[8]</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Blanchard P, Lee A, Carmel A, et al. Meta-analysis of chemotherapy in nasopharynx carcinoma (MAC-NPC): An update on 26 trials and 7080 patients. Clin Transl Radiat Oncol. 2022. 32: 59-68.</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[9]</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Blanchard P, Lee A, Marguet S, et al. Chemotherapy and radiotherapy in nasopharyngeal carcinoma: an update of the MAC-NPC meta-analysis. Lancet Oncol. 2015. 16(6): 645-55.</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[10]</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Lin JC, Jan JS, Hsu CY, Liang WM, Jiang RS, Wang WY. Phase III study of concurrent chemoradiotherapy versus radiotherapy alone for advanced nasopharyngeal carcinoma: positive effect on overall and progression-free survival. J Clin Oncol. 2003. 21(4): 631-7.</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[11]</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Chen L, Hu CS, Chen XZ, et al. Concurrent chemoradiotherapy plus adjuvant chemotherapy versus concurrent chemoradiotherapy alone in patients with locoregionally advanced nasopharyngeal carcinoma: a phase 3 multicentre randomised controlled trial. Lancet Oncol. 2012. 13(2): 163-71.</w:t>
      </w:r>
    </w:p>
    <w:p>
      <w:pPr>
        <w:spacing w:line="240" w:lineRule="auto"/>
        <w:ind w:left="720" w:leftChars="0" w:hanging="720" w:hangingChars="300"/>
        <w:jc w:val="both"/>
        <w:rPr>
          <w:rFonts w:hint="default" w:ascii="Times New Roman" w:hAnsi="Times New Roman" w:cs="Times New Roman"/>
          <w:b w:val="0"/>
          <w:i w:val="0"/>
          <w:sz w:val="24"/>
          <w:szCs w:val="24"/>
          <w:u w:val="none"/>
          <w:lang w:eastAsia="zh-CN"/>
        </w:rPr>
      </w:pPr>
      <w:r>
        <w:rPr>
          <w:rFonts w:hint="default" w:ascii="Times New Roman" w:hAnsi="Times New Roman" w:cs="Times New Roman"/>
          <w:b w:val="0"/>
          <w:i w:val="0"/>
          <w:sz w:val="24"/>
          <w:szCs w:val="24"/>
          <w:u w:val="none"/>
          <w:lang w:eastAsia="zh-CN"/>
        </w:rPr>
        <w:t>[12]</w:t>
      </w:r>
      <w:r>
        <w:rPr>
          <w:rFonts w:hint="default" w:ascii="Times New Roman" w:hAnsi="Times New Roman" w:cs="Times New Roman"/>
          <w:b w:val="0"/>
          <w:i w:val="0"/>
          <w:sz w:val="24"/>
          <w:szCs w:val="24"/>
          <w:u w:val="none"/>
          <w:lang w:eastAsia="zh-CN"/>
        </w:rPr>
        <w:tab/>
      </w:r>
      <w:r>
        <w:rPr>
          <w:rFonts w:hint="default" w:ascii="Times New Roman" w:hAnsi="Times New Roman" w:cs="Times New Roman"/>
          <w:b w:val="0"/>
          <w:i w:val="0"/>
          <w:sz w:val="24"/>
          <w:szCs w:val="24"/>
          <w:u w:val="none"/>
          <w:lang w:eastAsia="zh-CN"/>
        </w:rPr>
        <w:t>Bae WK, Hwang JE, Shim HJ, et al. Phase II study of docetaxel, cisplatin, and 5-FU induction chemotherapy followed by chemoradiotherapy in locoregionally advanced nasopharyngeal cancer. Cancer Chemother Pharmacol. 2010. 65(3): 589-95.</w:t>
      </w:r>
    </w:p>
    <w:p>
      <w:pPr>
        <w:spacing w:line="240" w:lineRule="auto"/>
        <w:ind w:left="720" w:leftChars="0" w:hanging="720" w:hangingChars="300"/>
        <w:jc w:val="both"/>
      </w:pPr>
      <w:r>
        <w:rPr>
          <w:rFonts w:hint="default" w:ascii="Times New Roman" w:hAnsi="Times New Roman" w:cs="Times New Roman"/>
          <w:sz w:val="24"/>
          <w:szCs w:val="24"/>
        </w:rPr>
        <w:fldChar w:fldCharType="end"/>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TimesNewRomanPS-BoldMT">
    <w:altName w:val="Segoe Print"/>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auto"/>
    <w:pitch w:val="default"/>
    <w:sig w:usb0="00000000" w:usb1="00000000" w:usb2="00000000" w:usb3="00000000" w:csb0="00000000" w:csb1="00000000"/>
  </w:font>
  <w:font w:name="Shaker2Lancet-Bold">
    <w:altName w:val="Segoe Print"/>
    <w:panose1 w:val="00000000000000000000"/>
    <w:charset w:val="00"/>
    <w:family w:val="auto"/>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AdvOTd710a12c">
    <w:altName w:val="Segoe Print"/>
    <w:panose1 w:val="00000000000000000000"/>
    <w:charset w:val="00"/>
    <w:family w:val="auto"/>
    <w:pitch w:val="default"/>
    <w:sig w:usb0="00000000" w:usb1="00000000" w:usb2="00000000" w:usb3="00000000" w:csb0="00000000" w:csb1="00000000"/>
  </w:font>
  <w:font w:name="AdvOTd710a12c + fb">
    <w:altName w:val="Segoe Print"/>
    <w:panose1 w:val="00000000000000000000"/>
    <w:charset w:val="00"/>
    <w:family w:val="auto"/>
    <w:pitch w:val="default"/>
    <w:sig w:usb0="00000000" w:usb1="00000000" w:usb2="00000000" w:usb3="00000000" w:csb0="00000000" w:csb1="00000000"/>
  </w:font>
  <w:font w:name="AdvOTd710a12c + 20">
    <w:altName w:val="Segoe Print"/>
    <w:panose1 w:val="00000000000000000000"/>
    <w:charset w:val="00"/>
    <w:family w:val="auto"/>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tabs>
        <w:tab w:val="center" w:pos="4419"/>
        <w:tab w:val="right" w:pos="8838"/>
        <w:tab w:val="clear" w:pos="4153"/>
        <w:tab w:val="clear" w:pos="8306"/>
      </w:tabs>
      <w:rPr>
        <w:rStyle w:val="12"/>
      </w:rPr>
    </w:pPr>
    <w:r>
      <w:rPr>
        <w:rStyle w:val="12"/>
      </w:rPr>
      <w:fldChar w:fldCharType="begin"/>
    </w:r>
    <w:r>
      <w:rPr>
        <w:rStyle w:val="12"/>
      </w:rPr>
      <w:instrText xml:space="preserve">PAGE  </w:instrText>
    </w:r>
    <w:r>
      <w:rPr>
        <w:rStyle w:val="12"/>
      </w:rPr>
      <w:fldChar w:fldCharType="separate"/>
    </w:r>
    <w:r>
      <w:rPr>
        <w:rStyle w:val="12"/>
      </w:rPr>
      <w:t>20</w:t>
    </w:r>
    <w:r>
      <w:rPr>
        <w:rStyle w:val="12"/>
      </w:rPr>
      <w:fldChar w:fldCharType="end"/>
    </w:r>
  </w:p>
  <w:p>
    <w:pPr>
      <w:rPr>
        <w:rFonts w:hint="eastAsia"/>
      </w:rPr>
    </w:pPr>
    <w:r>
      <w:rPr>
        <w:kern w:val="0"/>
        <w:szCs w:val="21"/>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tabs>
                              <w:tab w:val="center" w:pos="4419"/>
                              <w:tab w:val="right" w:pos="8838"/>
                              <w:tab w:val="clear" w:pos="4153"/>
                              <w:tab w:val="clear" w:pos="8306"/>
                            </w:tabs>
                            <w:rPr>
                              <w:rStyle w:val="12"/>
                            </w:rPr>
                          </w:pPr>
                          <w:r>
                            <w:rPr>
                              <w:rStyle w:val="12"/>
                            </w:rPr>
                            <w:fldChar w:fldCharType="begin"/>
                          </w:r>
                          <w:r>
                            <w:rPr>
                              <w:rStyle w:val="12"/>
                            </w:rPr>
                            <w:instrText xml:space="preserve">PAGE  </w:instrText>
                          </w:r>
                          <w:r>
                            <w:rPr>
                              <w:rStyle w:val="12"/>
                            </w:rPr>
                            <w:fldChar w:fldCharType="separate"/>
                          </w:r>
                          <w:r>
                            <w:rPr>
                              <w:rStyle w:val="12"/>
                            </w:rPr>
                            <w:t>20</w:t>
                          </w:r>
                          <w:r>
                            <w:rPr>
                              <w:rStyle w:val="1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tabs>
                        <w:tab w:val="center" w:pos="4419"/>
                        <w:tab w:val="right" w:pos="8838"/>
                        <w:tab w:val="clear" w:pos="4153"/>
                        <w:tab w:val="clear" w:pos="8306"/>
                      </w:tabs>
                      <w:rPr>
                        <w:rStyle w:val="12"/>
                      </w:rPr>
                    </w:pPr>
                    <w:r>
                      <w:rPr>
                        <w:rStyle w:val="12"/>
                      </w:rPr>
                      <w:fldChar w:fldCharType="begin"/>
                    </w:r>
                    <w:r>
                      <w:rPr>
                        <w:rStyle w:val="12"/>
                      </w:rPr>
                      <w:instrText xml:space="preserve">PAGE  </w:instrText>
                    </w:r>
                    <w:r>
                      <w:rPr>
                        <w:rStyle w:val="12"/>
                      </w:rPr>
                      <w:fldChar w:fldCharType="separate"/>
                    </w:r>
                    <w:r>
                      <w:rPr>
                        <w:rStyle w:val="12"/>
                      </w:rPr>
                      <w:t>20</w:t>
                    </w:r>
                    <w:r>
                      <w:rPr>
                        <w:rStyle w:val="12"/>
                      </w:rPr>
                      <w:fldChar w:fldCharType="end"/>
                    </w:r>
                  </w:p>
                </w:txbxContent>
              </v:textbox>
            </v:shape>
          </w:pict>
        </mc:Fallback>
      </mc:AlternateContent>
    </w:r>
    <w:r>
      <w:rPr>
        <w:kern w:val="0"/>
        <w:szCs w:val="21"/>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55F6E"/>
    <w:multiLevelType w:val="singleLevel"/>
    <w:tmpl w:val="91B55F6E"/>
    <w:lvl w:ilvl="0" w:tentative="0">
      <w:start w:val="1"/>
      <w:numFmt w:val="decimalEnclosedCircleChinese"/>
      <w:suff w:val="nothing"/>
      <w:lvlText w:val="%1　"/>
      <w:lvlJc w:val="left"/>
      <w:pPr>
        <w:ind w:left="0" w:firstLine="400"/>
      </w:pPr>
      <w:rPr>
        <w:rFonts w:hint="eastAsia"/>
      </w:rPr>
    </w:lvl>
  </w:abstractNum>
  <w:abstractNum w:abstractNumId="1">
    <w:nsid w:val="91E6E4CF"/>
    <w:multiLevelType w:val="multilevel"/>
    <w:tmpl w:val="91E6E4CF"/>
    <w:lvl w:ilvl="0" w:tentative="0">
      <w:start w:val="1"/>
      <w:numFmt w:val="decimal"/>
      <w:suff w:val="nothing"/>
      <w:lvlText w:val="%1."/>
      <w:lvlJc w:val="left"/>
      <w:pPr>
        <w:ind w:left="360" w:hanging="360"/>
      </w:pPr>
      <w:rPr>
        <w:rFonts w:hint="default"/>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9D8F5A1C"/>
    <w:multiLevelType w:val="singleLevel"/>
    <w:tmpl w:val="9D8F5A1C"/>
    <w:lvl w:ilvl="0" w:tentative="0">
      <w:start w:val="1"/>
      <w:numFmt w:val="decimal"/>
      <w:suff w:val="nothing"/>
      <w:lvlText w:val="%1."/>
      <w:lvlJc w:val="left"/>
    </w:lvl>
  </w:abstractNum>
  <w:abstractNum w:abstractNumId="3">
    <w:nsid w:val="C71EEBCE"/>
    <w:multiLevelType w:val="multilevel"/>
    <w:tmpl w:val="C71EEBCE"/>
    <w:lvl w:ilvl="0" w:tentative="0">
      <w:start w:val="1"/>
      <w:numFmt w:val="decimal"/>
      <w:suff w:val="nothing"/>
      <w:lvlText w:val="%1."/>
      <w:lvlJc w:val="left"/>
      <w:pPr>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F8D658D3"/>
    <w:multiLevelType w:val="singleLevel"/>
    <w:tmpl w:val="F8D658D3"/>
    <w:lvl w:ilvl="0" w:tentative="0">
      <w:start w:val="1"/>
      <w:numFmt w:val="lowerLetter"/>
      <w:suff w:val="nothing"/>
      <w:lvlText w:val="%1."/>
      <w:lvlJc w:val="left"/>
      <w:pPr>
        <w:ind w:left="425" w:hanging="425"/>
      </w:pPr>
      <w:rPr>
        <w:rFonts w:hint="default"/>
      </w:rPr>
    </w:lvl>
  </w:abstractNum>
  <w:abstractNum w:abstractNumId="5">
    <w:nsid w:val="013473F1"/>
    <w:multiLevelType w:val="singleLevel"/>
    <w:tmpl w:val="013473F1"/>
    <w:lvl w:ilvl="0" w:tentative="0">
      <w:start w:val="6"/>
      <w:numFmt w:val="decimal"/>
      <w:suff w:val="nothing"/>
      <w:lvlText w:val="（%1）"/>
      <w:lvlJc w:val="left"/>
    </w:lvl>
  </w:abstractNum>
  <w:abstractNum w:abstractNumId="6">
    <w:nsid w:val="0E673C08"/>
    <w:multiLevelType w:val="multilevel"/>
    <w:tmpl w:val="0E673C0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32F4CC0"/>
    <w:multiLevelType w:val="singleLevel"/>
    <w:tmpl w:val="132F4CC0"/>
    <w:lvl w:ilvl="0" w:tentative="0">
      <w:start w:val="1"/>
      <w:numFmt w:val="lowerLetter"/>
      <w:suff w:val="nothing"/>
      <w:lvlText w:val="%1."/>
      <w:lvlJc w:val="left"/>
      <w:pPr>
        <w:ind w:left="425" w:hanging="425"/>
      </w:pPr>
      <w:rPr>
        <w:rFonts w:hint="default"/>
      </w:rPr>
    </w:lvl>
  </w:abstractNum>
  <w:abstractNum w:abstractNumId="8">
    <w:nsid w:val="1C50F970"/>
    <w:multiLevelType w:val="singleLevel"/>
    <w:tmpl w:val="1C50F970"/>
    <w:lvl w:ilvl="0" w:tentative="0">
      <w:start w:val="1"/>
      <w:numFmt w:val="lowerLetter"/>
      <w:suff w:val="nothing"/>
      <w:lvlText w:val="%1."/>
      <w:lvlJc w:val="left"/>
      <w:pPr>
        <w:ind w:left="425" w:hanging="425"/>
      </w:pPr>
      <w:rPr>
        <w:rFonts w:hint="default"/>
      </w:rPr>
    </w:lvl>
  </w:abstractNum>
  <w:abstractNum w:abstractNumId="9">
    <w:nsid w:val="22FD09B2"/>
    <w:multiLevelType w:val="multilevel"/>
    <w:tmpl w:val="22FD09B2"/>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0">
    <w:nsid w:val="264C685E"/>
    <w:multiLevelType w:val="multilevel"/>
    <w:tmpl w:val="264C685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28D037A1"/>
    <w:multiLevelType w:val="singleLevel"/>
    <w:tmpl w:val="28D037A1"/>
    <w:lvl w:ilvl="0" w:tentative="0">
      <w:start w:val="1"/>
      <w:numFmt w:val="bullet"/>
      <w:lvlText w:val=""/>
      <w:lvlJc w:val="left"/>
      <w:pPr>
        <w:ind w:left="420" w:hanging="420"/>
      </w:pPr>
      <w:rPr>
        <w:rFonts w:hint="default" w:ascii="Wingdings" w:hAnsi="Wingdings"/>
      </w:rPr>
    </w:lvl>
  </w:abstractNum>
  <w:abstractNum w:abstractNumId="12">
    <w:nsid w:val="2EB35347"/>
    <w:multiLevelType w:val="multilevel"/>
    <w:tmpl w:val="2EB3534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401B9E7E"/>
    <w:multiLevelType w:val="singleLevel"/>
    <w:tmpl w:val="401B9E7E"/>
    <w:lvl w:ilvl="0" w:tentative="0">
      <w:start w:val="1"/>
      <w:numFmt w:val="lowerLetter"/>
      <w:suff w:val="nothing"/>
      <w:lvlText w:val="%1."/>
      <w:lvlJc w:val="left"/>
      <w:pPr>
        <w:ind w:left="425" w:hanging="425"/>
      </w:pPr>
      <w:rPr>
        <w:rFonts w:hint="default"/>
      </w:rPr>
    </w:lvl>
  </w:abstractNum>
  <w:abstractNum w:abstractNumId="14">
    <w:nsid w:val="6654A60B"/>
    <w:multiLevelType w:val="singleLevel"/>
    <w:tmpl w:val="6654A60B"/>
    <w:lvl w:ilvl="0" w:tentative="0">
      <w:start w:val="1"/>
      <w:numFmt w:val="bullet"/>
      <w:lvlText w:val=""/>
      <w:lvlJc w:val="left"/>
      <w:pPr>
        <w:ind w:left="420" w:hanging="420"/>
      </w:pPr>
      <w:rPr>
        <w:rFonts w:hint="default" w:ascii="Wingdings" w:hAnsi="Wingdings"/>
      </w:rPr>
    </w:lvl>
  </w:abstractNum>
  <w:abstractNum w:abstractNumId="15">
    <w:nsid w:val="6838061A"/>
    <w:multiLevelType w:val="multilevel"/>
    <w:tmpl w:val="6838061A"/>
    <w:lvl w:ilvl="0" w:tentative="0">
      <w:start w:val="1"/>
      <w:numFmt w:val="decimal"/>
      <w:lvlText w:val="%1."/>
      <w:lvlJc w:val="left"/>
      <w:pPr>
        <w:ind w:left="420" w:hanging="420"/>
      </w:pPr>
      <w:rPr>
        <w:rFonts w:hint="eastAsia" w:ascii="Arial Unicode MS" w:hAnsi="Arial Unicode MS" w:eastAsia="Arial Unicode M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076AD2E"/>
    <w:multiLevelType w:val="singleLevel"/>
    <w:tmpl w:val="7076AD2E"/>
    <w:lvl w:ilvl="0" w:tentative="0">
      <w:start w:val="1"/>
      <w:numFmt w:val="bullet"/>
      <w:lvlText w:val=""/>
      <w:lvlJc w:val="left"/>
      <w:pPr>
        <w:ind w:left="420" w:hanging="420"/>
      </w:pPr>
      <w:rPr>
        <w:rFonts w:hint="default" w:ascii="Wingdings" w:hAnsi="Wingdings"/>
      </w:rPr>
    </w:lvl>
  </w:abstractNum>
  <w:abstractNum w:abstractNumId="17">
    <w:nsid w:val="7A1A10F6"/>
    <w:multiLevelType w:val="multilevel"/>
    <w:tmpl w:val="7A1A10F6"/>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2"/>
  </w:num>
  <w:num w:numId="2">
    <w:abstractNumId w:val="1"/>
  </w:num>
  <w:num w:numId="3">
    <w:abstractNumId w:val="3"/>
  </w:num>
  <w:num w:numId="4">
    <w:abstractNumId w:val="15"/>
  </w:num>
  <w:num w:numId="5">
    <w:abstractNumId w:val="9"/>
  </w:num>
  <w:num w:numId="6">
    <w:abstractNumId w:val="6"/>
  </w:num>
  <w:num w:numId="7">
    <w:abstractNumId w:val="7"/>
  </w:num>
  <w:num w:numId="8">
    <w:abstractNumId w:val="8"/>
  </w:num>
  <w:num w:numId="9">
    <w:abstractNumId w:val="4"/>
  </w:num>
  <w:num w:numId="10">
    <w:abstractNumId w:val="17"/>
  </w:num>
  <w:num w:numId="11">
    <w:abstractNumId w:val="11"/>
  </w:num>
  <w:num w:numId="12">
    <w:abstractNumId w:val="16"/>
  </w:num>
  <w:num w:numId="13">
    <w:abstractNumId w:val="10"/>
  </w:num>
  <w:num w:numId="14">
    <w:abstractNumId w:val="14"/>
  </w:num>
  <w:num w:numId="15">
    <w:abstractNumId w:val="5"/>
  </w:num>
  <w:num w:numId="16">
    <w:abstractNumId w:val="0"/>
  </w:num>
  <w:num w:numId="17">
    <w:abstractNumId w:val="13"/>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kNDEyYjYzNmUzMGExYTZmZWZhNjJlMTdmOGEzM2QifQ=="/>
    <w:docVar w:name="KY.MR.DATA{93EBA3E8-6F3A-4856-9B16-47EAA13064B5}1055" w:val="&lt;KyMRNote dbid=&quot;{93EBA3E8-6F3A-4856-9B16-47EAA13064B5}&quot; recid=&quot;1055&quot;&gt;&lt;Data&gt;&lt;Field id=&quot;AccessNum&quot;&gt;30589048&lt;/Field&gt;&lt;Field id=&quot;Author&quot; FirstData=&quot;1&quot; FirstStyle=&quot;458752&quot; OtherStyle=&quot;0&quot;&gt;Gou XX;Jin F;Wu WL;Long JH;Li YY;Gong XY;Chen GY;Chen XX;Liu LN;&lt;/Field&gt;&lt;Field id=&quot;AuthorTrans&quot;&gt;&lt;/Field&gt;&lt;Field id=&quot;DOI&quot;&gt;10.4103/jcrt.JCRT_883_17&lt;/Field&gt;&lt;Field id=&quot;Editor&quot;&gt;&lt;/Field&gt;&lt;Field id=&quot;FmtTitle&quot;&gt;&lt;/Field&gt;&lt;Field id=&quot;ISSN&quot;&gt;1998-4138&lt;/Field&gt;&lt;Field id=&quot;Issue&quot;&gt;7&lt;/Field&gt;&lt;Field id=&quot;LIID&quot;&gt;1055&lt;/Field&gt;&lt;Field id=&quot;Magazine&quot;&gt;Journal of cancer research and therapeutics&lt;/Field&gt;&lt;Field id=&quot;MagazineAB&quot;&gt;J Cancer Res Ther&lt;/Field&gt;&lt;Field id=&quot;MagazineTrans&quot;&gt;&lt;/Field&gt;&lt;Field id=&quot;PageNum&quot;&gt;1613-1619&lt;/Field&gt;&lt;Field id=&quot;PubDate&quot;&gt;&lt;/Field&gt;&lt;Field id=&quot;PubPlace&quot;&gt;India&lt;/Field&gt;&lt;Field id=&quot;PubPlaceTrans&quot;&gt;&lt;/Field&gt;&lt;Field id=&quot;PubYear&quot;&gt;2018&lt;/Field&gt;&lt;Field id=&quot;Publisher&quot;&gt;Wolters Kluwer Medknow Publications&lt;/Field&gt;&lt;Field id=&quot;PublisherTrans&quot;&gt;&lt;/Field&gt;&lt;Field id=&quot;TITrans&quot;&gt;&lt;/Field&gt;&lt;Field id=&quot;Title&quot;&gt;Induction chronomodulated chemotherapy plus radiotherapy for nasopharyngeal carcinoma: A Phase II prospective randomized study.&lt;/Field&gt;&lt;Field id=&quot;Translator&quot;&gt;&lt;/Field&gt;&lt;Field id=&quot;Type&quot;&gt;{041D4F77-279E-4405-0002-4388361B9CFF}&lt;/Field&gt;&lt;Field id=&quot;Version&quot;&gt;&lt;/Field&gt;&lt;Field id=&quot;Vol&quot;&gt;14&lt;/Field&gt;&lt;Field id=&quot;Factor&quot;&gt;1.331&lt;/Field&gt;&lt;Field id=&quot;Author2&quot;&gt;Gou,XX;Jin,F;Wu,WL;&lt;/Field&gt;&lt;/Data&gt;&lt;Ref&gt;&lt;Display&gt;&lt;Text StringText=&quot;「RefIndex」&quot; StringTextOri=&quot;「RefIndex」&quot; SuperScript=&quot;true&quot;/&gt;&lt;/Display&gt;&lt;/Ref&gt;&lt;Doc&gt;&lt;Display&gt;&lt;Text StringText=&quot;Gou XX, Jin F, Wu WL, et al.&quot; StringGroup=&quot;Author&quot;/&gt;_x000d__x000a_   &lt;Text StringText=&quot; &quot; StringGroup=&quot;Author&quot;/&gt;_x000d__x000a_   &lt;Text StringText=&quot;Induction chronomodulated chemotherapy plus radiotherapy for nasopharyngeal carcinoma: A Phase II prospective randomized study&quot; StringGroup=&quot;Title&quot;/&gt;_x000d__x000a_   &lt;Text StringText=&quot;. &quot; StringGroup=&quot;Title&quot;/&gt;_x000d__x000a_   &lt;Text StringText=&quot;J Cancer Res Ther&quot; StringGroup=&quot;Magazine&quot;/&gt;_x000d__x000a_   &lt;Text StringText=&quot;. &quot; StringGroup=&quot;Magazine&quot;/&gt;_x000d__x000a_   &lt;Text StringText=&quot;2018&quot; StringGroup=&quot;PubYear&quot;/&gt;_x000d__x000a_   &lt;Text StringText=&quot;. &quot; StringGroup=&quot;PubYear&quot;/&gt;_x000d__x000a_   &lt;Text StringText=&quot;14&quot; StringGroup=&quot;Vol&quot;/&gt;_x000d__x000a_   &lt;Text StringText=&quot;(&quot; StringGroup=&quot;Issue&quot;/&gt;_x000d__x000a_   &lt;Text StringText=&quot;7&quot; StringGroup=&quot;Issue&quot;/&gt;_x000d__x000a_   &lt;Text StringText=&quot;)&quot; StringGroup=&quot;Issue&quot;/&gt;_x000d__x000a_   &lt;Text StringText=&quot;: &quot; StringGroup=&quot;PageNum&quot;/&gt;_x000d__x000a_   &lt;Text StringText=&quot;1613-1619&quot; StringGroup=&quot;PageNum&quot;/&gt;_x000d__x000a_   &lt;Text StringText=&quot;.&quot; StringGroup=&quot;none&quot;/&gt;_x000d__x000a_  &lt;/Display&gt;&lt;/Doc&gt;&lt;/KyMRNote&gt;"/>
    <w:docVar w:name="KY.MR.DATA{93EBA3E8-6F3A-4856-9B16-47EAA13064B5}1056" w:val="&lt;KyMRNote dbid=&quot;{93EBA3E8-6F3A-4856-9B16-47EAA13064B5}&quot; recid=&quot;1056&quot;&gt;&lt;Data&gt;&lt;Field id=&quot;AccessNum&quot;&gt;26813432&lt;/Field&gt;&lt;Field id=&quot;Author&quot; FirstData=&quot;1&quot; FirstStyle=&quot;327680&quot; OtherStyle=&quot;0&quot;&gt;Bi T;Jin F;Wu W;Long J;Li Y;Gong X;Luo X;Li Z;He Q;Qu B;&lt;/Field&gt;&lt;Field id=&quot;AuthorTrans&quot;&gt;&lt;/Field&gt;&lt;Field id=&quot;DOI&quot;&gt;&lt;/Field&gt;&lt;Field id=&quot;Editor&quot;&gt;&lt;/Field&gt;&lt;Field id=&quot;FmtTitle&quot;&gt;&lt;/Field&gt;&lt;Field id=&quot;ISSN&quot;&gt;0253-3766&lt;/Field&gt;&lt;Field id=&quot;Issue&quot;&gt;9&lt;/Field&gt;&lt;Field id=&quot;LIID&quot;&gt;1056&lt;/Field&gt;&lt;Field id=&quot;Magazine&quot;&gt;Zhonghua zhong liu za zhi [Chinese journal of oncology]&lt;/Field&gt;&lt;Field id=&quot;MagazineAB&quot;&gt;Zhonghua Zhong Liu Za Zhi&lt;/Field&gt;&lt;Field id=&quot;MagazineTrans&quot;&gt;&lt;/Field&gt;&lt;Field id=&quot;PageNum&quot;&gt;676-81&lt;/Field&gt;&lt;Field id=&quot;PubDate&quot;&gt;Sep&lt;/Field&gt;&lt;Field id=&quot;PubPlace&quot;&gt;China&lt;/Field&gt;&lt;Field id=&quot;PubPlaceTrans&quot;&gt;&lt;/Field&gt;&lt;Field id=&quot;PubYear&quot;&gt;2015&lt;/Field&gt;&lt;Field id=&quot;Publisher&quot;&gt;other&lt;/Field&gt;&lt;Field id=&quot;PublisherTrans&quot;&gt;&lt;/Field&gt;&lt;Field id=&quot;TITrans&quot;&gt;&lt;/Field&gt;&lt;Field id=&quot;Title&quot;&gt;[Phase II clinical trial of two different modes of administration of the induction chemotherapy for locally advanced nasopharyngeal carcinoma].&lt;/Field&gt;&lt;Field id=&quot;Translator&quot;&gt;&lt;/Field&gt;&lt;Field id=&quot;Type&quot;&gt;{041D4F77-279E-4405-0002-4388361B9CFF}&lt;/Field&gt;&lt;Field id=&quot;Version&quot;&gt;&lt;/Field&gt;&lt;Field id=&quot;Vol&quot;&gt;37&lt;/Field&gt;&lt;Field id=&quot;Factor&quot;/&gt;&lt;Field id=&quot;Author2&quot;&gt;Bi,T;Jin,F;Wu,W;&lt;/Field&gt;&lt;/Data&gt;&lt;Ref&gt;&lt;Display&gt;&lt;Text StringText=&quot;「RefIndex」&quot; StringTextOri=&quot;「RefIndex」&quot; SuperScript=&quot;true&quot;/&gt;&lt;/Display&gt;&lt;/Ref&gt;&lt;Doc&gt;&lt;Display&gt;&lt;Text StringText=&quot;Bi T, Jin F, Wu W, et al.&quot; StringGroup=&quot;Author&quot;/&gt;_x000d__x000a_   &lt;Text StringText=&quot; &quot; StringGroup=&quot;Author&quot;/&gt;_x000d__x000a_   &lt;Text StringText=&quot;[Phase II clinical trial of two different modes of administration of the induction chemotherapy for locally advanced nasopharyngeal carcinoma]&quot; StringGroup=&quot;Title&quot;/&gt;_x000d__x000a_   &lt;Text StringText=&quot;. &quot; StringGroup=&quot;Title&quot;/&gt;_x000d__x000a_   &lt;Text StringText=&quot;Zhonghua Zhong Liu Za Zhi&quot; StringGroup=&quot;Magazine&quot;/&gt;_x000d__x000a_   &lt;Text StringText=&quot;. &quot; StringGroup=&quot;Magazine&quot;/&gt;_x000d__x000a_   &lt;Text StringText=&quot;2015&quot; StringGroup=&quot;PubYear&quot;/&gt;_x000d__x000a_   &lt;Text StringText=&quot;. &quot; StringGroup=&quot;PubYear&quot;/&gt;_x000d__x000a_   &lt;Text StringText=&quot;37&quot; StringGroup=&quot;Vol&quot;/&gt;_x000d__x000a_   &lt;Text StringText=&quot;(&quot; StringGroup=&quot;Issue&quot;/&gt;_x000d__x000a_   &lt;Text StringText=&quot;9&quot; StringGroup=&quot;Issue&quot;/&gt;_x000d__x000a_   &lt;Text StringText=&quot;)&quot; StringGroup=&quot;Issue&quot;/&gt;_x000d__x000a_   &lt;Text StringText=&quot;: &quot; StringGroup=&quot;PageNum&quot;/&gt;_x000d__x000a_   &lt;Text StringText=&quot;676-81&quot; StringGroup=&quot;PageNum&quot;/&gt;_x000d__x000a_   &lt;Text StringText=&quot;.&quot; StringGroup=&quot;none&quot;/&gt;_x000d__x000a_  &lt;/Display&gt;&lt;/Doc&gt;&lt;/KyMRNote&gt;"/>
    <w:docVar w:name="KY.MR.DATA{93EBA3E8-6F3A-4856-9B16-47EAA13064B5}1059" w:val="&lt;KyMRNote dbid=&quot;{93EBA3E8-6F3A-4856-9B16-47EAA13064B5}&quot; recid=&quot;1059&quot;&gt;&lt;Data&gt;&lt;Field id=&quot;AccessNum&quot;&gt;29215933&lt;/Field&gt;&lt;Field id=&quot;Author&quot; FirstData=&quot;1&quot; FirstStyle=&quot;589824&quot; OtherStyle=&quot;0&quot;&gt;Zhang PX;Jin F;Li ZL;Wu WL;Li YY;Long JH;Chen GY;Chen XX;Gan JY;Gong XY;He QY;Bi T;&lt;/Field&gt;&lt;Field id=&quot;AuthorTrans&quot;&gt;&lt;/Field&gt;&lt;Field id=&quot;DOI&quot;&gt;10.1080/07420528.2017.1397684&lt;/Field&gt;&lt;Field id=&quot;Editor&quot;&gt;&lt;/Field&gt;&lt;Field id=&quot;FmtTitle&quot;&gt;&lt;/Field&gt;&lt;Field id=&quot;ISSN&quot;&gt;0742-0528&lt;/Field&gt;&lt;Field id=&quot;Issue&quot;&gt;2&lt;/Field&gt;&lt;Field id=&quot;LIID&quot;&gt;1059&lt;/Field&gt;&lt;Field id=&quot;Magazine&quot;&gt;Chronobiology international&lt;/Field&gt;&lt;Field id=&quot;MagazineAB&quot;&gt;Chronobiol Int&lt;/Field&gt;&lt;Field id=&quot;MagazineTrans&quot;&gt;&lt;/Field&gt;&lt;Field id=&quot;PageNum&quot;&gt;240-248&lt;/Field&gt;&lt;Field id=&quot;PubDate&quot;&gt;Feb&lt;/Field&gt;&lt;Field id=&quot;PubPlace&quot;&gt;England&lt;/Field&gt;&lt;Field id=&quot;PubPlaceTrans&quot;&gt;&lt;/Field&gt;&lt;Field id=&quot;PubYear&quot;&gt;2018&lt;/Field&gt;&lt;Field id=&quot;Publisher&quot;&gt;Informa Healthcare&lt;/Field&gt;&lt;Field id=&quot;PublisherTrans&quot;&gt;&lt;/Field&gt;&lt;Field id=&quot;TITrans&quot;&gt;&lt;/Field&gt;&lt;Field id=&quot;Title&quot;&gt;A randomized phase II trial of induction chemotherapy followed by cisplatin chronotherapy versus constant rate delivery combined with radiotherapy.&lt;/Field&gt;&lt;Field id=&quot;Translator&quot;&gt;&lt;/Field&gt;&lt;Field id=&quot;Type&quot;&gt;{041D4F77-279E-4405-0002-4388361B9CFF}&lt;/Field&gt;&lt;Field id=&quot;Version&quot;&gt;&lt;/Field&gt;&lt;Field id=&quot;Vol&quot;&gt;35&lt;/Field&gt;&lt;Field id=&quot;Factor&quot;&gt;3.749&lt;/Field&gt;&lt;Field id=&quot;Author2&quot;&gt;Zhang,PX;Jin,F;Li,ZL;&lt;/Field&gt;&lt;/Data&gt;&lt;Ref&gt;&lt;Display&gt;&lt;Text StringText=&quot;「RefIndex」&quot; StringTextOri=&quot;「RefIndex」&quot; SuperScript=&quot;true&quot;/&gt;&lt;/Display&gt;&lt;/Ref&gt;&lt;Doc&gt;&lt;Display&gt;&lt;Text StringText=&quot;Zhang PX, Jin F, Li ZL, et al.&quot; StringGroup=&quot;Author&quot;/&gt;_x000d__x000a_   &lt;Text StringText=&quot; &quot; StringGroup=&quot;Author&quot;/&gt;_x000d__x000a_   &lt;Text StringText=&quot;A randomized phase II trial of induction chemotherapy followed by cisplatin chronotherapy versus constant rate delivery combined with radiotherapy&quot; StringGroup=&quot;Title&quot;/&gt;_x000d__x000a_   &lt;Text StringText=&quot;. &quot; StringGroup=&quot;Title&quot;/&gt;_x000d__x000a_   &lt;Text StringText=&quot;Chronobiol Int&quot; StringGroup=&quot;Magazine&quot;/&gt;_x000d__x000a_   &lt;Text StringText=&quot;. &quot; StringGroup=&quot;Magazine&quot;/&gt;_x000d__x000a_   &lt;Text StringText=&quot;2018&quot; StringGroup=&quot;PubYear&quot;/&gt;_x000d__x000a_   &lt;Text StringText=&quot;. &quot; StringGroup=&quot;PubYear&quot;/&gt;_x000d__x000a_   &lt;Text StringText=&quot;35&quot; StringGroup=&quot;Vol&quot;/&gt;_x000d__x000a_   &lt;Text StringText=&quot;(&quot; StringGroup=&quot;Issue&quot;/&gt;_x000d__x000a_   &lt;Text StringText=&quot;2&quot; StringGroup=&quot;Issue&quot;/&gt;_x000d__x000a_   &lt;Text StringText=&quot;)&quot; StringGroup=&quot;Issue&quot;/&gt;_x000d__x000a_   &lt;Text StringText=&quot;: &quot; StringGroup=&quot;PageNum&quot;/&gt;_x000d__x000a_   &lt;Text StringText=&quot;240-248&quot; StringGroup=&quot;PageNum&quot;/&gt;_x000d__x000a_   &lt;Text StringText=&quot;.&quot; StringGroup=&quot;none&quot;/&gt;_x000d__x000a_  &lt;/Display&gt;&lt;/Doc&gt;&lt;/KyMRNote&gt;"/>
    <w:docVar w:name="KY.MR.DATA{93EBA3E8-6F3A-4856-9B16-47EAA13064B5}1060" w:val="&lt;KyMRNote dbid=&quot;{93EBA3E8-6F3A-4856-9B16-47EAA13064B5}&quot; recid=&quot;1060&quot;&gt;&lt;Data&gt;&lt;Field id=&quot;AccessNum&quot;&gt;34935776&lt;/Field&gt;&lt;Field id=&quot;Author&quot; FirstData=&quot;1&quot; FirstStyle=&quot;786432&quot; OtherStyle=&quot;0&quot;&gt;Blanchard P;Lee AWM;Carmel A;Wai Tong N;Ma J;Chan ATC;Hong RL;Chen MY;Chen L;Li WF;Huang PY;Kwong DLW;Poh SSX;Ngan R;Mai HQ;Ollivier C;Fountzilas G;Zhang L;Bourhis J;Aupérin A;Lacas B;Pignon JP;&lt;/Field&gt;&lt;Field id=&quot;AuthorTrans&quot;&gt;&lt;/Field&gt;&lt;Field id=&quot;DOI&quot;&gt;10.1016/j.ctro.2021.11.007&lt;/Field&gt;&lt;Field id=&quot;Editor&quot;&gt;&lt;/Field&gt;&lt;Field id=&quot;FmtTitle&quot;&gt;&lt;/Field&gt;&lt;Field id=&quot;ISSN&quot;&gt;2405-6308&lt;/Field&gt;&lt;Field id=&quot;Issue&quot;&gt;&lt;/Field&gt;&lt;Field id=&quot;LIID&quot;&gt;1060&lt;/Field&gt;&lt;Field id=&quot;Magazine&quot;&gt;Clinical and translational radiation oncology&lt;/Field&gt;&lt;Field id=&quot;MagazineAB&quot;&gt;Clin Transl Radiat Oncol&lt;/Field&gt;&lt;Field id=&quot;MagazineTrans&quot;&gt;&lt;/Field&gt;&lt;Field id=&quot;PageNum&quot;&gt;59-68&lt;/Field&gt;&lt;Field id=&quot;PubDate&quot;&gt;Jan&lt;/Field&gt;&lt;Field id=&quot;PubPlace&quot;&gt;Ireland&lt;/Field&gt;&lt;Field id=&quot;PubPlaceTrans&quot;&gt;&lt;/Field&gt;&lt;Field id=&quot;PubYear&quot;&gt;2022&lt;/Field&gt;&lt;Field id=&quot;Publisher&quot;&gt;Elsevier&lt;/Field&gt;&lt;Field id=&quot;PublisherTrans&quot;&gt;&lt;/Field&gt;&lt;Field id=&quot;TITrans&quot;&gt;&lt;/Field&gt;&lt;Field id=&quot;Title&quot;&gt;Meta-analysis of chemotherapy in nasopharynx carcinoma (MAC-NPC): An update on 26 trials and 7080 patients.&lt;/Field&gt;&lt;Field id=&quot;Translator&quot;&gt;&lt;/Field&gt;&lt;Field id=&quot;Type&quot;&gt;{041D4F77-279E-4405-0002-4388361B9CFF}&lt;/Field&gt;&lt;Field id=&quot;Version&quot;&gt;&lt;/Field&gt;&lt;Field id=&quot;Vol&quot;&gt;32&lt;/Field&gt;&lt;Field id=&quot;Factor&quot;&gt;4.739&lt;/Field&gt;&lt;Field id=&quot;Author2&quot;&gt;Blanchard,P;Lee,A;Carmel,A;&lt;/Field&gt;&lt;/Data&gt;&lt;Ref&gt;&lt;Display&gt;&lt;Text StringText=&quot;「RefIndex」&quot; StringTextOri=&quot;「RefIndex」&quot; SuperScript=&quot;true&quot;/&gt;&lt;/Display&gt;&lt;/Ref&gt;&lt;Doc&gt;&lt;Display&gt;&lt;Text StringText=&quot;Blanchard P, Lee A, Carmel A, et al.&quot; StringGroup=&quot;Author&quot;/&gt;_x000d__x000a_   &lt;Text StringText=&quot; &quot; StringGroup=&quot;Author&quot;/&gt;_x000d__x000a_   &lt;Text StringText=&quot;Meta-analysis of chemotherapy in nasopharynx carcinoma (MAC-NPC): An update on 26 trials and 7080 patients&quot; StringGroup=&quot;Title&quot;/&gt;_x000d__x000a_   &lt;Text StringText=&quot;. &quot; StringGroup=&quot;Title&quot;/&gt;_x000d__x000a_   &lt;Text StringText=&quot;Clin Transl Radiat Oncol&quot; StringGroup=&quot;Magazine&quot;/&gt;_x000d__x000a_   &lt;Text StringText=&quot;. &quot; StringGroup=&quot;Magazine&quot;/&gt;_x000d__x000a_   &lt;Text StringText=&quot;2022&quot; StringGroup=&quot;PubYear&quot;/&gt;_x000d__x000a_   &lt;Text StringText=&quot;. &quot; StringGroup=&quot;PubYear&quot;/&gt;_x000d__x000a_   &lt;Text StringText=&quot;32&quot; StringGroup=&quot;Vol&quot;/&gt;_x000d__x000a_   &lt;Text StringText=&quot;: &quot; StringGroup=&quot;PageNum&quot;/&gt;_x000d__x000a_   &lt;Text StringText=&quot;59-68&quot; StringGroup=&quot;PageNum&quot;/&gt;_x000d__x000a_   &lt;Text StringText=&quot;.&quot; StringGroup=&quot;none&quot;/&gt;_x000d__x000a_  &lt;/Display&gt;&lt;/Doc&gt;&lt;/KyMRNote&gt;"/>
    <w:docVar w:name="KY.MR.DATA{93EBA3E8-6F3A-4856-9B16-47EAA13064B5}1061" w:val="&lt;KyMRNote dbid=&quot;{93EBA3E8-6F3A-4856-9B16-47EAA13064B5}&quot; recid=&quot;1061&quot;&gt;&lt;Data&gt;&lt;Field id=&quot;AccessNum&quot;&gt;25957714&lt;/Field&gt;&lt;Field id=&quot;Author&quot; FirstData=&quot;1&quot; FirstStyle=&quot;786432&quot; OtherStyle=&quot;0&quot;&gt;Blanchard P;Lee A;Marguet S;Leclercq J;Ng WT;Ma J;Chan AT;Huang PY;Benhamou E;Zhu G;Chua DT;Chen Y;Mai HQ;Kwong DL;Cheah SL;Moon J;Tung Y;Chi KH;Fountzilas G;Zhang L;Hui EP;Lu TX;Bourhis J;Pignon JP;&lt;/Field&gt;&lt;Field id=&quot;AuthorTrans&quot;&gt;&lt;/Field&gt;&lt;Field id=&quot;DOI&quot;&gt;10.1016/S1470-2045(15)70126-9&lt;/Field&gt;&lt;Field id=&quot;Editor&quot;&gt;&lt;/Field&gt;&lt;Field id=&quot;FmtTitle&quot;&gt;&lt;/Field&gt;&lt;Field id=&quot;ISSN&quot;&gt;1470-2045&lt;/Field&gt;&lt;Field id=&quot;Issue&quot;&gt;6&lt;/Field&gt;&lt;Field id=&quot;LIID&quot;&gt;1061&lt;/Field&gt;&lt;Field id=&quot;Magazine&quot;&gt;The Lancet. Oncology&lt;/Field&gt;&lt;Field id=&quot;MagazineAB&quot;&gt;Lancet Oncol&lt;/Field&gt;&lt;Field id=&quot;MagazineTrans&quot;&gt;&lt;/Field&gt;&lt;Field id=&quot;PageNum&quot;&gt;645-55&lt;/Field&gt;&lt;Field id=&quot;PubDate&quot;&gt;Jun&lt;/Field&gt;&lt;Field id=&quot;PubPlace&quot;&gt;England&lt;/Field&gt;&lt;Field id=&quot;PubPlaceTrans&quot;&gt;&lt;/Field&gt;&lt;Field id=&quot;PubYear&quot;&gt;2015&lt;/Field&gt;&lt;Field id=&quot;Publisher&quot;&gt;Lancet Publishing Group&lt;/Field&gt;&lt;Field id=&quot;PublisherTrans&quot;&gt;&lt;/Field&gt;&lt;Field id=&quot;TITrans&quot;&gt;&lt;/Field&gt;&lt;Field id=&quot;Title&quot;&gt;Chemotherapy and radiotherapy in nasopharyngeal carcinoma: an update of the MAC-NPC meta-analysis.&lt;/Field&gt;&lt;Field id=&quot;Translator&quot;&gt;&lt;/Field&gt;&lt;Field id=&quot;Type&quot;&gt;{041D4F77-279E-4405-0002-4388361B9CFF}&lt;/Field&gt;&lt;Field id=&quot;Version&quot;&gt;&lt;/Field&gt;&lt;Field id=&quot;Vol&quot;&gt;16&lt;/Field&gt;&lt;Field id=&quot;Factor&quot;&gt;54.433&lt;/Field&gt;&lt;Field id=&quot;Author2&quot;&gt;Blanchard,P;Lee,A;Marguet,S;&lt;/Field&gt;&lt;/Data&gt;&lt;Ref&gt;&lt;Display&gt;&lt;Text StringText=&quot;「RefIndex」&quot; StringTextOri=&quot;「RefIndex」&quot; SuperScript=&quot;true&quot;/&gt;&lt;/Display&gt;&lt;/Ref&gt;&lt;Doc&gt;&lt;Display&gt;&lt;Text StringText=&quot;Blanchard P, Lee A, Marguet S, et al.&quot; StringGroup=&quot;Author&quot;/&gt;_x000d__x000a_   &lt;Text StringText=&quot; &quot; StringGroup=&quot;Author&quot;/&gt;_x000d__x000a_   &lt;Text StringText=&quot;Chemotherapy and radiotherapy in nasopharyngeal carcinoma: an update of the MAC-NPC meta-analysis&quot; StringGroup=&quot;Title&quot;/&gt;_x000d__x000a_   &lt;Text StringText=&quot;. &quot; StringGroup=&quot;Title&quot;/&gt;_x000d__x000a_   &lt;Text StringText=&quot;Lancet Oncol&quot; StringGroup=&quot;Magazine&quot;/&gt;_x000d__x000a_   &lt;Text StringText=&quot;. &quot; StringGroup=&quot;Magazine&quot;/&gt;_x000d__x000a_   &lt;Text StringText=&quot;2015&quot; StringGroup=&quot;PubYear&quot;/&gt;_x000d__x000a_   &lt;Text StringText=&quot;. &quot; StringGroup=&quot;PubYear&quot;/&gt;_x000d__x000a_   &lt;Text StringText=&quot;16&quot; StringGroup=&quot;Vol&quot;/&gt;_x000d__x000a_   &lt;Text StringText=&quot;(&quot; StringGroup=&quot;Issue&quot;/&gt;_x000d__x000a_   &lt;Text StringText=&quot;6&quot; StringGroup=&quot;Issue&quot;/&gt;_x000d__x000a_   &lt;Text StringText=&quot;)&quot; StringGroup=&quot;Issue&quot;/&gt;_x000d__x000a_   &lt;Text StringText=&quot;: &quot; StringGroup=&quot;PageNum&quot;/&gt;_x000d__x000a_   &lt;Text StringText=&quot;645-55&quot; StringGroup=&quot;PageNum&quot;/&gt;_x000d__x000a_   &lt;Text StringText=&quot;.&quot; StringGroup=&quot;none&quot;/&gt;_x000d__x000a_  &lt;/Display&gt;&lt;/Doc&gt;&lt;/KyMRNote&gt;"/>
    <w:docVar w:name="KY.MR.DATA{93EBA3E8-6F3A-4856-9B16-47EAA13064B5}1071" w:val="&lt;KyMRNote dbid=&quot;{93EBA3E8-6F3A-4856-9B16-47EAA13064B5}&quot; recid=&quot;1071&quot;&gt;&lt;Data&gt;&lt;Field id=&quot;AccessNum&quot;&gt;12586799&lt;/Field&gt;&lt;Field id=&quot;Author&quot; FirstData=&quot;1&quot; FirstStyle=&quot;458752&quot; OtherStyle=&quot;0&quot;&gt;Lin JC;Jan JS;Hsu CY;Liang WM;Jiang RS;Wang WY;&lt;/Field&gt;&lt;Field id=&quot;AuthorTrans&quot;&gt;&lt;/Field&gt;&lt;Field id=&quot;DOI&quot;&gt;10.1200/JCO.2003.06.158&lt;/Field&gt;&lt;Field id=&quot;Editor&quot;&gt;&lt;/Field&gt;&lt;Field id=&quot;FmtTitle&quot;&gt;&lt;/Field&gt;&lt;Field id=&quot;ISSN&quot;&gt;0732-183X&lt;/Field&gt;&lt;Field id=&quot;Issue&quot;&gt;4&lt;/Field&gt;&lt;Field id=&quot;LIID&quot;&gt;1071&lt;/Field&gt;&lt;Field id=&quot;Magazine&quot;&gt;Journal of clinical oncology : official journal of the American Society of Clinical Oncology&lt;/Field&gt;&lt;Field id=&quot;MagazineAB&quot;&gt;J Clin Oncol&lt;/Field&gt;&lt;Field id=&quot;MagazineTrans&quot;&gt;&lt;/Field&gt;&lt;Field id=&quot;PageNum&quot;&gt;631-7&lt;/Field&gt;&lt;Field id=&quot;PubDate&quot;&gt;Feb 15&lt;/Field&gt;&lt;Field id=&quot;PubPlace&quot;&gt;United States&lt;/Field&gt;&lt;Field id=&quot;PubPlaceTrans&quot;&gt;&lt;/Field&gt;&lt;Field id=&quot;PubYear&quot;&gt;2003&lt;/Field&gt;&lt;Field id=&quot;Publisher&quot;&gt;American Society of Clinical Oncology&lt;/Field&gt;&lt;Field id=&quot;PublisherTrans&quot;&gt;&lt;/Field&gt;&lt;Field id=&quot;TITrans&quot;&gt;&lt;/Field&gt;&lt;Field id=&quot;Title&quot;&gt;Phase III study of concurrent chemoradiotherapy versus radiotherapy alone for advanced nasopharyngeal carcinoma: positive effect on overall and progression-free survival.&lt;/Field&gt;&lt;Field id=&quot;Translator&quot;&gt;&lt;/Field&gt;&lt;Field id=&quot;Type&quot;&gt;{041D4F77-279E-4405-0002-4388361B9CFF}&lt;/Field&gt;&lt;Field id=&quot;Version&quot;&gt;&lt;/Field&gt;&lt;Field id=&quot;Vol&quot;&gt;21&lt;/Field&gt;&lt;Field id=&quot;Factor&quot;&gt;50.717&lt;/Field&gt;&lt;Field id=&quot;Author2&quot;&gt;Lin,JC;Jan,JS;Hsu,CY;Liang,WM;Jiang,RS;Wang,WY;&lt;/Field&gt;&lt;/Data&gt;&lt;Ref&gt;&lt;Display&gt;&lt;Text StringText=&quot;「RefIndex」&quot; StringTextOri=&quot;「RefIndex」&quot; SuperScript=&quot;true&quot;/&gt;&lt;/Display&gt;&lt;/Ref&gt;&lt;Doc&gt;&lt;Display&gt;&lt;Text StringText=&quot;Lin JC, Jan JS, Hsu CY, Liang WM, Jiang RS, Wang WY&quot; StringGroup=&quot;Author&quot;/&gt;_x000d__x000a_   &lt;Text StringText=&quot;. &quot; StringGroup=&quot;Author&quot;/&gt;_x000d__x000a_   &lt;Text StringText=&quot;Phase III study of concurrent chemoradiotherapy versus radiotherapy alone for advanced nasopharyngeal carcinoma: positive effect on overall and progression-free survival&quot; StringGroup=&quot;Title&quot;/&gt;_x000d__x000a_   &lt;Text StringText=&quot;. &quot; StringGroup=&quot;Title&quot;/&gt;_x000d__x000a_   &lt;Text StringText=&quot;J Clin Oncol&quot; StringGroup=&quot;Magazine&quot;/&gt;_x000d__x000a_   &lt;Text StringText=&quot;. &quot; StringGroup=&quot;Magazine&quot;/&gt;_x000d__x000a_   &lt;Text StringText=&quot;2003&quot; StringGroup=&quot;PubYear&quot;/&gt;_x000d__x000a_   &lt;Text StringText=&quot;. &quot; StringGroup=&quot;PubYear&quot;/&gt;_x000d__x000a_   &lt;Text StringText=&quot;21&quot; StringGroup=&quot;Vol&quot;/&gt;_x000d__x000a_   &lt;Text StringText=&quot;(&quot; StringGroup=&quot;Issue&quot;/&gt;_x000d__x000a_   &lt;Text StringText=&quot;4&quot; StringGroup=&quot;Issue&quot;/&gt;_x000d__x000a_   &lt;Text StringText=&quot;)&quot; StringGroup=&quot;Issue&quot;/&gt;_x000d__x000a_   &lt;Text StringText=&quot;: &quot; StringGroup=&quot;PageNum&quot;/&gt;_x000d__x000a_   &lt;Text StringText=&quot;631-7&quot; StringGroup=&quot;PageNum&quot;/&gt;_x000d__x000a_   &lt;Text StringText=&quot;.&quot; StringGroup=&quot;none&quot;/&gt;_x000d__x000a_  &lt;/Display&gt;&lt;/Doc&gt;&lt;/KyMRNote&gt;"/>
    <w:docVar w:name="KY.MR.DATA{93EBA3E8-6F3A-4856-9B16-47EAA13064B5}1072" w:val="&lt;KyMRNote dbid=&quot;{93EBA3E8-6F3A-4856-9B16-47EAA13064B5}&quot; recid=&quot;1072&quot;&gt;&lt;Data&gt;&lt;Field id=&quot;AccessNum&quot;&gt;37269842&lt;/Field&gt;&lt;Field id=&quot;Author&quot; FirstData=&quot;1&quot; FirstStyle=&quot;524288&quot; OtherStyle=&quot;0&quot;&gt;Petit C;Lee A;Ma J;Lacas B;Ng WT;Chan ATC;Hong RL;Chen MY;Chen L;Li WF;Huang PY;Tan T;Ngan RKC;Zhu G;Mai HQ;Hui EP;Fountzilas G;Zhang L;Carmel A;Kwong DLW;Moon J;Bourhis J;Auperin A;Pignon JP;Blanchard P;&lt;/Field&gt;&lt;Field id=&quot;AuthorTrans&quot;&gt;&lt;/Field&gt;&lt;Field id=&quot;DOI&quot;&gt;10.1016/S1470-2045(23)00163-8&lt;/Field&gt;&lt;Field id=&quot;Editor&quot;&gt;&lt;/Field&gt;&lt;Field id=&quot;FmtTitle&quot;&gt;&lt;/Field&gt;&lt;Field id=&quot;ISSN&quot;&gt;1470-2045&lt;/Field&gt;&lt;Field id=&quot;Issue&quot;&gt;6&lt;/Field&gt;&lt;Field id=&quot;LIID&quot;&gt;1072&lt;/Field&gt;&lt;Field id=&quot;Magazine&quot;&gt;The Lancet. Oncology&lt;/Field&gt;&lt;Field id=&quot;MagazineAB&quot;&gt;Lancet Oncol&lt;/Field&gt;&lt;Field id=&quot;MagazineTrans&quot;&gt;&lt;/Field&gt;&lt;Field id=&quot;PageNum&quot;&gt;611-623&lt;/Field&gt;&lt;Field id=&quot;PubDate&quot;&gt;Jun&lt;/Field&gt;&lt;Field id=&quot;PubPlace&quot;&gt;England&lt;/Field&gt;&lt;Field id=&quot;PubPlaceTrans&quot;&gt;&lt;/Field&gt;&lt;Field id=&quot;PubYear&quot;&gt;2023&lt;/Field&gt;&lt;Field id=&quot;Publisher&quot;&gt;Lancet Publishing Group&lt;/Field&gt;&lt;Field id=&quot;PublisherTrans&quot;&gt;&lt;/Field&gt;&lt;Field id=&quot;TITrans&quot;&gt;&lt;/Field&gt;&lt;Field id=&quot;Title&quot;&gt;Role of chemotherapy in patients with nasopharynx carcinoma treated with radiotherapy (MAC-NPC): an updated individual patient data network meta-analysis.&lt;/Field&gt;&lt;Field id=&quot;Translator&quot;&gt;&lt;/Field&gt;&lt;Field id=&quot;Type&quot;&gt;{041D4F77-279E-4405-0002-4388361B9CFF}&lt;/Field&gt;&lt;Field id=&quot;Version&quot;&gt;&lt;/Field&gt;&lt;Field id=&quot;Vol&quot;&gt;24&lt;/Field&gt;&lt;Field id=&quot;Factor&quot;&gt;54.433&lt;/Field&gt;&lt;Field id=&quot;Author2&quot;&gt;Petit,C;Lee,A;Ma,J;&lt;/Field&gt;&lt;/Data&gt;&lt;Ref&gt;&lt;Display&gt;&lt;Text StringText=&quot;「RefIndex」&quot; StringTextOri=&quot;「RefIndex」&quot; SuperScript=&quot;true&quot;/&gt;&lt;/Display&gt;&lt;/Ref&gt;&lt;Doc&gt;&lt;Display&gt;&lt;Text StringText=&quot;Petit C, Lee A, Ma J, et al.&quot; StringGroup=&quot;Author&quot;/&gt;_x000d__x000a_   &lt;Text StringText=&quot; &quot; StringGroup=&quot;Author&quot;/&gt;_x000d__x000a_   &lt;Text StringText=&quot;Role of chemotherapy in patients with nasopharynx carcinoma treated with radiotherapy (MAC-NPC): an updated individual patient data network meta-analysis&quot; StringGroup=&quot;Title&quot;/&gt;_x000d__x000a_   &lt;Text StringText=&quot;. &quot; StringGroup=&quot;Title&quot;/&gt;_x000d__x000a_   &lt;Text StringText=&quot;Lancet Oncol&quot; StringGroup=&quot;Magazine&quot;/&gt;_x000d__x000a_   &lt;Text StringText=&quot;. &quot; StringGroup=&quot;Magazine&quot;/&gt;_x000d__x000a_   &lt;Text StringText=&quot;2023&quot; StringGroup=&quot;PubYear&quot;/&gt;_x000d__x000a_   &lt;Text StringText=&quot;. &quot; StringGroup=&quot;PubYear&quot;/&gt;_x000d__x000a_   &lt;Text StringText=&quot;24&quot; StringGroup=&quot;Vol&quot;/&gt;_x000d__x000a_   &lt;Text StringText=&quot;(&quot; StringGroup=&quot;Issue&quot;/&gt;_x000d__x000a_   &lt;Text StringText=&quot;6&quot; StringGroup=&quot;Issue&quot;/&gt;_x000d__x000a_   &lt;Text StringText=&quot;)&quot; StringGroup=&quot;Issue&quot;/&gt;_x000d__x000a_   &lt;Text StringText=&quot;: &quot; StringGroup=&quot;PageNum&quot;/&gt;_x000d__x000a_   &lt;Text StringText=&quot;611-623&quot; StringGroup=&quot;PageNum&quot;/&gt;_x000d__x000a_   &lt;Text StringText=&quot;.&quot; StringGroup=&quot;none&quot;/&gt;_x000d__x000a_  &lt;/Display&gt;&lt;/Doc&gt;&lt;/KyMRNote&gt;"/>
    <w:docVar w:name="KY.MR.DATA{93EBA3E8-6F3A-4856-9B16-47EAA13064B5}1074" w:val="&lt;KyMRNote dbid=&quot;{93EBA3E8-6F3A-4856-9B16-47EAA13064B5}&quot; recid=&quot;1074&quot;&gt;&lt;Data&gt;&lt;Field id=&quot;AccessNum&quot;&gt;22154591&lt;/Field&gt;&lt;Field id=&quot;Author&quot; FirstData=&quot;1&quot; FirstStyle=&quot;458752&quot; OtherStyle=&quot;0&quot;&gt;Chen L;Hu CS;Chen XZ;Hu GQ;Cheng ZB;Sun Y;Li WX;Chen YY;Xie FY;Liang SB;Chen Y;Xu TT;Li B;Long GX;Wang SY;Zheng BM;Guo Y;Sun Y;Mao YP;Tang LL;Chen YM;Liu MZ;Ma J;&lt;/Field&gt;&lt;Field id=&quot;AuthorTrans&quot;&gt;&lt;/Field&gt;&lt;Field id=&quot;DOI&quot;&gt;10.1016/S1470-2045(11)70320-5&lt;/Field&gt;&lt;Field id=&quot;Editor&quot;&gt;&lt;/Field&gt;&lt;Field id=&quot;FmtTitle&quot;&gt;&lt;/Field&gt;&lt;Field id=&quot;ISSN&quot;&gt;1470-2045&lt;/Field&gt;&lt;Field id=&quot;Issue&quot;&gt;2&lt;/Field&gt;&lt;Field id=&quot;LIID&quot;&gt;1074&lt;/Field&gt;&lt;Field id=&quot;Magazine&quot;&gt;The Lancet. Oncology&lt;/Field&gt;&lt;Field id=&quot;MagazineAB&quot;&gt;Lancet Oncol&lt;/Field&gt;&lt;Field id=&quot;MagazineTrans&quot;&gt;&lt;/Field&gt;&lt;Field id=&quot;PageNum&quot;&gt;163-71&lt;/Field&gt;&lt;Field id=&quot;PubDate&quot;&gt;Feb&lt;/Field&gt;&lt;Field id=&quot;PubPlace&quot;&gt;England&lt;/Field&gt;&lt;Field id=&quot;PubPlaceTrans&quot;&gt;&lt;/Field&gt;&lt;Field id=&quot;PubYear&quot;&gt;2012&lt;/Field&gt;&lt;Field id=&quot;Publisher&quot;&gt;Lancet Publishing Group&lt;/Field&gt;&lt;Field id=&quot;PublisherTrans&quot;&gt;&lt;/Field&gt;&lt;Field id=&quot;TITrans&quot;&gt;&lt;/Field&gt;&lt;Field id=&quot;Title&quot;&gt;Concurrent chemoradiotherapy plus adjuvant chemotherapy versus concurrent chemoradiotherapy alone in patients with locoregionally advanced nasopharyngeal carcinoma: a phase 3 multicentre randomised controlled trial.&lt;/Field&gt;&lt;Field id=&quot;Translator&quot;&gt;&lt;/Field&gt;&lt;Field id=&quot;Type&quot;&gt;{041D4F77-279E-4405-0002-4388361B9CFF}&lt;/Field&gt;&lt;Field id=&quot;Version&quot;&gt;&lt;/Field&gt;&lt;Field id=&quot;Vol&quot;&gt;13&lt;/Field&gt;&lt;Field id=&quot;Factor&quot;&gt;54.433&lt;/Field&gt;&lt;Field id=&quot;Author2&quot;&gt;Chen,L;Hu,CS;Chen,XZ;&lt;/Field&gt;&lt;/Data&gt;&lt;Ref&gt;&lt;Display&gt;&lt;Text StringText=&quot;「RefIndex」&quot; StringTextOri=&quot;「RefIndex」&quot; SuperScript=&quot;true&quot;/&gt;&lt;/Display&gt;&lt;/Ref&gt;&lt;Doc&gt;&lt;Display&gt;&lt;Text StringText=&quot;Chen L, Hu CS, Chen XZ, et al.&quot; StringGroup=&quot;Author&quot;/&gt;_x000d__x000a_   &lt;Text StringText=&quot; &quot; StringGroup=&quot;Author&quot;/&gt;_x000d__x000a_   &lt;Text StringText=&quot;Concurrent chemoradiotherapy plus adjuvant chemotherapy versus concurrent chemoradiotherapy alone in patients with locoregionally advanced nasopharyngeal carcinoma: a phase 3 multicentre randomised controlled trial&quot; StringGroup=&quot;Title&quot;/&gt;_x000d__x000a_   &lt;Text StringText=&quot;. &quot; StringGroup=&quot;Title&quot;/&gt;_x000d__x000a_   &lt;Text StringText=&quot;Lancet Oncol&quot; StringGroup=&quot;Magazine&quot;/&gt;_x000d__x000a_   &lt;Text StringText=&quot;. &quot; StringGroup=&quot;Magazine&quot;/&gt;_x000d__x000a_   &lt;Text StringText=&quot;2012&quot; StringGroup=&quot;PubYear&quot;/&gt;_x000d__x000a_   &lt;Text StringText=&quot;. &quot; StringGroup=&quot;PubYear&quot;/&gt;_x000d__x000a_   &lt;Text StringText=&quot;13&quot; StringGroup=&quot;Vol&quot;/&gt;_x000d__x000a_   &lt;Text StringText=&quot;(&quot; StringGroup=&quot;Issue&quot;/&gt;_x000d__x000a_   &lt;Text StringText=&quot;2&quot; StringGroup=&quot;Issue&quot;/&gt;_x000d__x000a_   &lt;Text StringText=&quot;)&quot; StringGroup=&quot;Issue&quot;/&gt;_x000d__x000a_   &lt;Text StringText=&quot;: &quot; StringGroup=&quot;PageNum&quot;/&gt;_x000d__x000a_   &lt;Text StringText=&quot;163-71&quot; StringGroup=&quot;PageNum&quot;/&gt;_x000d__x000a_   &lt;Text StringText=&quot;.&quot; StringGroup=&quot;none&quot;/&gt;_x000d__x000a_  &lt;/Display&gt;&lt;/Doc&gt;&lt;/KyMRNote&gt;"/>
    <w:docVar w:name="KY.MR.DATA{93EBA3E8-6F3A-4856-9B16-47EAA13064B5}1075" w:val="&lt;KyMRNote dbid=&quot;{93EBA3E8-6F3A-4856-9B16-47EAA13064B5}&quot; recid=&quot;1075&quot;&gt;&lt;Data&gt;&lt;Field id=&quot;AccessNum&quot;&gt;19830427&lt;/Field&gt;&lt;Field id=&quot;Author&quot; FirstData=&quot;1&quot; FirstStyle=&quot;458752&quot; OtherStyle=&quot;0&quot;&gt;Bae WK;Hwang JE;Shim HJ;Cho SH;Lee JK;Lim SC;Chung WK;Chung IJ;&lt;/Field&gt;&lt;Field id=&quot;AuthorTrans&quot;&gt;&lt;/Field&gt;&lt;Field id=&quot;DOI&quot;&gt;10.1007/s00280-009-1152-0&lt;/Field&gt;&lt;Field id=&quot;Editor&quot;&gt;&lt;/Field&gt;&lt;Field id=&quot;FmtTitle&quot;&gt;&lt;/Field&gt;&lt;Field id=&quot;ISSN&quot;&gt;0344-5704&lt;/Field&gt;&lt;Field id=&quot;Issue&quot;&gt;3&lt;/Field&gt;&lt;Field id=&quot;LIID&quot;&gt;1075&lt;/Field&gt;&lt;Field id=&quot;Magazine&quot;&gt;Cancer chemotherapy and pharmacology&lt;/Field&gt;&lt;Field id=&quot;MagazineAB&quot;&gt;Cancer Chemother Pharmacol&lt;/Field&gt;&lt;Field id=&quot;MagazineTrans&quot;&gt;&lt;/Field&gt;&lt;Field id=&quot;PageNum&quot;&gt;589-95&lt;/Field&gt;&lt;Field id=&quot;PubDate&quot;&gt;Feb&lt;/Field&gt;&lt;Field id=&quot;PubPlace&quot;&gt;Germany&lt;/Field&gt;&lt;Field id=&quot;PubPlaceTrans&quot;&gt;&lt;/Field&gt;&lt;Field id=&quot;PubYear&quot;&gt;2010&lt;/Field&gt;&lt;Field id=&quot;Publisher&quot;&gt;Springer Berlin Heidelberg&lt;/Field&gt;&lt;Field id=&quot;PublisherTrans&quot;&gt;&lt;/Field&gt;&lt;Field id=&quot;TITrans&quot;&gt;&lt;/Field&gt;&lt;Field id=&quot;Title&quot;&gt;Phase II study of docetaxel, cisplatin, and 5-FU induction chemotherapy followed by chemoradiotherapy in locoregionally advanced nasopharyngeal cancer.&lt;/Field&gt;&lt;Field id=&quot;Translator&quot;&gt;&lt;/Field&gt;&lt;Field id=&quot;Type&quot;&gt;{041D4F77-279E-4405-0002-4388361B9CFF}&lt;/Field&gt;&lt;Field id=&quot;Version&quot;&gt;&lt;/Field&gt;&lt;Field id=&quot;Vol&quot;&gt;65&lt;/Field&gt;&lt;Field id=&quot;Factor&quot;&gt;3.288&lt;/Field&gt;&lt;Field id=&quot;Author2&quot;&gt;Bae,WK;Hwang,JE;Shim,HJ;&lt;/Field&gt;&lt;/Data&gt;&lt;Ref&gt;&lt;Display&gt;&lt;Text StringText=&quot;「RefIndex」&quot; StringTextOri=&quot;「RefIndex」&quot; SuperScript=&quot;true&quot;/&gt;&lt;/Display&gt;&lt;/Ref&gt;&lt;Doc&gt;&lt;Display&gt;&lt;Text StringText=&quot;Bae WK, Hwang JE, Shim HJ, et al.&quot; StringGroup=&quot;Author&quot;/&gt;_x000d__x000a_   &lt;Text StringText=&quot; &quot; StringGroup=&quot;Author&quot;/&gt;_x000d__x000a_   &lt;Text StringText=&quot;Phase II study of docetaxel, cisplatin, and 5-FU induction chemotherapy followed by chemoradiotherapy in locoregionally advanced nasopharyngeal cancer&quot; StringGroup=&quot;Title&quot;/&gt;_x000d__x000a_   &lt;Text StringText=&quot;. &quot; StringGroup=&quot;Title&quot;/&gt;_x000d__x000a_   &lt;Text StringText=&quot;Cancer Chemother Pharmacol&quot; StringGroup=&quot;Magazine&quot;/&gt;_x000d__x000a_   &lt;Text StringText=&quot;. &quot; StringGroup=&quot;Magazine&quot;/&gt;_x000d__x000a_   &lt;Text StringText=&quot;2010&quot; StringGroup=&quot;PubYear&quot;/&gt;_x000d__x000a_   &lt;Text StringText=&quot;. &quot; StringGroup=&quot;PubYear&quot;/&gt;_x000d__x000a_   &lt;Text StringText=&quot;65&quot; StringGroup=&quot;Vol&quot;/&gt;_x000d__x000a_   &lt;Text StringText=&quot;(&quot; StringGroup=&quot;Issue&quot;/&gt;_x000d__x000a_   &lt;Text StringText=&quot;3&quot; StringGroup=&quot;Issue&quot;/&gt;_x000d__x000a_   &lt;Text StringText=&quot;)&quot; StringGroup=&quot;Issue&quot;/&gt;_x000d__x000a_   &lt;Text StringText=&quot;: &quot; StringGroup=&quot;PageNum&quot;/&gt;_x000d__x000a_   &lt;Text StringText=&quot;589-95&quot; StringGroup=&quot;PageNum&quot;/&gt;_x000d__x000a_   &lt;Text StringText=&quot;.&quot; StringGroup=&quot;none&quot;/&gt;_x000d__x000a_  &lt;/Display&gt;&lt;/Doc&gt;&lt;/KyMRNote&gt;"/>
    <w:docVar w:name="KY.MR.DATA{93EBA3E8-6F3A-4856-9B16-47EAA13064B5}1077" w:val="&lt;KyMRNote dbid=&quot;{93EBA3E8-6F3A-4856-9B16-47EAA13064B5}&quot; recid=&quot;1077&quot;&gt;&lt;Data&gt;&lt;Field id=&quot;AccessNum&quot;&gt;33849968&lt;/Field&gt;&lt;Field id=&quot;Author&quot; FirstData=&quot;1&quot; FirstStyle=&quot;589824&quot; OtherStyle=&quot;0&quot;&gt;Chang ET;Ye W;Zeng YX;Adami HO;&lt;/Field&gt;&lt;Field id=&quot;AuthorTrans&quot;&gt;&lt;/Field&gt;&lt;Field id=&quot;DOI&quot;&gt;10.1158/1055-9965.EPI-20-1702&lt;/Field&gt;&lt;Field id=&quot;Editor&quot;&gt;&lt;/Field&gt;&lt;Field id=&quot;FmtTitle&quot;&gt;&lt;/Field&gt;&lt;Field id=&quot;ISSN&quot;&gt;1055-9965&lt;/Field&gt;&lt;Field id=&quot;Issue&quot;&gt;6&lt;/Field&gt;&lt;Field id=&quot;LIID&quot;&gt;1077&lt;/Field&gt;&lt;Field id=&quot;Magazine&quot;&gt;Cancer epidemiology, biomarkers &amp;amp; prevention : a publication of the American Association for Cancer Research, cosponsored by the American Society of Preventive Oncology&lt;/Field&gt;&lt;Field id=&quot;MagazineAB&quot;&gt;Cancer Epidemiol Biomarkers Prev&lt;/Field&gt;&lt;Field id=&quot;MagazineTrans&quot;&gt;&lt;/Field&gt;&lt;Field id=&quot;PageNum&quot;&gt;1035-1047&lt;/Field&gt;&lt;Field id=&quot;PubDate&quot;&gt;Jun&lt;/Field&gt;&lt;Field id=&quot;PubPlace&quot;&gt;United States&lt;/Field&gt;&lt;Field id=&quot;PubPlaceTrans&quot;&gt;&lt;/Field&gt;&lt;Field id=&quot;PubYear&quot;&gt;2021&lt;/Field&gt;&lt;Field id=&quot;Publisher&quot;&gt;American Association for Cancer Research Inc.&lt;/Field&gt;&lt;Field id=&quot;PublisherTrans&quot;&gt;&lt;/Field&gt;&lt;Field id=&quot;TITrans&quot;&gt;&lt;/Field&gt;&lt;Field id=&quot;Title&quot;&gt;The Evolving Epidemiology of Nasopharyngeal Carcinoma.&lt;/Field&gt;&lt;Field id=&quot;Translator&quot;&gt;&lt;/Field&gt;&lt;Field id=&quot;Type&quot;&gt;{041D4F77-279E-4405-0002-4388361B9CFF}&lt;/Field&gt;&lt;Field id=&quot;Version&quot;&gt;&lt;/Field&gt;&lt;Field id=&quot;Vol&quot;&gt;30&lt;/Field&gt;&lt;Field id=&quot;Factor&quot;&gt;4.09&lt;/Field&gt;&lt;Field id=&quot;Author2&quot;&gt;Chang,ET;Ye,W;Zeng,YX;Adami,HO;&lt;/Field&gt;&lt;/Data&gt;&lt;Ref&gt;&lt;Display&gt;&lt;Text StringText=&quot;「RefIndex」&quot; StringTextOri=&quot;「RefIndex」&quot; SuperScript=&quot;true&quot;/&gt;&lt;/Display&gt;&lt;/Ref&gt;&lt;Doc&gt;&lt;Display&gt;&lt;Text StringText=&quot;Chang ET, Ye W, Zeng YX, Adami HO&quot; StringGroup=&quot;Author&quot;/&gt;_x000d__x000a_   &lt;Text StringText=&quot;. &quot; StringGroup=&quot;Author&quot;/&gt;_x000d__x000a_   &lt;Text StringText=&quot;The Evolving Epidemiology of Nasopharyngeal Carcinoma&quot; StringGroup=&quot;Title&quot;/&gt;_x000d__x000a_   &lt;Text StringText=&quot;. &quot; StringGroup=&quot;Title&quot;/&gt;_x000d__x000a_   &lt;Text StringText=&quot;Cancer Epidemiol Biomarkers Prev&quot; StringGroup=&quot;Magazine&quot;/&gt;_x000d__x000a_   &lt;Text StringText=&quot;. &quot; StringGroup=&quot;Magazine&quot;/&gt;_x000d__x000a_   &lt;Text StringText=&quot;2021&quot; StringGroup=&quot;PubYear&quot;/&gt;_x000d__x000a_   &lt;Text StringText=&quot;. &quot; StringGroup=&quot;PubYear&quot;/&gt;_x000d__x000a_   &lt;Text StringText=&quot;30&quot; StringGroup=&quot;Vol&quot;/&gt;_x000d__x000a_   &lt;Text StringText=&quot;(&quot; StringGroup=&quot;Issue&quot;/&gt;_x000d__x000a_   &lt;Text StringText=&quot;6&quot; StringGroup=&quot;Issue&quot;/&gt;_x000d__x000a_   &lt;Text StringText=&quot;)&quot; StringGroup=&quot;Issue&quot;/&gt;_x000d__x000a_   &lt;Text StringText=&quot;: &quot; StringGroup=&quot;PageNum&quot;/&gt;_x000d__x000a_   &lt;Text StringText=&quot;1035-1047&quot; StringGroup=&quot;PageNum&quot;/&gt;_x000d__x000a_   &lt;Text StringText=&quot;.&quot; StringGroup=&quot;none&quot;/&gt;_x000d__x000a_  &lt;/Display&gt;&lt;/Doc&gt;&lt;/KyMRNote&gt;"/>
    <w:docVar w:name="KY.MR.DATA{93EBA3E8-6F3A-4856-9B16-47EAA13064B5}300" w:val="&lt;KyMRNote dbid=&quot;{93EBA3E8-6F3A-4856-9B16-47EAA13064B5}&quot; recid=&quot;300&quot;&gt;&lt;Data&gt;&lt;Field id=&quot;AccessNum&quot;&gt;27686945&lt;/Field&gt;&lt;Field id=&quot;Author&quot; FirstData=&quot;1&quot; FirstStyle=&quot;393216&quot; OtherStyle=&quot;0&quot;&gt;Sun Y;Li WF;Chen NY;Zhang N;Hu GQ;Xie FY;Sun Y;Chen XZ;Li JG;Zhu XD;Hu CS;Xu XY;Chen YY;Hu WH;Guo L;Mo HY;Chen L;Mao YP;Sun R;Ai P;Liang SB;Long GX;Zheng BM;Feng XL;Gong XC;Li L;Shen CY;Xu JY;Guo Y;Chen YM;Zhang F;Lin L;Tang LL;Liu MZ;Ma J;&lt;/Field&gt;&lt;Field id=&quot;AuthorTrans&quot;&gt;&lt;/Field&gt;&lt;Field id=&quot;DOI&quot;&gt;10.1016/S1470-2045(16)30410-7&lt;/Field&gt;&lt;Field id=&quot;Editor&quot;&gt;&lt;/Field&gt;&lt;Field id=&quot;FmtTitle&quot;&gt;&lt;/Field&gt;&lt;Field id=&quot;ISSN&quot;&gt;1470-2045&lt;/Field&gt;&lt;Field id=&quot;Issue&quot;&gt;11&lt;/Field&gt;&lt;Field id=&quot;LIID&quot;&gt;300&lt;/Field&gt;&lt;Field id=&quot;Magazine&quot;&gt;The Lancet. Oncology&lt;/Field&gt;&lt;Field id=&quot;MagazineAB&quot;&gt;Lancet Oncol&lt;/Field&gt;&lt;Field id=&quot;MagazineTrans&quot;&gt;&lt;/Field&gt;&lt;Field id=&quot;PageNum&quot;&gt;1509-1520&lt;/Field&gt;&lt;Field id=&quot;PubDate&quot;&gt;Nov&lt;/Field&gt;&lt;Field id=&quot;PubPlace&quot;&gt;England&lt;/Field&gt;&lt;Field id=&quot;PubPlaceTrans&quot;&gt;&lt;/Field&gt;&lt;Field id=&quot;PubYear&quot;&gt;2016&lt;/Field&gt;&lt;Field id=&quot;Publisher&quot;&gt;Lancet Pub. Group&lt;/Field&gt;&lt;Field id=&quot;PublisherTrans&quot;&gt;&lt;/Field&gt;&lt;Field id=&quot;TITrans&quot;&gt;&lt;/Field&gt;&lt;Field id=&quot;Title&quot;&gt;Induction chemotherapy plus concurrent chemoradiotherapy versus concurrent chemoradiotherapy alone in locoregionally advanced nasopharyngeal carcinoma: a phase 3, multicentre, randomised controlled trial.&lt;/Field&gt;&lt;Field id=&quot;Translator&quot;&gt;&lt;/Field&gt;&lt;Field id=&quot;Type&quot;&gt;{041D4F77-279E-4405-0002-4388361B9CFF}&lt;/Field&gt;&lt;Field id=&quot;Version&quot;&gt;&lt;/Field&gt;&lt;Field id=&quot;Vol&quot;&gt;17&lt;/Field&gt;&lt;Field id=&quot;Factor&quot;&gt;54.433&lt;/Field&gt;&lt;Field id=&quot;Author2&quot;&gt;Sun,Y;Li,WF;Chen,NY;&lt;/Field&gt;&lt;/Data&gt;&lt;Ref&gt;&lt;Display&gt;&lt;Text StringText=&quot;「RefIndex」&quot; StringTextOri=&quot;「RefIndex」&quot; SuperScript=&quot;true&quot;/&gt;&lt;/Display&gt;&lt;/Ref&gt;&lt;Doc&gt;&lt;Display&gt;&lt;Text StringText=&quot;Sun Y, Li WF, Chen NY, et al.&quot; StringGroup=&quot;Author&quot;/&gt;_x000d__x000a_   &lt;Text StringText=&quot; &quot; StringGroup=&quot;Author&quot;/&gt;_x000d__x000a_   &lt;Text StringText=&quot;Induction chemotherapy plus concurrent chemoradiotherapy versus concurrent chemoradiotherapy alone in locoregionally advanced nasopharyngeal carcinoma: a phase 3, multicentre, randomised controlled trial&quot; StringGroup=&quot;Title&quot;/&gt;_x000d__x000a_   &lt;Text StringText=&quot;. &quot; StringGroup=&quot;Title&quot;/&gt;_x000d__x000a_   &lt;Text StringText=&quot;Lancet Oncol&quot; StringGroup=&quot;Magazine&quot;/&gt;_x000d__x000a_   &lt;Text StringText=&quot;. &quot; StringGroup=&quot;Magazine&quot;/&gt;_x000d__x000a_   &lt;Text StringText=&quot;2016&quot; StringGroup=&quot;PubYear&quot;/&gt;_x000d__x000a_   &lt;Text StringText=&quot;. &quot; StringGroup=&quot;PubYear&quot;/&gt;_x000d__x000a_   &lt;Text StringText=&quot;17&quot; StringGroup=&quot;Vol&quot;/&gt;_x000d__x000a_   &lt;Text StringText=&quot;(&quot; StringGroup=&quot;Issue&quot;/&gt;_x000d__x000a_   &lt;Text StringText=&quot;11&quot; StringGroup=&quot;Issue&quot;/&gt;_x000d__x000a_   &lt;Text StringText=&quot;)&quot; StringGroup=&quot;Issue&quot;/&gt;_x000d__x000a_   &lt;Text StringText=&quot;: &quot; StringGroup=&quot;PageNum&quot;/&gt;_x000d__x000a_   &lt;Text StringText=&quot;1509-1520&quot; StringGroup=&quot;PageNum&quot;/&gt;_x000d__x000a_   &lt;Text StringText=&quot;.&quot; StringGroup=&quot;none&quot;/&gt;_x000d__x000a_  &lt;/Display&gt;&lt;/Doc&gt;&lt;/KyMRNote&gt;"/>
    <w:docVar w:name="KY.MR.DATA{93EBA3E8-6F3A-4856-9B16-47EAA13064B5}821" w:val="&lt;KyMRNote dbid=&quot;{93EBA3E8-6F3A-4856-9B16-47EAA13064B5}&quot; recid=&quot;821&quot;&gt;&lt;Data&gt;&lt;Field id=&quot;AccessNum&quot;&gt;31178151&lt;/Field&gt;&lt;Field id=&quot;Author&quot; FirstData=&quot;1&quot; FirstStyle=&quot;524288&quot; OtherStyle=&quot;0&quot;&gt;Chen YP;Chan ATC;Le QT;Blanchard P;Sun Y;Ma J;&lt;/Field&gt;&lt;Field id=&quot;AuthorTrans&quot;&gt;&lt;/Field&gt;&lt;Field id=&quot;DOI&quot;&gt;10.1016/S0140-6736(19)30956-0&lt;/Field&gt;&lt;Field id=&quot;Editor&quot;&gt;&lt;/Field&gt;&lt;Field id=&quot;FmtTitle&quot;&gt;&lt;/Field&gt;&lt;Field id=&quot;ISSN&quot;&gt;0140-6736&lt;/Field&gt;&lt;Field id=&quot;Issue&quot;&gt;10192&lt;/Field&gt;&lt;Field id=&quot;LIID&quot;&gt;821&lt;/Field&gt;&lt;Field id=&quot;Magazine&quot;&gt;Lancet&lt;/Field&gt;&lt;Field id=&quot;MagazineAB&quot;&gt;Lancet&lt;/Field&gt;&lt;Field id=&quot;MagazineTrans&quot;&gt;&lt;/Field&gt;&lt;Field id=&quot;PageNum&quot;&gt;64-80&lt;/Field&gt;&lt;Field id=&quot;PubDate&quot;&gt;Jul 6&lt;/Field&gt;&lt;Field id=&quot;PubPlace&quot;&gt;England&lt;/Field&gt;&lt;Field id=&quot;PubPlaceTrans&quot;&gt;&lt;/Field&gt;&lt;Field id=&quot;PubYear&quot;&gt;2019&lt;/Field&gt;&lt;Field id=&quot;Publisher&quot;&gt;other&lt;/Field&gt;&lt;Field id=&quot;PublisherTrans&quot;&gt;&lt;/Field&gt;&lt;Field id=&quot;TITrans&quot;&gt;&lt;/Field&gt;&lt;Field id=&quot;Title&quot;&gt;Nasopharyngeal carcinoma.&lt;/Field&gt;&lt;Field id=&quot;Translator&quot;&gt;&lt;/Field&gt;&lt;Field id=&quot;Type&quot;&gt;{041D4F77-279E-4405-0002-4388361B9CFF}&lt;/Field&gt;&lt;Field id=&quot;Version&quot;&gt;&lt;/Field&gt;&lt;Field id=&quot;Vol&quot;&gt;394&lt;/Field&gt;&lt;Field id=&quot;Factor&quot;&gt;202.731&lt;/Field&gt;&lt;Field id=&quot;Author2&quot;&gt;Chen,YP;Chan,A;Le,QT;Blanchard,P;Sun,Y;Ma,J;&lt;/Field&gt;&lt;/Data&gt;&lt;Ref&gt;&lt;Display&gt;&lt;Text StringText=&quot;「RefIndex」&quot; StringTextOri=&quot;「RefIndex」&quot; SuperScript=&quot;true&quot;/&gt;&lt;/Display&gt;&lt;/Ref&gt;&lt;Doc&gt;&lt;Display&gt;&lt;Text StringText=&quot;Chen YP, Chan A, Le QT, Blanchard P, Sun Y, Ma J&quot; StringGroup=&quot;Author&quot;/&gt;_x000d__x000a_   &lt;Text StringText=&quot;. &quot; StringGroup=&quot;Author&quot;/&gt;_x000d__x000a_   &lt;Text StringText=&quot;Nasopharyngeal carcinoma&quot; StringGroup=&quot;Title&quot;/&gt;_x000d__x000a_   &lt;Text StringText=&quot;. &quot; StringGroup=&quot;Title&quot;/&gt;_x000d__x000a_   &lt;Text StringText=&quot;Lancet&quot; StringGroup=&quot;Magazine&quot;/&gt;_x000d__x000a_   &lt;Text StringText=&quot;. &quot; StringGroup=&quot;Magazine&quot;/&gt;_x000d__x000a_   &lt;Text StringText=&quot;2019&quot; StringGroup=&quot;PubYear&quot;/&gt;_x000d__x000a_   &lt;Text StringText=&quot;. &quot; StringGroup=&quot;PubYear&quot;/&gt;_x000d__x000a_   &lt;Text StringText=&quot;394&quot; StringGroup=&quot;Vol&quot;/&gt;_x000d__x000a_   &lt;Text StringText=&quot;(&quot; StringGroup=&quot;Issue&quot;/&gt;_x000d__x000a_   &lt;Text StringText=&quot;10192&quot; StringGroup=&quot;Issue&quot;/&gt;_x000d__x000a_   &lt;Text StringText=&quot;)&quot; StringGroup=&quot;Issue&quot;/&gt;_x000d__x000a_   &lt;Text StringText=&quot;: &quot; StringGroup=&quot;PageNum&quot;/&gt;_x000d__x000a_   &lt;Text StringText=&quot;64-80&quot; StringGroup=&quot;PageNum&quot;/&gt;_x000d__x000a_   &lt;Text StringText=&quot;.&quot; StringGroup=&quot;none&quot;/&gt;_x000d__x000a_  &lt;/Display&gt;&lt;/Doc&gt;&lt;/KyMRNote&gt;"/>
    <w:docVar w:name="KY_MEDREF_DOCUID" w:val="{2EE69779-1305-44E5-9901-7F365B008AB2}"/>
    <w:docVar w:name="KY_MEDREF_VERSION" w:val="3"/>
  </w:docVars>
  <w:rsids>
    <w:rsidRoot w:val="00E61E07"/>
    <w:rsid w:val="001623F0"/>
    <w:rsid w:val="0020484B"/>
    <w:rsid w:val="002325A2"/>
    <w:rsid w:val="00265270"/>
    <w:rsid w:val="002672C0"/>
    <w:rsid w:val="003449DF"/>
    <w:rsid w:val="003C3833"/>
    <w:rsid w:val="004341AF"/>
    <w:rsid w:val="004648E3"/>
    <w:rsid w:val="006252D0"/>
    <w:rsid w:val="00670FDE"/>
    <w:rsid w:val="006A52F2"/>
    <w:rsid w:val="00706269"/>
    <w:rsid w:val="00730D71"/>
    <w:rsid w:val="00740C0A"/>
    <w:rsid w:val="007445A6"/>
    <w:rsid w:val="00897F52"/>
    <w:rsid w:val="009177BD"/>
    <w:rsid w:val="00A8628E"/>
    <w:rsid w:val="00B0271E"/>
    <w:rsid w:val="00B86FB8"/>
    <w:rsid w:val="00C06334"/>
    <w:rsid w:val="00C764C7"/>
    <w:rsid w:val="00D92000"/>
    <w:rsid w:val="00DE5E46"/>
    <w:rsid w:val="00E124A0"/>
    <w:rsid w:val="00E61E07"/>
    <w:rsid w:val="00EC5CF8"/>
    <w:rsid w:val="00EF4FF9"/>
    <w:rsid w:val="00FA5C21"/>
    <w:rsid w:val="0169553A"/>
    <w:rsid w:val="02106001"/>
    <w:rsid w:val="03485ABB"/>
    <w:rsid w:val="03AE70E7"/>
    <w:rsid w:val="03B87FA5"/>
    <w:rsid w:val="04391431"/>
    <w:rsid w:val="04B60793"/>
    <w:rsid w:val="05175CA8"/>
    <w:rsid w:val="06824DC3"/>
    <w:rsid w:val="06D86BC2"/>
    <w:rsid w:val="078617D0"/>
    <w:rsid w:val="08AD65D5"/>
    <w:rsid w:val="094357E0"/>
    <w:rsid w:val="09F24CD9"/>
    <w:rsid w:val="0B252A67"/>
    <w:rsid w:val="0C1A3071"/>
    <w:rsid w:val="0E37010D"/>
    <w:rsid w:val="11EF5C4D"/>
    <w:rsid w:val="124467E3"/>
    <w:rsid w:val="175B291A"/>
    <w:rsid w:val="17AF79E2"/>
    <w:rsid w:val="19912A52"/>
    <w:rsid w:val="19AA198A"/>
    <w:rsid w:val="1ADC3A7A"/>
    <w:rsid w:val="1BA20CBE"/>
    <w:rsid w:val="1D7138D7"/>
    <w:rsid w:val="1E9E1F56"/>
    <w:rsid w:val="21842F92"/>
    <w:rsid w:val="22FD54E8"/>
    <w:rsid w:val="24EA2BFE"/>
    <w:rsid w:val="27495DBA"/>
    <w:rsid w:val="277356A9"/>
    <w:rsid w:val="293427B3"/>
    <w:rsid w:val="2ABC742D"/>
    <w:rsid w:val="2AC56160"/>
    <w:rsid w:val="2B330794"/>
    <w:rsid w:val="2BF905A7"/>
    <w:rsid w:val="2E760443"/>
    <w:rsid w:val="31421354"/>
    <w:rsid w:val="339A0C2B"/>
    <w:rsid w:val="33CF45AB"/>
    <w:rsid w:val="33E01A92"/>
    <w:rsid w:val="34DE584A"/>
    <w:rsid w:val="35CA5B8D"/>
    <w:rsid w:val="379E40BA"/>
    <w:rsid w:val="37FC5F0A"/>
    <w:rsid w:val="382B190D"/>
    <w:rsid w:val="3A4E77AB"/>
    <w:rsid w:val="3BFF3F00"/>
    <w:rsid w:val="3C7E5AD0"/>
    <w:rsid w:val="3DDE0401"/>
    <w:rsid w:val="3F2A2C42"/>
    <w:rsid w:val="40596491"/>
    <w:rsid w:val="40EC506C"/>
    <w:rsid w:val="412440FD"/>
    <w:rsid w:val="41545934"/>
    <w:rsid w:val="416C6889"/>
    <w:rsid w:val="42122A7B"/>
    <w:rsid w:val="42A6702C"/>
    <w:rsid w:val="439415BB"/>
    <w:rsid w:val="44003419"/>
    <w:rsid w:val="44354A5A"/>
    <w:rsid w:val="473C195B"/>
    <w:rsid w:val="48363AC6"/>
    <w:rsid w:val="4D9A1ED3"/>
    <w:rsid w:val="50A85F68"/>
    <w:rsid w:val="50CA5037"/>
    <w:rsid w:val="50F13839"/>
    <w:rsid w:val="50F35449"/>
    <w:rsid w:val="51D53DEC"/>
    <w:rsid w:val="52B977F0"/>
    <w:rsid w:val="52BF5515"/>
    <w:rsid w:val="5429217D"/>
    <w:rsid w:val="54543B7D"/>
    <w:rsid w:val="552B4677"/>
    <w:rsid w:val="5B8C6A14"/>
    <w:rsid w:val="5DD575E7"/>
    <w:rsid w:val="5E467C1D"/>
    <w:rsid w:val="61860B3A"/>
    <w:rsid w:val="627D3F57"/>
    <w:rsid w:val="62F82F7B"/>
    <w:rsid w:val="63A16370"/>
    <w:rsid w:val="64BE1076"/>
    <w:rsid w:val="65126A27"/>
    <w:rsid w:val="65152C07"/>
    <w:rsid w:val="666D4FE0"/>
    <w:rsid w:val="66A838FD"/>
    <w:rsid w:val="696A2E80"/>
    <w:rsid w:val="6AD43374"/>
    <w:rsid w:val="6B973421"/>
    <w:rsid w:val="6C8711A9"/>
    <w:rsid w:val="6DFA6481"/>
    <w:rsid w:val="6E2B7C13"/>
    <w:rsid w:val="70AF78CC"/>
    <w:rsid w:val="70B17714"/>
    <w:rsid w:val="70FF7324"/>
    <w:rsid w:val="73BD493A"/>
    <w:rsid w:val="73F67754"/>
    <w:rsid w:val="762E3A21"/>
    <w:rsid w:val="767825EE"/>
    <w:rsid w:val="782230FF"/>
    <w:rsid w:val="787C4005"/>
    <w:rsid w:val="7A9905F8"/>
    <w:rsid w:val="7CEE58D1"/>
    <w:rsid w:val="7DB13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5"/>
    <w:autoRedefine/>
    <w:qFormat/>
    <w:uiPriority w:val="0"/>
    <w:pPr>
      <w:widowControl/>
      <w:spacing w:before="240" w:after="120"/>
      <w:jc w:val="left"/>
      <w:outlineLvl w:val="0"/>
    </w:pPr>
    <w:rPr>
      <w:rFonts w:ascii="宋体" w:hAnsi="宋体"/>
      <w:b/>
      <w:bCs/>
      <w:color w:val="000000"/>
      <w:kern w:val="36"/>
      <w:sz w:val="33"/>
      <w:szCs w:val="33"/>
    </w:rPr>
  </w:style>
  <w:style w:type="paragraph" w:styleId="3">
    <w:name w:val="heading 2"/>
    <w:basedOn w:val="1"/>
    <w:next w:val="1"/>
    <w:link w:val="18"/>
    <w:autoRedefine/>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0"/>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1"/>
    <w:autoRedefine/>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Body Text"/>
    <w:basedOn w:val="1"/>
    <w:link w:val="16"/>
    <w:autoRedefine/>
    <w:semiHidden/>
    <w:qFormat/>
    <w:uiPriority w:val="0"/>
    <w:pPr>
      <w:spacing w:after="120"/>
    </w:pPr>
    <w:rPr>
      <w:kern w:val="0"/>
      <w:sz w:val="20"/>
      <w:szCs w:val="20"/>
    </w:rPr>
  </w:style>
  <w:style w:type="paragraph" w:styleId="7">
    <w:name w:val="footer"/>
    <w:basedOn w:val="1"/>
    <w:link w:val="14"/>
    <w:autoRedefine/>
    <w:unhideWhenUsed/>
    <w:qFormat/>
    <w:uiPriority w:val="99"/>
    <w:pPr>
      <w:tabs>
        <w:tab w:val="center" w:pos="4153"/>
        <w:tab w:val="right" w:pos="8306"/>
      </w:tabs>
      <w:snapToGrid w:val="0"/>
      <w:jc w:val="left"/>
    </w:pPr>
    <w:rPr>
      <w:sz w:val="18"/>
      <w:szCs w:val="18"/>
    </w:rPr>
  </w:style>
  <w:style w:type="paragraph" w:styleId="8">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Indent 3"/>
    <w:basedOn w:val="1"/>
    <w:link w:val="17"/>
    <w:autoRedefine/>
    <w:semiHidden/>
    <w:unhideWhenUsed/>
    <w:qFormat/>
    <w:uiPriority w:val="99"/>
    <w:pPr>
      <w:spacing w:after="120"/>
      <w:ind w:left="420" w:leftChars="200"/>
    </w:pPr>
    <w:rPr>
      <w:sz w:val="16"/>
      <w:szCs w:val="16"/>
    </w:rPr>
  </w:style>
  <w:style w:type="character" w:styleId="12">
    <w:name w:val="page number"/>
    <w:basedOn w:val="11"/>
    <w:autoRedefine/>
    <w:qFormat/>
    <w:uiPriority w:val="0"/>
  </w:style>
  <w:style w:type="character" w:customStyle="1" w:styleId="13">
    <w:name w:val="页眉 Char"/>
    <w:basedOn w:val="11"/>
    <w:link w:val="8"/>
    <w:autoRedefine/>
    <w:qFormat/>
    <w:uiPriority w:val="99"/>
    <w:rPr>
      <w:sz w:val="18"/>
      <w:szCs w:val="18"/>
    </w:rPr>
  </w:style>
  <w:style w:type="character" w:customStyle="1" w:styleId="14">
    <w:name w:val="页脚 Char"/>
    <w:basedOn w:val="11"/>
    <w:link w:val="7"/>
    <w:autoRedefine/>
    <w:qFormat/>
    <w:uiPriority w:val="99"/>
    <w:rPr>
      <w:sz w:val="18"/>
      <w:szCs w:val="18"/>
    </w:rPr>
  </w:style>
  <w:style w:type="character" w:customStyle="1" w:styleId="15">
    <w:name w:val="标题 1 Char"/>
    <w:basedOn w:val="11"/>
    <w:link w:val="2"/>
    <w:autoRedefine/>
    <w:qFormat/>
    <w:uiPriority w:val="0"/>
    <w:rPr>
      <w:rFonts w:ascii="宋体" w:hAnsi="宋体" w:eastAsia="宋体" w:cs="Times New Roman"/>
      <w:b/>
      <w:bCs/>
      <w:color w:val="000000"/>
      <w:kern w:val="36"/>
      <w:sz w:val="33"/>
      <w:szCs w:val="33"/>
    </w:rPr>
  </w:style>
  <w:style w:type="character" w:customStyle="1" w:styleId="16">
    <w:name w:val="正文文本 Char"/>
    <w:basedOn w:val="11"/>
    <w:link w:val="6"/>
    <w:autoRedefine/>
    <w:semiHidden/>
    <w:qFormat/>
    <w:uiPriority w:val="0"/>
    <w:rPr>
      <w:rFonts w:ascii="Times New Roman" w:hAnsi="Times New Roman" w:eastAsia="宋体" w:cs="Times New Roman"/>
      <w:kern w:val="0"/>
      <w:sz w:val="20"/>
      <w:szCs w:val="20"/>
    </w:rPr>
  </w:style>
  <w:style w:type="character" w:customStyle="1" w:styleId="17">
    <w:name w:val="正文文本缩进 3 Char"/>
    <w:basedOn w:val="11"/>
    <w:link w:val="9"/>
    <w:autoRedefine/>
    <w:semiHidden/>
    <w:qFormat/>
    <w:uiPriority w:val="99"/>
    <w:rPr>
      <w:rFonts w:ascii="Times New Roman" w:hAnsi="Times New Roman" w:eastAsia="宋体" w:cs="Times New Roman"/>
      <w:sz w:val="16"/>
      <w:szCs w:val="16"/>
    </w:rPr>
  </w:style>
  <w:style w:type="character" w:customStyle="1" w:styleId="18">
    <w:name w:val="标题 2 Char"/>
    <w:basedOn w:val="11"/>
    <w:link w:val="3"/>
    <w:autoRedefine/>
    <w:semiHidden/>
    <w:qFormat/>
    <w:uiPriority w:val="9"/>
    <w:rPr>
      <w:rFonts w:asciiTheme="majorHAnsi" w:hAnsiTheme="majorHAnsi" w:eastAsiaTheme="majorEastAsia" w:cstheme="majorBidi"/>
      <w:b/>
      <w:bCs/>
      <w:sz w:val="32"/>
      <w:szCs w:val="32"/>
    </w:rPr>
  </w:style>
  <w:style w:type="paragraph" w:styleId="19">
    <w:name w:val="List Paragraph"/>
    <w:basedOn w:val="1"/>
    <w:autoRedefine/>
    <w:qFormat/>
    <w:uiPriority w:val="34"/>
    <w:pPr>
      <w:ind w:firstLine="420" w:firstLineChars="200"/>
    </w:pPr>
  </w:style>
  <w:style w:type="character" w:customStyle="1" w:styleId="20">
    <w:name w:val="标题 3 Char"/>
    <w:basedOn w:val="11"/>
    <w:link w:val="4"/>
    <w:autoRedefine/>
    <w:semiHidden/>
    <w:qFormat/>
    <w:uiPriority w:val="9"/>
    <w:rPr>
      <w:rFonts w:ascii="Times New Roman" w:hAnsi="Times New Roman" w:eastAsia="宋体" w:cs="Times New Roman"/>
      <w:b/>
      <w:bCs/>
      <w:sz w:val="32"/>
      <w:szCs w:val="32"/>
    </w:rPr>
  </w:style>
  <w:style w:type="character" w:customStyle="1" w:styleId="21">
    <w:name w:val="标题 4 Char"/>
    <w:basedOn w:val="11"/>
    <w:link w:val="5"/>
    <w:autoRedefine/>
    <w:semiHidden/>
    <w:qFormat/>
    <w:uiPriority w:val="9"/>
    <w:rPr>
      <w:rFonts w:asciiTheme="majorHAnsi" w:hAnsiTheme="majorHAnsi" w:eastAsiaTheme="majorEastAsia" w:cstheme="majorBidi"/>
      <w:b/>
      <w:bCs/>
      <w:sz w:val="28"/>
      <w:szCs w:val="28"/>
    </w:rPr>
  </w:style>
  <w:style w:type="paragraph" w:customStyle="1" w:styleId="22">
    <w:name w:val="Default"/>
    <w:autoRedefine/>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23">
    <w:name w:val="正文文本缩进 31"/>
    <w:basedOn w:val="1"/>
    <w:autoRedefine/>
    <w:qFormat/>
    <w:uiPriority w:val="0"/>
    <w:pPr>
      <w:overflowPunct w:val="0"/>
      <w:autoSpaceDE w:val="0"/>
      <w:autoSpaceDN w:val="0"/>
      <w:adjustRightInd w:val="0"/>
      <w:ind w:left="1440" w:hanging="720"/>
      <w:textAlignment w:val="baseline"/>
    </w:pPr>
    <w:rPr>
      <w:rFonts w:eastAsia="PMingLiU"/>
      <w:kern w:val="0"/>
      <w:sz w:val="24"/>
      <w:szCs w:val="20"/>
      <w:lang w:eastAsia="zh-TW"/>
    </w:rPr>
  </w:style>
  <w:style w:type="paragraph" w:customStyle="1" w:styleId="24">
    <w:name w:val="正文文本缩进 21"/>
    <w:basedOn w:val="1"/>
    <w:autoRedefine/>
    <w:qFormat/>
    <w:uiPriority w:val="0"/>
    <w:pPr>
      <w:ind w:left="1418" w:hanging="709"/>
      <w:jc w:val="both"/>
    </w:pPr>
  </w:style>
  <w:style w:type="paragraph" w:customStyle="1" w:styleId="25">
    <w:name w:val="列出段落"/>
    <w:basedOn w:val="1"/>
    <w:autoRedefine/>
    <w:qFormat/>
    <w:uiPriority w:val="0"/>
    <w:pPr>
      <w:spacing w:line="240" w:lineRule="auto"/>
      <w:ind w:firstLine="420" w:firstLineChars="200"/>
      <w:jc w:val="both"/>
    </w:pPr>
    <w:rPr>
      <w:rFonts w:ascii="Calibri" w:hAnsi="Calibri"/>
      <w:snapToGrid/>
      <w:kern w:val="2"/>
      <w:sz w:val="21"/>
      <w:szCs w:val="22"/>
    </w:rPr>
  </w:style>
  <w:style w:type="character" w:customStyle="1" w:styleId="26">
    <w:name w:val="fontstyle01"/>
    <w:basedOn w:val="11"/>
    <w:autoRedefine/>
    <w:qFormat/>
    <w:uiPriority w:val="0"/>
    <w:rPr>
      <w:rFonts w:ascii="宋体" w:hAnsi="宋体" w:eastAsia="宋体" w:cs="宋体"/>
      <w:color w:val="000000"/>
      <w:sz w:val="28"/>
      <w:szCs w:val="28"/>
    </w:rPr>
  </w:style>
  <w:style w:type="character" w:customStyle="1" w:styleId="27">
    <w:name w:val="fontstyle21"/>
    <w:basedOn w:val="11"/>
    <w:autoRedefine/>
    <w:qFormat/>
    <w:uiPriority w:val="0"/>
    <w:rPr>
      <w:rFonts w:ascii="TimesNewRomanPS-BoldMT" w:hAnsi="TimesNewRomanPS-BoldMT" w:eastAsia="TimesNewRomanPS-BoldMT" w:cs="TimesNewRomanPS-BoldMT"/>
      <w:b/>
      <w:color w:val="000000"/>
      <w:sz w:val="28"/>
      <w:szCs w:val="28"/>
    </w:rPr>
  </w:style>
  <w:style w:type="character" w:customStyle="1" w:styleId="28">
    <w:name w:val="fontstyle31"/>
    <w:basedOn w:val="11"/>
    <w:autoRedefine/>
    <w:qFormat/>
    <w:uiPriority w:val="0"/>
    <w:rPr>
      <w:rFonts w:ascii="TimesNewRomanPSMT" w:hAnsi="TimesNewRomanPSMT" w:eastAsia="TimesNewRomanPSMT" w:cs="TimesNewRomanPSMT"/>
      <w:color w:val="000000"/>
      <w:sz w:val="28"/>
      <w:szCs w:val="28"/>
    </w:rPr>
  </w:style>
  <w:style w:type="paragraph" w:customStyle="1" w:styleId="29">
    <w:name w:val="Table Text"/>
    <w:autoRedefine/>
    <w:semiHidden/>
    <w:qFormat/>
    <w:uiPriority w:val="0"/>
    <w:pPr>
      <w:kinsoku w:val="0"/>
      <w:autoSpaceDE w:val="0"/>
      <w:autoSpaceDN w:val="0"/>
      <w:adjustRightInd w:val="0"/>
      <w:snapToGrid w:val="0"/>
      <w:spacing w:line="240" w:lineRule="auto"/>
      <w:jc w:val="left"/>
      <w:textAlignment w:val="baseline"/>
    </w:pPr>
    <w:rPr>
      <w:rFonts w:ascii="宋体" w:hAnsi="宋体" w:eastAsia="宋体" w:cs="宋体"/>
      <w:snapToGrid w:val="0"/>
      <w:color w:val="000000"/>
      <w:kern w:val="0"/>
      <w:sz w:val="15"/>
      <w:szCs w:val="15"/>
      <w:lang w:val="en-US" w:eastAsia="en-US" w:bidi="ar-SA"/>
    </w:rPr>
  </w:style>
  <w:style w:type="table" w:customStyle="1" w:styleId="30">
    <w:name w:val="Table Normal"/>
    <w:autoRedefine/>
    <w:semiHidden/>
    <w:unhideWhenUsed/>
    <w:qFormat/>
    <w:uiPriority w:val="0"/>
    <w:tblPr>
      <w:tblCellMar>
        <w:top w:w="0" w:type="dxa"/>
        <w:left w:w="0" w:type="dxa"/>
        <w:bottom w:w="0" w:type="dxa"/>
        <w:right w:w="0" w:type="dxa"/>
      </w:tblCellMar>
    </w:tblPr>
  </w:style>
  <w:style w:type="character" w:customStyle="1" w:styleId="31">
    <w:name w:val="font21"/>
    <w:basedOn w:val="11"/>
    <w:autoRedefine/>
    <w:qFormat/>
    <w:uiPriority w:val="0"/>
    <w:rPr>
      <w:rFonts w:hint="default" w:ascii="Arial" w:hAnsi="Arial" w:cs="Arial"/>
      <w:color w:val="000000"/>
      <w:sz w:val="16"/>
      <w:szCs w:val="16"/>
      <w:u w:val="none"/>
    </w:rPr>
  </w:style>
  <w:style w:type="character" w:customStyle="1" w:styleId="32">
    <w:name w:val="font51"/>
    <w:basedOn w:val="11"/>
    <w:autoRedefine/>
    <w:qFormat/>
    <w:uiPriority w:val="0"/>
    <w:rPr>
      <w:rFonts w:hint="default" w:ascii="Arial" w:hAnsi="Arial" w:cs="Arial"/>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tiff"/><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7"/>
    <customShpInfo spid="_x0000_s1028"/>
    <customShpInfo spid="_x0000_s1029"/>
    <customShpInfo spid="_x0000_s1030"/>
    <customShpInfo spid="_x0000_s1031"/>
    <customShpInfo spid="_x0000_s1032"/>
    <customShpInfo spid="_x0000_s1034"/>
    <customShpInfo spid="_x0000_s1033"/>
    <customShpInfo spid="_x0000_s1035"/>
    <customShpInfo spid="_x0000_s1036"/>
    <customShpInfo spid="_x0000_s1037"/>
    <customShpInfo spid="_x0000_s1038"/>
    <customShpInfo spid="_x0000_s1039"/>
    <customShpInfo spid="_x0000_s1040"/>
    <customShpInfo spid="_x0000_s104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B636D5-4404-48B5-ACD9-9777858C3DAE}">
  <ds:schemaRefs/>
</ds:datastoreItem>
</file>

<file path=docProps/app.xml><?xml version="1.0" encoding="utf-8"?>
<Properties xmlns="http://schemas.openxmlformats.org/officeDocument/2006/extended-properties" xmlns:vt="http://schemas.openxmlformats.org/officeDocument/2006/docPropsVTypes">
  <Template>Normal</Template>
  <Pages>31</Pages>
  <Words>6656</Words>
  <Characters>39589</Characters>
  <Lines>52</Lines>
  <Paragraphs>14</Paragraphs>
  <TotalTime>18</TotalTime>
  <ScaleCrop>false</ScaleCrop>
  <LinksUpToDate>false</LinksUpToDate>
  <CharactersWithSpaces>45633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2017-10-21T05:23:00Z</dcterms:created>
  <dc:creator>acer</dc:creator>
  <cp:lastModifiedBy>@黔@</cp:lastModifiedBy>
  <dcterms:modified xsi:type="dcterms:W3CDTF">2024-03-26T02:01:27Z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96F49CD176474D3596F983CBE6F02DD1_13</vt:lpwstr>
  </property>
</Properties>
</file>