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bCs/>
          <w:sz w:val="24"/>
          <w:szCs w:val="24"/>
          <w:lang w:val="en-GB"/>
        </w:rPr>
      </w:pPr>
      <w:r>
        <w:rPr>
          <w:rFonts w:ascii="Arial" w:hAnsi="Arial" w:cs="Arial"/>
          <w:b/>
          <w:bCs/>
          <w:sz w:val="24"/>
          <w:szCs w:val="24"/>
          <w:lang w:val="en-GB"/>
        </w:rPr>
        <w:t>Supplementary Information (SI)</w:t>
      </w:r>
    </w:p>
    <w:p>
      <w:pPr>
        <w:pStyle w:val="4"/>
        <w:spacing w:line="343" w:lineRule="auto"/>
        <w:rPr>
          <w:rFonts w:hint="eastAsia"/>
          <w:b/>
          <w:bCs/>
          <w:spacing w:val="-1"/>
          <w:sz w:val="24"/>
          <w:szCs w:val="24"/>
        </w:rPr>
      </w:pPr>
      <w:r>
        <w:rPr>
          <w:rFonts w:hint="eastAsia"/>
          <w:b/>
          <w:bCs/>
          <w:spacing w:val="-1"/>
          <w:sz w:val="24"/>
          <w:szCs w:val="24"/>
        </w:rPr>
        <w:t xml:space="preserve">In Vitro Digestion and Fecal Fermentation of Polysaccharides from Physalis alkekengi and its Impacts on Human Gut Microbiota </w:t>
      </w:r>
    </w:p>
    <w:p>
      <w:pPr>
        <w:spacing w:after="0" w:line="480" w:lineRule="auto"/>
        <w:jc w:val="both"/>
        <w:rPr>
          <w:rFonts w:hint="eastAsia"/>
          <w:spacing w:val="-1"/>
          <w:sz w:val="34"/>
          <w:szCs w:val="34"/>
        </w:rPr>
      </w:pPr>
      <w:r>
        <w:rPr>
          <w:rFonts w:ascii="Arial" w:hAnsi="Arial" w:cs="Arial"/>
          <w:sz w:val="24"/>
          <w:szCs w:val="24"/>
          <w:lang w:val="en-GB"/>
        </w:rPr>
        <w:t>(Plant Foods for Human Nutrition)</w:t>
      </w:r>
    </w:p>
    <w:p>
      <w:pPr>
        <w:pStyle w:val="4"/>
        <w:spacing w:before="66" w:line="239" w:lineRule="auto"/>
        <w:ind w:left="969"/>
        <w:rPr>
          <w:sz w:val="15"/>
          <w:szCs w:val="15"/>
        </w:rPr>
      </w:pPr>
      <w:r>
        <w:rPr>
          <w:rFonts w:hint="eastAsia"/>
          <w:position w:val="-1"/>
          <w:sz w:val="23"/>
          <w:szCs w:val="23"/>
        </w:rPr>
        <w:t xml:space="preserve">Yun Zhang </w:t>
      </w:r>
      <w:r>
        <w:rPr>
          <w:rFonts w:hint="eastAsia"/>
          <w:position w:val="-1"/>
          <w:sz w:val="23"/>
          <w:szCs w:val="23"/>
          <w:vertAlign w:val="superscript"/>
        </w:rPr>
        <w:t>1</w:t>
      </w:r>
      <w:r>
        <w:rPr>
          <w:rFonts w:hint="eastAsia"/>
          <w:position w:val="-1"/>
          <w:sz w:val="23"/>
          <w:szCs w:val="23"/>
        </w:rPr>
        <w:t xml:space="preserve">*,Yuying Bai </w:t>
      </w:r>
      <w:r>
        <w:rPr>
          <w:rFonts w:hint="eastAsia"/>
          <w:position w:val="-1"/>
          <w:sz w:val="23"/>
          <w:szCs w:val="23"/>
          <w:vertAlign w:val="superscript"/>
        </w:rPr>
        <w:t>1</w:t>
      </w:r>
      <w:r>
        <w:rPr>
          <w:rFonts w:hint="eastAsia"/>
          <w:position w:val="-1"/>
          <w:sz w:val="23"/>
          <w:szCs w:val="23"/>
        </w:rPr>
        <w:t xml:space="preserve"> ,Hongyan Fu </w:t>
      </w:r>
      <w:r>
        <w:rPr>
          <w:rFonts w:hint="eastAsia"/>
          <w:position w:val="-1"/>
          <w:sz w:val="23"/>
          <w:szCs w:val="23"/>
          <w:vertAlign w:val="superscript"/>
        </w:rPr>
        <w:t>1</w:t>
      </w:r>
      <w:r>
        <w:rPr>
          <w:rFonts w:hint="eastAsia"/>
          <w:position w:val="-1"/>
          <w:sz w:val="23"/>
          <w:szCs w:val="23"/>
        </w:rPr>
        <w:t xml:space="preserve">,Tianyu Jiang </w:t>
      </w:r>
      <w:r>
        <w:rPr>
          <w:rFonts w:hint="eastAsia"/>
          <w:position w:val="-1"/>
          <w:sz w:val="23"/>
          <w:szCs w:val="23"/>
          <w:vertAlign w:val="superscript"/>
        </w:rPr>
        <w:t>1</w:t>
      </w:r>
      <w:r>
        <w:rPr>
          <w:rFonts w:hint="eastAsia"/>
          <w:position w:val="-1"/>
          <w:sz w:val="23"/>
          <w:szCs w:val="23"/>
        </w:rPr>
        <w:t xml:space="preserve">,Ge Lv </w:t>
      </w:r>
      <w:r>
        <w:rPr>
          <w:rFonts w:hint="eastAsia"/>
          <w:position w:val="-1"/>
          <w:sz w:val="23"/>
          <w:szCs w:val="23"/>
          <w:vertAlign w:val="superscript"/>
        </w:rPr>
        <w:t>1</w:t>
      </w:r>
      <w:r>
        <w:rPr>
          <w:rFonts w:hint="eastAsia"/>
          <w:position w:val="-1"/>
          <w:sz w:val="23"/>
          <w:szCs w:val="23"/>
        </w:rPr>
        <w:t xml:space="preserve">,Lan Zhang </w:t>
      </w:r>
      <w:r>
        <w:rPr>
          <w:rFonts w:hint="eastAsia"/>
          <w:position w:val="-1"/>
          <w:sz w:val="23"/>
          <w:szCs w:val="23"/>
          <w:vertAlign w:val="superscript"/>
        </w:rPr>
        <w:t>1</w:t>
      </w:r>
      <w:r>
        <w:rPr>
          <w:rFonts w:hint="eastAsia"/>
          <w:position w:val="-1"/>
          <w:sz w:val="23"/>
          <w:szCs w:val="23"/>
        </w:rPr>
        <w:t xml:space="preserve">,Wenjie Yu </w:t>
      </w:r>
      <w:r>
        <w:rPr>
          <w:rFonts w:hint="eastAsia"/>
          <w:position w:val="-1"/>
          <w:sz w:val="23"/>
          <w:szCs w:val="23"/>
          <w:vertAlign w:val="superscript"/>
        </w:rPr>
        <w:t>1</w:t>
      </w:r>
      <w:r>
        <w:rPr>
          <w:rFonts w:hint="eastAsia"/>
          <w:position w:val="-1"/>
          <w:sz w:val="23"/>
          <w:szCs w:val="23"/>
        </w:rPr>
        <w:t xml:space="preserve">  and Lin Zhao </w:t>
      </w:r>
      <w:r>
        <w:rPr>
          <w:rFonts w:hint="eastAsia"/>
          <w:position w:val="-1"/>
          <w:sz w:val="23"/>
          <w:szCs w:val="23"/>
          <w:vertAlign w:val="superscript"/>
        </w:rPr>
        <w:t xml:space="preserve">2 </w:t>
      </w:r>
    </w:p>
    <w:p>
      <w:pPr>
        <w:pStyle w:val="4"/>
        <w:spacing w:before="149" w:line="249" w:lineRule="auto"/>
        <w:ind w:left="794" w:right="1235" w:hanging="34"/>
        <w:jc w:val="both"/>
        <w:rPr>
          <w:rFonts w:hint="eastAsia" w:eastAsia="宋体"/>
          <w:sz w:val="21"/>
          <w:szCs w:val="21"/>
          <w:lang w:val="en-US" w:eastAsia="zh-CN"/>
        </w:rPr>
      </w:pPr>
      <w:r>
        <w:rPr>
          <w:spacing w:val="7"/>
          <w:position w:val="7"/>
          <w:sz w:val="15"/>
          <w:szCs w:val="15"/>
        </w:rPr>
        <w:t>1*</w:t>
      </w:r>
      <w:r>
        <w:rPr>
          <w:spacing w:val="-14"/>
          <w:position w:val="7"/>
          <w:sz w:val="15"/>
          <w:szCs w:val="15"/>
        </w:rPr>
        <w:t xml:space="preserve"> </w:t>
      </w:r>
      <w:r>
        <w:rPr>
          <w:rFonts w:hint="eastAsia"/>
          <w:sz w:val="21"/>
          <w:szCs w:val="21"/>
        </w:rPr>
        <w:t>College of Food Engineering, Heilongjiang East University, Harbin 150066, China</w:t>
      </w:r>
      <w:r>
        <w:rPr>
          <w:rFonts w:hint="eastAsia" w:eastAsia="宋体"/>
          <w:sz w:val="21"/>
          <w:szCs w:val="21"/>
          <w:lang w:val="en-US" w:eastAsia="zh-CN"/>
        </w:rPr>
        <w:t>.</w:t>
      </w:r>
    </w:p>
    <w:p>
      <w:pPr>
        <w:pStyle w:val="4"/>
        <w:spacing w:before="149" w:line="249" w:lineRule="auto"/>
        <w:ind w:left="794" w:right="1235" w:hanging="34"/>
        <w:jc w:val="both"/>
        <w:rPr>
          <w:sz w:val="21"/>
        </w:rPr>
      </w:pPr>
      <w:r>
        <w:rPr>
          <w:spacing w:val="10"/>
          <w:position w:val="7"/>
          <w:sz w:val="15"/>
          <w:szCs w:val="15"/>
        </w:rPr>
        <w:t>2</w:t>
      </w:r>
      <w:r>
        <w:rPr>
          <w:spacing w:val="-14"/>
          <w:position w:val="7"/>
          <w:sz w:val="15"/>
          <w:szCs w:val="15"/>
        </w:rPr>
        <w:t xml:space="preserve"> </w:t>
      </w:r>
      <w:r>
        <w:rPr>
          <w:sz w:val="21"/>
          <w:szCs w:val="21"/>
        </w:rPr>
        <w:t>Department</w:t>
      </w:r>
      <w:r>
        <w:rPr>
          <w:spacing w:val="10"/>
          <w:sz w:val="21"/>
          <w:szCs w:val="21"/>
        </w:rPr>
        <w:t>,</w:t>
      </w:r>
      <w:r>
        <w:rPr>
          <w:spacing w:val="26"/>
          <w:w w:val="101"/>
          <w:sz w:val="21"/>
          <w:szCs w:val="21"/>
        </w:rPr>
        <w:t xml:space="preserve"> </w:t>
      </w:r>
      <w:r>
        <w:rPr>
          <w:sz w:val="21"/>
          <w:szCs w:val="21"/>
        </w:rPr>
        <w:t>Organization</w:t>
      </w:r>
      <w:r>
        <w:rPr>
          <w:spacing w:val="10"/>
          <w:sz w:val="21"/>
          <w:szCs w:val="21"/>
        </w:rPr>
        <w:t>,</w:t>
      </w:r>
      <w:r>
        <w:rPr>
          <w:spacing w:val="26"/>
          <w:w w:val="101"/>
          <w:sz w:val="21"/>
          <w:szCs w:val="21"/>
        </w:rPr>
        <w:t xml:space="preserve"> </w:t>
      </w:r>
      <w:r>
        <w:rPr>
          <w:sz w:val="21"/>
          <w:szCs w:val="21"/>
        </w:rPr>
        <w:t>Street</w:t>
      </w:r>
      <w:r>
        <w:rPr>
          <w:spacing w:val="10"/>
          <w:sz w:val="21"/>
          <w:szCs w:val="21"/>
        </w:rPr>
        <w:t>,</w:t>
      </w:r>
      <w:r>
        <w:rPr>
          <w:spacing w:val="26"/>
          <w:w w:val="101"/>
          <w:sz w:val="21"/>
          <w:szCs w:val="21"/>
        </w:rPr>
        <w:t xml:space="preserve"> </w:t>
      </w:r>
      <w:r>
        <w:rPr>
          <w:sz w:val="21"/>
          <w:szCs w:val="21"/>
        </w:rPr>
        <w:t>City</w:t>
      </w:r>
      <w:r>
        <w:rPr>
          <w:spacing w:val="10"/>
          <w:sz w:val="21"/>
          <w:szCs w:val="21"/>
        </w:rPr>
        <w:t>,</w:t>
      </w:r>
      <w:r>
        <w:rPr>
          <w:spacing w:val="33"/>
          <w:w w:val="101"/>
          <w:sz w:val="21"/>
          <w:szCs w:val="21"/>
        </w:rPr>
        <w:t xml:space="preserve"> </w:t>
      </w:r>
      <w:r>
        <w:rPr>
          <w:spacing w:val="10"/>
          <w:sz w:val="21"/>
          <w:szCs w:val="21"/>
        </w:rPr>
        <w:t>10587,</w:t>
      </w:r>
      <w:r>
        <w:rPr>
          <w:spacing w:val="27"/>
          <w:sz w:val="21"/>
          <w:szCs w:val="21"/>
        </w:rPr>
        <w:t xml:space="preserve"> </w:t>
      </w:r>
      <w:r>
        <w:rPr>
          <w:sz w:val="21"/>
          <w:szCs w:val="21"/>
        </w:rPr>
        <w:t>State</w:t>
      </w:r>
      <w:r>
        <w:rPr>
          <w:spacing w:val="10"/>
          <w:sz w:val="21"/>
          <w:szCs w:val="21"/>
        </w:rPr>
        <w:t>,</w:t>
      </w:r>
      <w:r>
        <w:rPr>
          <w:spacing w:val="26"/>
          <w:w w:val="101"/>
          <w:sz w:val="21"/>
          <w:szCs w:val="21"/>
        </w:rPr>
        <w:t xml:space="preserve"> </w:t>
      </w:r>
      <w:r>
        <w:rPr>
          <w:sz w:val="21"/>
          <w:szCs w:val="21"/>
        </w:rPr>
        <w:t>Country</w:t>
      </w:r>
      <w:r>
        <w:rPr>
          <w:spacing w:val="10"/>
          <w:sz w:val="21"/>
          <w:szCs w:val="21"/>
        </w:rPr>
        <w:t xml:space="preserve">.  </w:t>
      </w:r>
    </w:p>
    <w:p>
      <w:pPr>
        <w:pStyle w:val="4"/>
        <w:spacing w:before="60" w:line="217" w:lineRule="auto"/>
        <w:ind w:left="1189"/>
        <w:rPr>
          <w:rFonts w:hint="eastAsia"/>
          <w:color w:val="0000FF"/>
          <w:sz w:val="21"/>
          <w:szCs w:val="21"/>
        </w:rPr>
      </w:pPr>
      <w:r>
        <w:rPr>
          <w:spacing w:val="7"/>
          <w:sz w:val="21"/>
          <w:szCs w:val="21"/>
        </w:rPr>
        <w:t>*</w:t>
      </w:r>
      <w:r>
        <w:rPr>
          <w:rFonts w:ascii="Arial" w:hAnsi="Arial" w:cs="Arial"/>
          <w:sz w:val="24"/>
          <w:szCs w:val="24"/>
          <w:lang w:val="en-GB"/>
        </w:rPr>
        <w:t>Corresponding author</w:t>
      </w:r>
      <w:r>
        <w:rPr>
          <w:rFonts w:hint="eastAsia" w:eastAsia="宋体" w:cs="Arial"/>
          <w:sz w:val="24"/>
          <w:szCs w:val="24"/>
          <w:lang w:val="en-US" w:eastAsia="zh-CN"/>
        </w:rPr>
        <w:t>:</w:t>
      </w:r>
      <w:r>
        <w:rPr>
          <w:rFonts w:hint="eastAsia" w:eastAsia="宋体"/>
          <w:sz w:val="21"/>
          <w:szCs w:val="21"/>
          <w:lang w:val="en-US" w:eastAsia="zh-CN"/>
        </w:rPr>
        <w:t>Yun Zhang</w:t>
      </w:r>
      <w:r>
        <w:rPr>
          <w:spacing w:val="7"/>
          <w:sz w:val="21"/>
          <w:szCs w:val="21"/>
        </w:rPr>
        <w:t>.</w:t>
      </w:r>
      <w:r>
        <w:rPr>
          <w:spacing w:val="21"/>
          <w:w w:val="101"/>
          <w:sz w:val="21"/>
          <w:szCs w:val="21"/>
        </w:rPr>
        <w:t xml:space="preserve"> </w:t>
      </w:r>
      <w:r>
        <w:rPr>
          <w:spacing w:val="7"/>
          <w:sz w:val="21"/>
          <w:szCs w:val="21"/>
        </w:rPr>
        <w:t>E-</w:t>
      </w:r>
      <w:r>
        <w:rPr>
          <w:sz w:val="21"/>
          <w:szCs w:val="21"/>
        </w:rPr>
        <w:t>mail</w:t>
      </w:r>
      <w:r>
        <w:rPr>
          <w:spacing w:val="7"/>
          <w:sz w:val="21"/>
          <w:szCs w:val="21"/>
        </w:rPr>
        <w:t>:</w:t>
      </w:r>
      <w:r>
        <w:rPr>
          <w:spacing w:val="21"/>
          <w:w w:val="101"/>
          <w:sz w:val="21"/>
          <w:szCs w:val="21"/>
        </w:rPr>
        <w:t xml:space="preserve"> </w:t>
      </w:r>
      <w:r>
        <w:rPr>
          <w:rFonts w:hint="eastAsia"/>
          <w:color w:val="0000FF"/>
          <w:sz w:val="21"/>
          <w:szCs w:val="21"/>
        </w:rPr>
        <w:fldChar w:fldCharType="begin"/>
      </w:r>
      <w:r>
        <w:rPr>
          <w:rFonts w:hint="eastAsia"/>
          <w:color w:val="0000FF"/>
          <w:sz w:val="21"/>
          <w:szCs w:val="21"/>
        </w:rPr>
        <w:instrText xml:space="preserve"> HYPERLINK "mailto:24343886@qq.com" </w:instrText>
      </w:r>
      <w:r>
        <w:rPr>
          <w:rFonts w:hint="eastAsia"/>
          <w:color w:val="0000FF"/>
          <w:sz w:val="21"/>
          <w:szCs w:val="21"/>
        </w:rPr>
        <w:fldChar w:fldCharType="separate"/>
      </w:r>
      <w:r>
        <w:rPr>
          <w:rStyle w:val="7"/>
          <w:rFonts w:hint="eastAsia"/>
          <w:color w:val="0000FF"/>
          <w:sz w:val="21"/>
          <w:szCs w:val="21"/>
        </w:rPr>
        <w:t>24343886@qq.com</w:t>
      </w:r>
      <w:r>
        <w:rPr>
          <w:rFonts w:hint="eastAsia"/>
          <w:color w:val="0000FF"/>
          <w:sz w:val="21"/>
          <w:szCs w:val="21"/>
        </w:rPr>
        <w:fldChar w:fldCharType="end"/>
      </w:r>
    </w:p>
    <w:p>
      <w:pPr>
        <w:pStyle w:val="4"/>
        <w:spacing w:before="60" w:line="217" w:lineRule="auto"/>
        <w:ind w:left="1189"/>
        <w:rPr>
          <w:rFonts w:hint="default" w:eastAsia="宋体"/>
          <w:sz w:val="21"/>
          <w:szCs w:val="21"/>
          <w:lang w:val="en-US" w:eastAsia="zh-CN"/>
        </w:rPr>
      </w:pPr>
      <w:r>
        <w:rPr>
          <w:rFonts w:hint="eastAsia" w:eastAsia="宋体"/>
          <w:sz w:val="21"/>
          <w:szCs w:val="21"/>
          <w:lang w:val="en-US" w:eastAsia="zh-CN"/>
        </w:rPr>
        <w:t xml:space="preserve">Yuying Bai. </w:t>
      </w:r>
      <w:r>
        <w:rPr>
          <w:spacing w:val="7"/>
          <w:sz w:val="21"/>
          <w:szCs w:val="21"/>
        </w:rPr>
        <w:t>E-</w:t>
      </w:r>
      <w:r>
        <w:rPr>
          <w:sz w:val="21"/>
          <w:szCs w:val="21"/>
        </w:rPr>
        <w:t>mail</w:t>
      </w:r>
      <w:r>
        <w:rPr>
          <w:spacing w:val="7"/>
          <w:sz w:val="21"/>
          <w:szCs w:val="21"/>
        </w:rPr>
        <w:t>:</w:t>
      </w:r>
      <w:r>
        <w:rPr>
          <w:rStyle w:val="7"/>
          <w:rFonts w:hint="eastAsia"/>
          <w:color w:val="0000FF"/>
          <w:sz w:val="21"/>
          <w:szCs w:val="21"/>
          <w:lang w:val="en-US" w:eastAsia="zh-CN"/>
        </w:rPr>
        <w:t>bai_071423@.163.com</w:t>
      </w:r>
    </w:p>
    <w:p>
      <w:pPr>
        <w:pStyle w:val="2"/>
        <w:numPr>
          <w:numId w:val="0"/>
        </w:numPr>
        <w:ind w:leftChars="0"/>
        <w:rPr>
          <w:rFonts w:hint="eastAsia" w:ascii="Arial" w:hAnsi="Arial" w:eastAsia="Arial" w:cs="Arial"/>
          <w:b/>
          <w:bCs/>
          <w:spacing w:val="-1"/>
          <w:sz w:val="24"/>
          <w:szCs w:val="24"/>
          <w:lang w:val="en-US" w:eastAsia="zh-CN" w:bidi="ar-SA"/>
        </w:rPr>
      </w:pPr>
      <w:r>
        <w:rPr>
          <w:rFonts w:hint="eastAsia" w:ascii="Arial" w:hAnsi="Arial" w:eastAsia="Arial" w:cs="Arial"/>
          <w:b/>
          <w:bCs/>
          <w:spacing w:val="-1"/>
          <w:sz w:val="24"/>
          <w:szCs w:val="24"/>
          <w:lang w:val="en-US" w:eastAsia="zh-CN" w:bidi="ar-SA"/>
        </w:rPr>
        <w:t>Materials and Methods</w:t>
      </w:r>
    </w:p>
    <w:p>
      <w:pPr>
        <w:pStyle w:val="2"/>
        <w:numPr>
          <w:numId w:val="0"/>
        </w:numPr>
        <w:ind w:leftChars="0"/>
        <w:rPr>
          <w:rFonts w:hint="eastAsia" w:ascii="Arial" w:hAnsi="Arial" w:eastAsia="Arial" w:cs="Arial"/>
          <w:b/>
          <w:bCs/>
          <w:spacing w:val="-1"/>
          <w:sz w:val="24"/>
          <w:szCs w:val="24"/>
          <w:lang w:val="en-US" w:eastAsia="en-US" w:bidi="ar-SA"/>
        </w:rPr>
      </w:pPr>
      <w:r>
        <w:rPr>
          <w:rFonts w:hint="eastAsia" w:eastAsia="宋体"/>
          <w:b/>
          <w:bCs/>
          <w:lang w:val="en-US" w:eastAsia="zh-CN"/>
        </w:rPr>
        <w:t xml:space="preserve"> </w:t>
      </w:r>
      <w:r>
        <w:rPr>
          <w:rFonts w:hint="eastAsia" w:ascii="Arial" w:hAnsi="Arial" w:eastAsia="Arial" w:cs="Arial"/>
          <w:b/>
          <w:bCs/>
          <w:spacing w:val="-1"/>
          <w:sz w:val="24"/>
          <w:szCs w:val="24"/>
          <w:lang w:val="en-US" w:eastAsia="en-US" w:bidi="ar-SA"/>
        </w:rPr>
        <w:t>Materials and Reagents</w:t>
      </w:r>
    </w:p>
    <w:p>
      <w:pPr>
        <w:ind w:firstLine="440" w:firstLineChars="200"/>
        <w:jc w:val="both"/>
        <w:rPr>
          <w:rFonts w:hint="eastAsia" w:ascii="Arial" w:hAnsi="Arial" w:eastAsia="Arial" w:cs="Arial"/>
          <w:sz w:val="21"/>
          <w:szCs w:val="21"/>
          <w:lang w:val="en-US" w:eastAsia="en-US" w:bidi="ar-SA"/>
        </w:rPr>
      </w:pPr>
      <w:r>
        <w:rPr>
          <w:rFonts w:hint="default" w:ascii="Times New Roman" w:hAnsi="Times New Roman" w:cs="Times New Roman"/>
          <w:szCs w:val="24"/>
        </w:rPr>
        <w:t>P</w:t>
      </w:r>
      <w:r>
        <w:rPr>
          <w:rFonts w:hint="default" w:ascii="Arial" w:hAnsi="Arial" w:eastAsia="Arial" w:cs="Arial"/>
          <w:sz w:val="21"/>
          <w:szCs w:val="21"/>
          <w:lang w:val="en-US" w:eastAsia="en-US" w:bidi="ar-SA"/>
        </w:rPr>
        <w:t xml:space="preserve">hysalis alkekengi was obtained from Yichun City, Heilongjiang Province, China, and the samples were washed, dried, crushed, sieved and stored in a refrigerator at −80°C. Extraction and purification of polysaccharides from Physalis alkekengi fruit: α-amylase, pepsin, trypsin, vitamin K1, and L- cysteine were purchased from Shanghai Yuanye Biotechnology Co., Ltd. (Shanghai, China). DEAE Cellulose-52 was purchased from Nanjing senbei ng Technology Co., Ltd (Nanjing, China). </w:t>
      </w:r>
      <w:r>
        <w:rPr>
          <w:rFonts w:hint="eastAsia" w:ascii="Arial" w:hAnsi="Arial" w:eastAsia="Arial" w:cs="Arial"/>
          <w:sz w:val="21"/>
          <w:szCs w:val="21"/>
          <w:lang w:val="en-US" w:eastAsia="en-US" w:bidi="ar-SA"/>
        </w:rPr>
        <w:t>All other reagents were of analytical grade.</w:t>
      </w:r>
    </w:p>
    <w:p>
      <w:pPr>
        <w:numPr>
          <w:ilvl w:val="0"/>
          <w:numId w:val="0"/>
        </w:numPr>
        <w:ind w:leftChars="0"/>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zh-CN" w:bidi="ar-SA"/>
        </w:rPr>
        <w:t xml:space="preserve"> </w:t>
      </w:r>
      <w:r>
        <w:rPr>
          <w:rFonts w:hint="eastAsia" w:ascii="Arial" w:hAnsi="Arial" w:eastAsia="Arial" w:cs="Arial"/>
          <w:b/>
          <w:bCs/>
          <w:spacing w:val="-1"/>
          <w:sz w:val="24"/>
          <w:szCs w:val="24"/>
          <w:lang w:val="en-US" w:eastAsia="en-US" w:bidi="ar-SA"/>
        </w:rPr>
        <w:t xml:space="preserve">Simulated saliva-gastrointestinal digestion </w:t>
      </w:r>
    </w:p>
    <w:p>
      <w:pPr>
        <w:ind w:firstLine="420" w:firstLineChars="200"/>
        <w:jc w:val="both"/>
        <w:rPr>
          <w:rFonts w:hint="eastAsia" w:ascii="Arial" w:hAnsi="Arial" w:eastAsia="Arial" w:cs="Arial"/>
          <w:sz w:val="21"/>
          <w:szCs w:val="21"/>
          <w:lang w:val="en-US" w:eastAsia="en-US" w:bidi="ar-SA"/>
        </w:rPr>
      </w:pPr>
      <w:r>
        <w:rPr>
          <w:rFonts w:hint="eastAsia" w:ascii="Arial" w:hAnsi="Arial" w:eastAsia="Arial" w:cs="Arial"/>
          <w:sz w:val="21"/>
          <w:szCs w:val="21"/>
          <w:lang w:val="en-US" w:eastAsia="en-US" w:bidi="ar-SA"/>
        </w:rPr>
        <w:t>The in vitro simulated saliva-gastrointestinal digestion of PAP was performed according to Minekus et al. methods [2</w:t>
      </w:r>
      <w:r>
        <w:rPr>
          <w:rFonts w:hint="eastAsia" w:ascii="Arial" w:hAnsi="Arial" w:eastAsia="宋体" w:cs="Arial"/>
          <w:sz w:val="21"/>
          <w:szCs w:val="21"/>
          <w:lang w:val="en-US" w:eastAsia="zh-CN" w:bidi="ar-SA"/>
        </w:rPr>
        <w:t>0</w:t>
      </w:r>
      <w:r>
        <w:rPr>
          <w:rFonts w:hint="eastAsia" w:ascii="Arial" w:hAnsi="Arial" w:eastAsia="Arial" w:cs="Arial"/>
          <w:sz w:val="21"/>
          <w:szCs w:val="21"/>
          <w:lang w:val="en-US" w:eastAsia="en-US" w:bidi="ar-SA"/>
        </w:rPr>
        <w:t>]. First, 5 mL of the prepared PAP solution at a concentration of 20 mg/mL was added to a solution simulating salivary juice (0.5632 g KCl, 0.2108 g KH2PO4, 0.5712 g NaHCO3, 0.0153 g MgCl2(H2O)6, 0.0029 g (NH4)2CO3,25 μL 0.3 mol/L CaCl2 (H2O)2 aq, and 0.5 mL 1200 U/mLα-amylase), and then diluted to 10 mL with ultrapure water. Oral digestion was performed at 37°C, 120 r/min in the dark for 5, 15, and 30 min, followed by boiling for 10 min in a bath of water heated to 100 °C to inactivate the enzyme and collect the supernatant (named PAP-S). The above samples were then mixed with 10.0 mL of a solution simulating gastric juice (0.2574 g KCl, 0.0612 g KH2PO4, 1.1500 g NaHCO3, 0.0122 g MgCl2(H2O)6, 0.0240 g(NH4)2CO3, 1.3806 g NaCl, 1.6 mL 24000 U/mL of pepsin and 5 μL of a 0.3 mol/L CaCl2 (H2O) 2 solution 5 μL) without inactivation with a pH of 2.0, 20 mL of ultrapure water were added. The samples were incubated for 1, 2, 4 h at 37 °C and then inactivation was performed for 10 min in a bath of water heated to 100 °C and the samples were centrifuged to collect the supernatant (named PAP-G). Intestinal digestion was then performed by culturing the above samples (20 mL) with a solution of simulated gastric juice mixed with 11 mL of simulated intestinal juice (0.2536 g KCl, 0.0554 g KH2PO4, 3.7500 g NaHCO3, 0.0355 g MgCl2(H2O)6, 1.1232 g NaCl, 5 mL 1000 U/mL of trypsin 10 mL, 4% pig bile salt 5 mL, 40μL 0.3 mol/L CaCl2 (H2O) 2 solution 80 μL). Then adjust the pH to 6.8 with HCl (0.1M) and ultrapure water added to a volume of 40 mL. The sample was cultured at 37°C for 1, 2, and 4 h. The supernatant was collected by boiling the sample in a water bath for 10 min and centrifuging once it cooled down to room temperature (named PAP-I). After salivary-gastrointestinal digestion, a partially digested sample was collected to determine the content of reducing sugars (CR), molecular weight (MW), total carbohydrate and free monosaccharide. The polysaccharide stock solution of Physalis alkekengi fruit was taken as a blank control. PAP-I is an indigestible polysaccharide that mimics in vitro salivary-gastrointestinal digestion of PAP further fermented using human fecal inoculum.</w:t>
      </w:r>
    </w:p>
    <w:p>
      <w:pPr>
        <w:numPr>
          <w:ilvl w:val="0"/>
          <w:numId w:val="0"/>
        </w:numPr>
        <w:ind w:leftChars="0"/>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en-US" w:bidi="ar-SA"/>
        </w:rPr>
        <w:t xml:space="preserve">In vitro fermentation using human fecal inoculum </w:t>
      </w:r>
    </w:p>
    <w:p>
      <w:pPr>
        <w:rPr>
          <w:rFonts w:hint="eastAsia" w:ascii="Times New Roman" w:hAnsi="Times New Roman" w:eastAsia="Cambria" w:cs="Times New Roman"/>
          <w:b/>
          <w:sz w:val="24"/>
          <w:szCs w:val="24"/>
          <w:lang w:val="en-US" w:eastAsia="en-US" w:bidi="ar-SA"/>
        </w:rPr>
      </w:pPr>
      <w:r>
        <w:rPr>
          <w:rFonts w:hint="eastAsia" w:ascii="Arial" w:hAnsi="Arial" w:eastAsia="Arial" w:cs="Arial"/>
          <w:b/>
          <w:bCs/>
          <w:spacing w:val="-1"/>
          <w:sz w:val="24"/>
          <w:szCs w:val="24"/>
          <w:lang w:val="en-US" w:eastAsia="en-US" w:bidi="ar-SA"/>
        </w:rPr>
        <w:t>Simulate the fermentation process of polysaccharide in large intestine</w:t>
      </w:r>
    </w:p>
    <w:p>
      <w:pPr>
        <w:ind w:firstLine="420" w:firstLineChars="200"/>
        <w:jc w:val="both"/>
        <w:rPr>
          <w:rFonts w:hint="eastAsia" w:ascii="Arial" w:hAnsi="Arial" w:eastAsia="Arial" w:cs="Arial"/>
          <w:sz w:val="21"/>
          <w:szCs w:val="21"/>
          <w:lang w:val="en-US" w:eastAsia="en-US" w:bidi="ar-SA"/>
        </w:rPr>
      </w:pPr>
      <w:r>
        <w:rPr>
          <w:rFonts w:hint="eastAsia" w:ascii="Arial" w:hAnsi="Arial" w:eastAsia="Arial" w:cs="Arial"/>
          <w:sz w:val="21"/>
          <w:szCs w:val="21"/>
          <w:lang w:val="en-US" w:eastAsia="en-US" w:bidi="ar-SA"/>
        </w:rPr>
        <w:t>Indigestible polysaccharide (PAP-1) has also been used in in vitro fecal fermentation. In vitro fecal fermentation was performed with minor modifications of a previously published method [2</w:t>
      </w:r>
      <w:r>
        <w:rPr>
          <w:rFonts w:hint="eastAsia" w:ascii="Arial" w:hAnsi="Arial" w:eastAsia="宋体" w:cs="Arial"/>
          <w:sz w:val="21"/>
          <w:szCs w:val="21"/>
          <w:lang w:val="en-US" w:eastAsia="zh-CN" w:bidi="ar-SA"/>
        </w:rPr>
        <w:t>1</w:t>
      </w:r>
      <w:r>
        <w:rPr>
          <w:rFonts w:hint="eastAsia" w:ascii="Arial" w:hAnsi="Arial" w:eastAsia="Arial" w:cs="Arial"/>
          <w:sz w:val="21"/>
          <w:szCs w:val="21"/>
          <w:lang w:val="en-US" w:eastAsia="en-US" w:bidi="ar-SA"/>
        </w:rPr>
        <w:t>]. Fresh stool samples were collected from 6 healthy volunteers (3 males and 3 females, aged 18–30 years) who had not received antibiotic treatment in the past 3 months. A solution containing 1 mL of PAP-I was added to 30 mL of basal medium containing a 10% fecal slurry (w/v) and performed anaerobic culture at 37 C for 6, 12, 24, and 48 h. The supernatant was collected at 6, 12, 24, and 48 h to analyze the CR sugar, total carbohydrate and MW.</w:t>
      </w:r>
    </w:p>
    <w:p>
      <w:pPr>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en-US" w:bidi="ar-SA"/>
        </w:rPr>
        <w:t>Simulate the fermentation process of polysaccharide in large intestine</w:t>
      </w:r>
    </w:p>
    <w:p>
      <w:pPr>
        <w:ind w:firstLine="420" w:firstLineChars="200"/>
        <w:jc w:val="both"/>
        <w:rPr>
          <w:rFonts w:hint="eastAsia" w:ascii="Arial" w:hAnsi="Arial" w:eastAsia="Arial" w:cs="Arial"/>
          <w:sz w:val="21"/>
          <w:szCs w:val="21"/>
          <w:lang w:val="en-US" w:eastAsia="en-US" w:bidi="ar-SA"/>
        </w:rPr>
      </w:pPr>
      <w:r>
        <w:rPr>
          <w:rFonts w:hint="eastAsia" w:ascii="Arial" w:hAnsi="Arial" w:eastAsia="Arial" w:cs="Arial"/>
          <w:sz w:val="21"/>
          <w:szCs w:val="21"/>
          <w:lang w:val="en-US" w:eastAsia="en-US" w:bidi="ar-SA"/>
        </w:rPr>
        <w:t>Unless otherwise specified, a 1 mL Physalis alkekengi polysaccharides solution of each sample was used. The prepared Physalis alkekengi polysaccharides solutions were defined as CK (0 mg/mL), MT (0.5 mg/mL), LT (1 mg/mL), HT (5 mg/mL), and purified polysaccharide CT (1 mg/mL). Anaerobic conditions were maintained throughout the fecal fermentation by using an anaerobic chamber (37 °C, 24 h). The changes in the composition of short-chain fatty acids and intestinal flora after 24 h fermentation were further analyzed.</w:t>
      </w:r>
    </w:p>
    <w:p>
      <w:pPr>
        <w:numPr>
          <w:ilvl w:val="0"/>
          <w:numId w:val="0"/>
        </w:numPr>
        <w:ind w:leftChars="0"/>
        <w:rPr>
          <w:rFonts w:hint="eastAsia" w:ascii="Times New Roman" w:hAnsi="Times New Roman" w:eastAsia="Cambria" w:cs="Times New Roman"/>
          <w:b/>
          <w:sz w:val="24"/>
          <w:szCs w:val="24"/>
          <w:lang w:val="en-US" w:eastAsia="en-US" w:bidi="ar-SA"/>
        </w:rPr>
      </w:pPr>
      <w:r>
        <w:rPr>
          <w:rFonts w:hint="eastAsia" w:ascii="Arial" w:hAnsi="Arial" w:eastAsia="Arial" w:cs="Arial"/>
          <w:b/>
          <w:bCs/>
          <w:spacing w:val="-1"/>
          <w:sz w:val="24"/>
          <w:szCs w:val="24"/>
          <w:lang w:val="en-US" w:eastAsia="en-US" w:bidi="ar-SA"/>
        </w:rPr>
        <w:t xml:space="preserve">Determination of physicochemical properties of PAP during in vitro digestion and fermentation </w:t>
      </w:r>
    </w:p>
    <w:p>
      <w:pPr>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en-US" w:bidi="ar-SA"/>
        </w:rPr>
        <w:t xml:space="preserve">Determination of CR,  total carbohydrate, digestibility, and fermentability </w:t>
      </w:r>
    </w:p>
    <w:p>
      <w:pPr>
        <w:ind w:firstLine="420" w:firstLineChars="200"/>
        <w:jc w:val="both"/>
        <w:rPr>
          <w:rFonts w:hint="eastAsia" w:ascii="Arial" w:hAnsi="Arial" w:eastAsia="Arial" w:cs="Arial"/>
          <w:sz w:val="21"/>
          <w:szCs w:val="21"/>
          <w:lang w:val="en-US" w:eastAsia="zh-CN" w:bidi="ar-SA"/>
        </w:rPr>
      </w:pPr>
      <w:r>
        <w:rPr>
          <w:rFonts w:hint="eastAsia" w:ascii="Arial" w:hAnsi="Arial" w:eastAsia="Arial" w:cs="Arial"/>
          <w:sz w:val="21"/>
          <w:szCs w:val="21"/>
          <w:lang w:val="en-US" w:eastAsia="zh-CN" w:bidi="ar-SA"/>
        </w:rPr>
        <w:t>Based on previous studies, the CR was determined by using the dinitrosalicylic acid method [22], and the total carbohydrate by using the phenol-sulphuric acid method with Glc as the standard [23]. The carbohydrate content before and after digestion (%) and fermentation (%) of PAP were calculated. Polysaccharide content was calculated as total sugar content minus CR at different time points. The digestibility was determined as saliva-gastrointestinal final digestion, that is, oral digestion for 30 minutes, gastric digestion for 4 hours, and small intestinal digestion for 4 hours.</w:t>
      </w:r>
    </w:p>
    <w:p>
      <w:pPr>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en-US" w:bidi="ar-SA"/>
        </w:rPr>
        <w:t>Determination of molecular weight</w:t>
      </w:r>
    </w:p>
    <w:p>
      <w:pPr>
        <w:ind w:firstLine="420" w:firstLineChars="200"/>
        <w:jc w:val="both"/>
        <w:rPr>
          <w:rFonts w:hint="eastAsia" w:ascii="Arial" w:hAnsi="Arial" w:eastAsia="Arial" w:cs="Arial"/>
          <w:sz w:val="21"/>
          <w:szCs w:val="21"/>
          <w:lang w:val="en-US" w:eastAsia="en-US" w:bidi="ar-SA"/>
        </w:rPr>
      </w:pPr>
      <w:r>
        <w:rPr>
          <w:rFonts w:hint="eastAsia" w:ascii="Arial" w:hAnsi="Arial" w:eastAsia="Arial" w:cs="Arial"/>
          <w:sz w:val="21"/>
          <w:szCs w:val="21"/>
          <w:lang w:val="en-US" w:eastAsia="en-US" w:bidi="ar-SA"/>
        </w:rPr>
        <w:t>The BRT105-104-102 (8×300 mm) and gel columns (BoRui Saccharide Biotech Co., Ltd., Zhejiang, China) were used to analyze the MW distribution of the carbohydrates generated from the extraction and after PAP degradation. A 0.05 M NaCl mobile phase solution was used at a 0.6 mL/min flow rate when performing high-performance gel-permeation chromatography, HP-GPC (Shimadzu Corp., Tokyo, Japan), and the carbohydrates were detected with a differential detector (RI-10A). Glucose standards of varying molecular weights were used to generate calibration curves (5.0 kDa, 11.6 kDa, 23.8 kDa,48.6 kDa, 80.9 kDa, 148.0 kDa, 273.0 kDa, 409.8 kDa, 667.8 kDa) [2</w:t>
      </w:r>
      <w:r>
        <w:rPr>
          <w:rFonts w:hint="eastAsia" w:ascii="Arial" w:hAnsi="Arial" w:eastAsia="宋体" w:cs="Arial"/>
          <w:sz w:val="21"/>
          <w:szCs w:val="21"/>
          <w:lang w:val="en-US" w:eastAsia="zh-CN" w:bidi="ar-SA"/>
        </w:rPr>
        <w:t>4</w:t>
      </w:r>
      <w:r>
        <w:rPr>
          <w:rFonts w:hint="eastAsia" w:ascii="Arial" w:hAnsi="Arial" w:eastAsia="Arial" w:cs="Arial"/>
          <w:sz w:val="21"/>
          <w:szCs w:val="21"/>
          <w:lang w:val="en-US" w:eastAsia="en-US" w:bidi="ar-SA"/>
        </w:rPr>
        <w:t>].</w:t>
      </w:r>
    </w:p>
    <w:p>
      <w:pPr>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en-US" w:bidi="ar-SA"/>
        </w:rPr>
        <w:t>Determination of free monosaccharide</w:t>
      </w:r>
    </w:p>
    <w:p>
      <w:pPr>
        <w:ind w:firstLine="420" w:firstLineChars="200"/>
        <w:jc w:val="both"/>
        <w:rPr>
          <w:rFonts w:hint="eastAsia" w:ascii="Arial" w:hAnsi="Arial" w:eastAsia="Arial" w:cs="Arial"/>
          <w:sz w:val="21"/>
          <w:szCs w:val="21"/>
          <w:lang w:val="en-US" w:eastAsia="en-US" w:bidi="ar-SA"/>
        </w:rPr>
      </w:pPr>
      <w:r>
        <w:rPr>
          <w:rFonts w:hint="eastAsia" w:ascii="Arial" w:hAnsi="Arial" w:eastAsia="Arial" w:cs="Arial"/>
          <w:sz w:val="21"/>
          <w:szCs w:val="21"/>
          <w:lang w:val="en-US" w:eastAsia="en-US" w:bidi="ar-SA"/>
        </w:rPr>
        <w:t>T</w:t>
      </w:r>
      <w:r>
        <w:rPr>
          <w:rFonts w:hint="eastAsia" w:ascii="Arial" w:hAnsi="Arial" w:eastAsia="Arial" w:cs="Arial"/>
          <w:sz w:val="21"/>
          <w:szCs w:val="21"/>
          <w:lang w:val="en-US" w:eastAsia="en-US" w:bidi="ar-SA"/>
        </w:rPr>
        <w:t>he free monosaccharide standards and samples were detected by using an ICS-5000 Ion Chromatography system equipped with an electrochemical detector and a Dionex CarboPac PA20 (3  150 mm) column. The mobile phase was A:H2O; B:15 mM NaOH; C: 15 mM NaOH and 100 mM NaOAc with a flow rate of 0.3 mL/min and injection volume of 5 μL. The temperature of the column was 30 °C [2</w:t>
      </w:r>
      <w:r>
        <w:rPr>
          <w:rFonts w:hint="eastAsia" w:ascii="Arial" w:hAnsi="Arial" w:eastAsia="宋体" w:cs="Arial"/>
          <w:sz w:val="21"/>
          <w:szCs w:val="21"/>
          <w:lang w:val="en-US" w:eastAsia="zh-CN" w:bidi="ar-SA"/>
        </w:rPr>
        <w:t>5</w:t>
      </w:r>
      <w:r>
        <w:rPr>
          <w:rFonts w:hint="eastAsia" w:ascii="Arial" w:hAnsi="Arial" w:eastAsia="Arial" w:cs="Arial"/>
          <w:sz w:val="21"/>
          <w:szCs w:val="21"/>
          <w:lang w:val="en-US" w:eastAsia="en-US" w:bidi="ar-SA"/>
        </w:rPr>
        <w:t>].</w:t>
      </w:r>
    </w:p>
    <w:p>
      <w:pPr>
        <w:rPr>
          <w:rFonts w:hint="eastAsia" w:ascii="Arial" w:hAnsi="Arial" w:eastAsia="Arial" w:cs="Arial"/>
          <w:b/>
          <w:bCs/>
          <w:spacing w:val="-1"/>
          <w:sz w:val="24"/>
          <w:szCs w:val="24"/>
          <w:lang w:val="en-US" w:eastAsia="en-US" w:bidi="ar-SA"/>
        </w:rPr>
      </w:pPr>
      <w:r>
        <w:rPr>
          <w:rFonts w:hint="eastAsia" w:ascii="Times New Roman" w:hAnsi="Times New Roman" w:eastAsia="Cambria" w:cs="Times New Roman"/>
          <w:b/>
          <w:sz w:val="24"/>
          <w:szCs w:val="24"/>
          <w:lang w:val="en-US" w:eastAsia="en-US" w:bidi="ar-SA"/>
        </w:rPr>
        <w:t>2</w:t>
      </w:r>
      <w:r>
        <w:rPr>
          <w:rFonts w:hint="eastAsia" w:ascii="Arial" w:hAnsi="Arial" w:eastAsia="Arial" w:cs="Arial"/>
          <w:b/>
          <w:bCs/>
          <w:spacing w:val="-1"/>
          <w:sz w:val="24"/>
          <w:szCs w:val="24"/>
          <w:lang w:val="en-US" w:eastAsia="en-US" w:bidi="ar-SA"/>
        </w:rPr>
        <w:t>Determination of SCFAs</w:t>
      </w:r>
    </w:p>
    <w:p>
      <w:pPr>
        <w:ind w:firstLine="420" w:firstLineChars="200"/>
        <w:jc w:val="both"/>
        <w:rPr>
          <w:rFonts w:hint="default" w:ascii="Arial" w:hAnsi="Arial" w:eastAsia="Arial" w:cs="Arial"/>
          <w:sz w:val="21"/>
          <w:szCs w:val="21"/>
          <w:lang w:val="en-US" w:eastAsia="en-US" w:bidi="ar-SA"/>
        </w:rPr>
      </w:pPr>
      <w:r>
        <w:rPr>
          <w:rFonts w:hint="default" w:ascii="Arial" w:hAnsi="Arial" w:eastAsia="Arial" w:cs="Arial"/>
          <w:sz w:val="21"/>
          <w:szCs w:val="21"/>
          <w:lang w:val="en-US" w:eastAsia="en-US" w:bidi="ar-SA"/>
        </w:rPr>
        <w:t>The fermentation mixture was prepared by mixing 0.5 mL 50% H2SO4 solution and 5 mL ethyl ether solution and centrifuging for 5 min (4 °C, 10000 r/min). The supernatants were filtrated through a 0.2 μm membrane. The SCFAs standards (acetic acid, propionic acid, n-butyric acid, i-butyric acid, n-valeric acid and i-valeric acid) and PAPs samples were detected by using an Agilent 7085B Gas Chromatography system (Agilent Technologies, CA, USA) with a flame ionization detector and a DB-WAX column (Agilent Technologies, CA, USA). Nitrogen was supplied as the carrier gas at a split ratio of 1:10. The temperatures of the detector and injection port were 220 °C. The initial column temperature was set as 70 °C for 1 min, next raised to 160 °C at a rate of 15 °C/min, held for 6 min, 30 °C/min to 210 °C for 5 min [2</w:t>
      </w:r>
      <w:r>
        <w:rPr>
          <w:rFonts w:hint="eastAsia" w:ascii="Arial" w:hAnsi="Arial" w:eastAsia="宋体" w:cs="Arial"/>
          <w:sz w:val="21"/>
          <w:szCs w:val="21"/>
          <w:lang w:val="en-US" w:eastAsia="zh-CN" w:bidi="ar-SA"/>
        </w:rPr>
        <w:t>6</w:t>
      </w:r>
      <w:bookmarkStart w:id="0" w:name="_GoBack"/>
      <w:bookmarkEnd w:id="0"/>
      <w:r>
        <w:rPr>
          <w:rFonts w:hint="default" w:ascii="Arial" w:hAnsi="Arial" w:eastAsia="Arial" w:cs="Arial"/>
          <w:sz w:val="21"/>
          <w:szCs w:val="21"/>
          <w:lang w:val="en-US" w:eastAsia="en-US" w:bidi="ar-SA"/>
        </w:rPr>
        <w:t>].</w:t>
      </w:r>
    </w:p>
    <w:p>
      <w:pPr>
        <w:rPr>
          <w:rFonts w:hint="eastAsia" w:ascii="Arial" w:hAnsi="Arial" w:eastAsia="Arial" w:cs="Arial"/>
          <w:b/>
          <w:bCs/>
          <w:spacing w:val="-1"/>
          <w:sz w:val="24"/>
          <w:szCs w:val="24"/>
          <w:lang w:val="en-US" w:eastAsia="en-US" w:bidi="ar-SA"/>
        </w:rPr>
      </w:pPr>
      <w:r>
        <w:rPr>
          <w:rFonts w:hint="eastAsia" w:ascii="Arial" w:hAnsi="Arial" w:eastAsia="Arial" w:cs="Arial"/>
          <w:b/>
          <w:bCs/>
          <w:spacing w:val="-1"/>
          <w:sz w:val="24"/>
          <w:szCs w:val="24"/>
          <w:lang w:val="en-US" w:eastAsia="en-US" w:bidi="ar-SA"/>
        </w:rPr>
        <w:t>Analysis of gut microbiota</w:t>
      </w:r>
    </w:p>
    <w:p>
      <w:pPr>
        <w:ind w:firstLine="420" w:firstLineChars="200"/>
        <w:jc w:val="both"/>
        <w:rPr>
          <w:rFonts w:hint="default" w:ascii="Arial" w:hAnsi="Arial" w:eastAsia="Arial" w:cs="Arial"/>
          <w:sz w:val="21"/>
          <w:szCs w:val="21"/>
          <w:lang w:val="en-US" w:eastAsia="en-US" w:bidi="ar-SA"/>
        </w:rPr>
      </w:pPr>
      <w:r>
        <w:rPr>
          <w:rFonts w:hint="default" w:ascii="Arial" w:hAnsi="Arial" w:eastAsia="Arial" w:cs="Arial"/>
          <w:sz w:val="21"/>
          <w:szCs w:val="21"/>
          <w:lang w:val="en-US" w:eastAsia="en-US" w:bidi="ar-SA"/>
        </w:rPr>
        <w:t>The cultured stool samples were transferred to centrifuge tubes and centrifuged for 5 min (10,000 r/min, 4 °C. The supernatant was removed and the precipitate was stored in the centrifuge tubes and stored at −80 °C. After fermentation for 24 h, the D3141 extraction kit (Meiji Biotechnology Co., Ltd., Guangzhou, China) was used to extract the genomic DNA. PCR and high-throughput sequencing were performed for extraction of total microbial DNA and amplification of the 16S rRNA V3-V4 variable region, and sequenced on-board according to the PE250 mode pooling of NovaSeq 6000.</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0601A"/>
    <w:multiLevelType w:val="multilevel"/>
    <w:tmpl w:val="1EC0601A"/>
    <w:lvl w:ilvl="0" w:tentative="0">
      <w:start w:val="1"/>
      <w:numFmt w:val="decimal"/>
      <w:lvlText w:val="%1"/>
      <w:lvlJc w:val="left"/>
      <w:pPr>
        <w:tabs>
          <w:tab w:val="left" w:pos="567"/>
        </w:tabs>
        <w:ind w:left="567" w:hanging="567"/>
      </w:pPr>
      <w:rPr>
        <w:rFonts w:hint="default"/>
      </w:rPr>
    </w:lvl>
    <w:lvl w:ilvl="1" w:tentative="0">
      <w:start w:val="1"/>
      <w:numFmt w:val="decimal"/>
      <w:lvlText w:val="%1.%2"/>
      <w:lvlJc w:val="left"/>
      <w:pPr>
        <w:tabs>
          <w:tab w:val="left" w:pos="567"/>
        </w:tabs>
        <w:ind w:left="567" w:hanging="567"/>
      </w:pPr>
      <w:rPr>
        <w:rFonts w:hint="default"/>
      </w:rPr>
    </w:lvl>
    <w:lvl w:ilvl="2" w:tentative="0">
      <w:start w:val="1"/>
      <w:numFmt w:val="decimal"/>
      <w:lvlText w:val="%1.%2.%3"/>
      <w:lvlJc w:val="left"/>
      <w:pPr>
        <w:tabs>
          <w:tab w:val="left" w:pos="567"/>
        </w:tabs>
        <w:ind w:left="567" w:hanging="567"/>
      </w:pPr>
      <w:rPr>
        <w:rFonts w:hint="default"/>
      </w:rPr>
    </w:lvl>
    <w:lvl w:ilvl="3" w:tentative="0">
      <w:start w:val="1"/>
      <w:numFmt w:val="decimal"/>
      <w:lvlText w:val="%1.%2.%3.%4"/>
      <w:lvlJc w:val="left"/>
      <w:pPr>
        <w:tabs>
          <w:tab w:val="left" w:pos="567"/>
        </w:tabs>
        <w:ind w:left="567" w:hanging="567"/>
      </w:pPr>
      <w:rPr>
        <w:rFonts w:hint="default"/>
      </w:rPr>
    </w:lvl>
    <w:lvl w:ilvl="4" w:tentative="0">
      <w:start w:val="1"/>
      <w:numFmt w:val="decimal"/>
      <w:lvlText w:val="%1.%2.%3.%4.%5"/>
      <w:lvlJc w:val="left"/>
      <w:pPr>
        <w:tabs>
          <w:tab w:val="left" w:pos="567"/>
        </w:tabs>
        <w:ind w:left="567" w:hanging="567"/>
      </w:pPr>
      <w:rPr>
        <w:rFonts w:hint="default"/>
      </w:rPr>
    </w:lvl>
    <w:lvl w:ilvl="5" w:tentative="0">
      <w:start w:val="1"/>
      <w:numFmt w:val="lowerRoman"/>
      <w:lvlText w:val="%6."/>
      <w:lvlJc w:val="right"/>
      <w:pPr>
        <w:tabs>
          <w:tab w:val="left" w:pos="567"/>
        </w:tabs>
        <w:ind w:left="567" w:hanging="567"/>
      </w:pPr>
      <w:rPr>
        <w:rFonts w:hint="default"/>
      </w:rPr>
    </w:lvl>
    <w:lvl w:ilvl="6" w:tentative="0">
      <w:start w:val="1"/>
      <w:numFmt w:val="decimal"/>
      <w:lvlText w:val="%7."/>
      <w:lvlJc w:val="left"/>
      <w:pPr>
        <w:tabs>
          <w:tab w:val="left" w:pos="567"/>
        </w:tabs>
        <w:ind w:left="567" w:hanging="567"/>
      </w:pPr>
      <w:rPr>
        <w:rFonts w:hint="default"/>
      </w:rPr>
    </w:lvl>
    <w:lvl w:ilvl="7" w:tentative="0">
      <w:start w:val="1"/>
      <w:numFmt w:val="lowerLetter"/>
      <w:lvlText w:val="%8."/>
      <w:lvlJc w:val="left"/>
      <w:pPr>
        <w:tabs>
          <w:tab w:val="left" w:pos="567"/>
        </w:tabs>
        <w:ind w:left="567" w:hanging="567"/>
      </w:pPr>
      <w:rPr>
        <w:rFonts w:hint="default"/>
      </w:rPr>
    </w:lvl>
    <w:lvl w:ilvl="8" w:tentative="0">
      <w:start w:val="1"/>
      <w:numFmt w:val="lowerRoman"/>
      <w:lvlText w:val="%9."/>
      <w:lvlJc w:val="right"/>
      <w:pPr>
        <w:tabs>
          <w:tab w:val="left" w:pos="567"/>
        </w:tabs>
        <w:ind w:left="567" w:hanging="567"/>
      </w:pPr>
      <w:rPr>
        <w:rFonts w:hint="default"/>
      </w:rPr>
    </w:lvl>
  </w:abstractNum>
  <w:abstractNum w:abstractNumId="1">
    <w:nsid w:val="225305B5"/>
    <w:multiLevelType w:val="multilevel"/>
    <w:tmpl w:val="225305B5"/>
    <w:lvl w:ilvl="0" w:tentative="0">
      <w:start w:val="1"/>
      <w:numFmt w:val="bullet"/>
      <w:pStyle w:val="3"/>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lvlOverride w:ilvl="0">
      <w:lvl w:ilvl="0" w:tentative="1">
        <w:start w:val="1"/>
        <w:numFmt w:val="decimal"/>
        <w:pStyle w:val="2"/>
        <w:lvlText w:val="%1"/>
        <w:lvlJc w:val="left"/>
        <w:pPr>
          <w:tabs>
            <w:tab w:val="left" w:pos="567"/>
          </w:tabs>
          <w:ind w:left="567" w:hanging="567"/>
        </w:pPr>
        <w:rPr>
          <w:rFonts w:hint="default"/>
        </w:rPr>
      </w:lvl>
    </w:lvlOverride>
    <w:lvlOverride w:ilvl="1">
      <w:lvl w:ilvl="1" w:tentative="1">
        <w:start w:val="1"/>
        <w:numFmt w:val="decimal"/>
        <w:lvlText w:val="%1.%2"/>
        <w:lvlJc w:val="left"/>
        <w:pPr>
          <w:tabs>
            <w:tab w:val="left" w:pos="567"/>
          </w:tabs>
          <w:ind w:left="567" w:hanging="567"/>
        </w:pPr>
        <w:rPr>
          <w:rFonts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1YTcwOTc1ZDUxNTcwOGNiZjNiNTdiY2QzOTc1YTgifQ=="/>
  </w:docVars>
  <w:rsids>
    <w:rsidRoot w:val="76A71D26"/>
    <w:rsid w:val="76A71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2"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259" w:lineRule="auto"/>
    </w:pPr>
    <w:rPr>
      <w:rFonts w:asciiTheme="minorHAnsi" w:hAnsiTheme="minorHAnsi" w:eastAsiaTheme="minorHAnsi" w:cstheme="minorBidi"/>
      <w:sz w:val="22"/>
      <w:szCs w:val="22"/>
      <w:lang w:val="es-ES" w:eastAsia="en-US" w:bidi="ar-SA"/>
    </w:rPr>
  </w:style>
  <w:style w:type="paragraph" w:styleId="2">
    <w:name w:val="heading 1"/>
    <w:basedOn w:val="3"/>
    <w:next w:val="1"/>
    <w:qFormat/>
    <w:uiPriority w:val="2"/>
    <w:pPr>
      <w:numPr>
        <w:ilvl w:val="0"/>
        <w:numId w:val="1"/>
      </w:numPr>
      <w:spacing w:before="240"/>
      <w:contextualSpacing w:val="0"/>
      <w:outlineLvl w:val="0"/>
    </w:pPr>
    <w:rPr>
      <w:b/>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List Paragraph"/>
    <w:basedOn w:val="1"/>
    <w:autoRedefine/>
    <w:qFormat/>
    <w:uiPriority w:val="3"/>
    <w:pPr>
      <w:numPr>
        <w:ilvl w:val="0"/>
        <w:numId w:val="2"/>
      </w:numPr>
      <w:ind w:left="1434" w:hanging="357"/>
      <w:contextualSpacing/>
    </w:pPr>
    <w:rPr>
      <w:rFonts w:eastAsia="Cambria" w:cs="Times New Roman"/>
      <w:szCs w:val="24"/>
    </w:rPr>
  </w:style>
  <w:style w:type="paragraph" w:styleId="4">
    <w:name w:val="Body Text"/>
    <w:basedOn w:val="1"/>
    <w:semiHidden/>
    <w:qFormat/>
    <w:uiPriority w:val="0"/>
    <w:rPr>
      <w:rFonts w:ascii="Arial" w:hAnsi="Arial" w:eastAsia="Arial" w:cs="Arial"/>
      <w:sz w:val="19"/>
      <w:szCs w:val="19"/>
      <w:lang w:val="en-US" w:eastAsia="en-US" w:bidi="ar-SA"/>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2024-03-24T09:18:00Z</dcterms:created>
  <dc:creator>ლ。ლ</dc:creator>
  <cp:lastModifiedBy>ლ。ლ</cp:lastModifiedBy>
  <dcterms:modified xsi:type="dcterms:W3CDTF">2024-03-24T09:24:57Z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F527F70DC08541088B24AF87E428CEEF_11</vt:lpwstr>
  </property>
</Properties>
</file>