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3B0EA" w14:textId="77777777" w:rsidR="00F001B0" w:rsidRPr="008B584B" w:rsidRDefault="00F001B0" w:rsidP="00F001B0">
      <w:pPr>
        <w:spacing w:after="0"/>
        <w:jc w:val="both"/>
        <w:rPr>
          <w:rFonts w:ascii="Minion Pro" w:hAnsi="Minion Pro" w:cs="Times New Roman"/>
          <w:b/>
          <w:bCs/>
          <w:sz w:val="28"/>
          <w:szCs w:val="28"/>
        </w:rPr>
      </w:pPr>
      <w:r w:rsidRPr="008B584B">
        <w:rPr>
          <w:rFonts w:ascii="Minion Pro" w:hAnsi="Minion Pro" w:cs="Times New Roman"/>
          <w:b/>
          <w:bCs/>
          <w:sz w:val="28"/>
          <w:szCs w:val="28"/>
        </w:rPr>
        <w:t>Supplementary Materials</w:t>
      </w:r>
    </w:p>
    <w:p w14:paraId="1796EDCE" w14:textId="77777777" w:rsidR="00F001B0" w:rsidRPr="008B584B" w:rsidRDefault="00F001B0" w:rsidP="00F001B0">
      <w:pPr>
        <w:jc w:val="both"/>
        <w:rPr>
          <w:rFonts w:ascii="Minion Pro" w:hAnsi="Minion Pro"/>
          <w:szCs w:val="24"/>
        </w:rPr>
      </w:pPr>
      <w:r>
        <w:rPr>
          <w:rFonts w:ascii="Minion Pro" w:hAnsi="Minion Pro"/>
          <w:szCs w:val="24"/>
        </w:rPr>
        <w:t>The (</w:t>
      </w:r>
      <w:r w:rsidRPr="00E86D6D">
        <w:rPr>
          <w:rFonts w:ascii="Minion Pro" w:hAnsi="Minion Pro"/>
          <w:b/>
          <w:bCs/>
          <w:szCs w:val="24"/>
        </w:rPr>
        <w:t>Supplementary Table 1</w:t>
      </w:r>
      <w:r>
        <w:rPr>
          <w:rFonts w:ascii="Minion Pro" w:hAnsi="Minion Pro"/>
          <w:b/>
          <w:bCs/>
          <w:szCs w:val="24"/>
        </w:rPr>
        <w:t xml:space="preserve">) </w:t>
      </w:r>
      <w:r w:rsidRPr="0058634C">
        <w:rPr>
          <w:rFonts w:ascii="Minion Pro" w:hAnsi="Minion Pro"/>
          <w:szCs w:val="24"/>
        </w:rPr>
        <w:t xml:space="preserve">shows the linear regression results. </w:t>
      </w:r>
      <w:r w:rsidRPr="00D85D44">
        <w:rPr>
          <w:rFonts w:ascii="Minion Pro" w:hAnsi="Minion Pro"/>
          <w:szCs w:val="24"/>
        </w:rPr>
        <w:t>Age was found to have a major impact on the respondents' levels of anxiety and de</w:t>
      </w:r>
      <w:r>
        <w:rPr>
          <w:rFonts w:ascii="Minion Pro" w:hAnsi="Minion Pro"/>
          <w:szCs w:val="24"/>
        </w:rPr>
        <w:t>pression</w:t>
      </w:r>
      <w:r w:rsidRPr="00D85D44">
        <w:rPr>
          <w:rFonts w:ascii="Minion Pro" w:hAnsi="Minion Pro"/>
          <w:szCs w:val="24"/>
        </w:rPr>
        <w:t xml:space="preserve">. Compared to those between the ages of 15 and 24, individuals between the ages of 25 and 34 and 35 and 49 are linked to increased chances of suffering anxiety and sadness. The respondents' anxiety and </w:t>
      </w:r>
      <w:r>
        <w:rPr>
          <w:rFonts w:ascii="Minion Pro" w:hAnsi="Minion Pro"/>
          <w:szCs w:val="24"/>
        </w:rPr>
        <w:t>depression</w:t>
      </w:r>
      <w:r w:rsidRPr="00D85D44">
        <w:rPr>
          <w:rFonts w:ascii="Minion Pro" w:hAnsi="Minion Pro"/>
          <w:szCs w:val="24"/>
        </w:rPr>
        <w:t xml:space="preserve"> were not significantly impacted by other demographic characteristics, such as place of residence, ability to refuse sex, number of sexual partners throughout lifetime, pregnancy termination, or household wealth status. Compared to married women, widowed, divorced, and separated women showed greater levels of depression (AOR=1.141, 95% CI: 0.981 to 1.971, p-value&lt;0.001). Anxiety and depression are more likely to emerge in respondents who reported being in poor general health. In the past year, there was a substantial correlation found between vaginal discharge and anxiety as well as depression. An increase in anxiety and depression was significantly linked to women who experienced emotional violence of any sort (AOR= 3.201, 95% CI: 2.784 to 3.617, p-value &lt;0.001) and AOR= 2.770 (2.355- 3.185, p-value &lt;0.001), respectively. Research has shown a correlation between women who smoke and anxiety and </w:t>
      </w:r>
      <w:r>
        <w:rPr>
          <w:rFonts w:ascii="Minion Pro" w:hAnsi="Minion Pro"/>
          <w:szCs w:val="24"/>
        </w:rPr>
        <w:t>depression</w:t>
      </w:r>
      <w:r w:rsidRPr="00D85D44">
        <w:rPr>
          <w:rFonts w:ascii="Minion Pro" w:hAnsi="Minion Pro"/>
          <w:szCs w:val="24"/>
        </w:rPr>
        <w:t xml:space="preserve">. Women who had genital mending or ulcers were found to be statistically substantially linked to depression but not anxiety. Women who experience </w:t>
      </w:r>
      <w:r>
        <w:rPr>
          <w:rFonts w:ascii="Minion Pro" w:hAnsi="Minion Pro"/>
          <w:szCs w:val="24"/>
        </w:rPr>
        <w:t>depression</w:t>
      </w:r>
      <w:r w:rsidRPr="00D85D44">
        <w:rPr>
          <w:rFonts w:ascii="Minion Pro" w:hAnsi="Minion Pro"/>
          <w:szCs w:val="24"/>
        </w:rPr>
        <w:t xml:space="preserve"> and anxiety are linked to spouses who are </w:t>
      </w:r>
      <w:r>
        <w:rPr>
          <w:rFonts w:ascii="Minion Pro" w:hAnsi="Minion Pro"/>
          <w:szCs w:val="24"/>
        </w:rPr>
        <w:t xml:space="preserve">frequently drunken. </w:t>
      </w:r>
    </w:p>
    <w:p w14:paraId="783DA036" w14:textId="3B563C97" w:rsidR="00755780" w:rsidRPr="00F001B0" w:rsidRDefault="00F001B0" w:rsidP="00F001B0">
      <w:pPr>
        <w:spacing w:after="0"/>
        <w:jc w:val="both"/>
        <w:rPr>
          <w:rFonts w:ascii="Minion Pro" w:hAnsi="Minion Pro" w:cs="Times New Roman"/>
          <w:b/>
          <w:bCs/>
          <w:szCs w:val="24"/>
        </w:rPr>
      </w:pPr>
      <w:r w:rsidRPr="008B584B">
        <w:rPr>
          <w:rFonts w:ascii="Minion Pro" w:hAnsi="Minion Pro" w:cs="Times New Roman"/>
          <w:szCs w:val="24"/>
        </w:rPr>
        <w:t>The</w:t>
      </w:r>
      <w:r>
        <w:rPr>
          <w:rFonts w:ascii="Minion Pro" w:hAnsi="Minion Pro" w:cs="Times New Roman"/>
          <w:b/>
          <w:bCs/>
          <w:szCs w:val="24"/>
        </w:rPr>
        <w:t xml:space="preserve"> </w:t>
      </w:r>
      <w:r w:rsidRPr="00CE467F">
        <w:rPr>
          <w:rFonts w:ascii="Minion Pro" w:hAnsi="Minion Pro" w:cs="Times New Roman"/>
          <w:b/>
          <w:bCs/>
          <w:szCs w:val="24"/>
        </w:rPr>
        <w:t xml:space="preserve">Supplementary Table 2 </w:t>
      </w:r>
      <w:r w:rsidRPr="00CE467F">
        <w:rPr>
          <w:rFonts w:ascii="Minion Pro" w:hAnsi="Minion Pro" w:cs="Times New Roman"/>
          <w:szCs w:val="24"/>
        </w:rPr>
        <w:t>and</w:t>
      </w:r>
      <w:r w:rsidRPr="00CE467F">
        <w:rPr>
          <w:rFonts w:ascii="Minion Pro" w:hAnsi="Minion Pro" w:cs="Times New Roman"/>
          <w:b/>
          <w:bCs/>
          <w:szCs w:val="24"/>
        </w:rPr>
        <w:t xml:space="preserve"> Table 3</w:t>
      </w:r>
      <w:r>
        <w:rPr>
          <w:rFonts w:ascii="Minion Pro" w:hAnsi="Minion Pro" w:cs="Times New Roman"/>
          <w:szCs w:val="24"/>
        </w:rPr>
        <w:t xml:space="preserve"> show the results extracted from SEM analysis. In the (</w:t>
      </w:r>
      <w:r w:rsidRPr="00CE467F">
        <w:rPr>
          <w:rFonts w:ascii="Minion Pro" w:hAnsi="Minion Pro" w:cs="Times New Roman"/>
          <w:b/>
          <w:bCs/>
          <w:szCs w:val="24"/>
        </w:rPr>
        <w:t>Supplementary Table 2</w:t>
      </w:r>
      <w:r>
        <w:rPr>
          <w:rFonts w:ascii="Minion Pro" w:hAnsi="Minion Pro" w:cs="Times New Roman"/>
          <w:b/>
          <w:bCs/>
          <w:szCs w:val="24"/>
        </w:rPr>
        <w:t xml:space="preserve">) </w:t>
      </w:r>
      <w:r w:rsidRPr="00F41321">
        <w:rPr>
          <w:rFonts w:ascii="Minion Pro" w:hAnsi="Minion Pro" w:cs="Times New Roman"/>
          <w:szCs w:val="24"/>
        </w:rPr>
        <w:t>it</w:t>
      </w:r>
      <w:r>
        <w:rPr>
          <w:rFonts w:ascii="Minion Pro" w:hAnsi="Minion Pro" w:cs="Times New Roman"/>
          <w:b/>
          <w:bCs/>
          <w:szCs w:val="24"/>
        </w:rPr>
        <w:t xml:space="preserve"> </w:t>
      </w:r>
      <w:r w:rsidRPr="001067A3">
        <w:rPr>
          <w:rFonts w:ascii="Minion Pro" w:hAnsi="Minion Pro" w:cs="Times New Roman"/>
          <w:szCs w:val="24"/>
        </w:rPr>
        <w:t>shows that the CMIN/df value is higher than the recommended range, suggesting that the model may not fit the data well in terms of the chi-square statistic. However, it's important to note that this index is sensitive to sample size, and larger samples tend to yield higher values. The CFI is above the recommended threshold, indicating a good fit between the proposed model and the observed data.</w:t>
      </w:r>
      <w:r w:rsidRPr="001067A3">
        <w:t xml:space="preserve"> </w:t>
      </w:r>
      <w:r w:rsidRPr="001067A3">
        <w:rPr>
          <w:rFonts w:ascii="Minion Pro" w:hAnsi="Minion Pro" w:cs="Times New Roman"/>
          <w:szCs w:val="24"/>
        </w:rPr>
        <w:t>The GFI is slightly below the recommended threshold but is still close, suggesting an acceptable fit.</w:t>
      </w:r>
      <w:r w:rsidRPr="001067A3">
        <w:t xml:space="preserve"> </w:t>
      </w:r>
      <w:r w:rsidRPr="001067A3">
        <w:rPr>
          <w:rFonts w:ascii="Minion Pro" w:hAnsi="Minion Pro" w:cs="Times New Roman"/>
          <w:szCs w:val="24"/>
        </w:rPr>
        <w:t>The TLI is close to the recommended threshold, indicating a reasonable fit for the model.</w:t>
      </w:r>
      <w:r w:rsidRPr="001067A3">
        <w:t xml:space="preserve"> </w:t>
      </w:r>
      <w:r w:rsidRPr="001067A3">
        <w:rPr>
          <w:rFonts w:ascii="Minion Pro" w:hAnsi="Minion Pro" w:cs="Times New Roman"/>
          <w:szCs w:val="24"/>
        </w:rPr>
        <w:t>The RMSEA is well below the recommended threshold, indicating a good fit with low model error.</w:t>
      </w:r>
      <w:r w:rsidRPr="001067A3">
        <w:t xml:space="preserve"> </w:t>
      </w:r>
      <w:r w:rsidRPr="001067A3">
        <w:rPr>
          <w:rFonts w:ascii="Minion Pro" w:hAnsi="Minion Pro" w:cs="Times New Roman"/>
          <w:szCs w:val="24"/>
        </w:rPr>
        <w:t>The PCLOSE value is very low, suggesting a high probability that the model fits the data well.</w:t>
      </w:r>
      <w:r>
        <w:rPr>
          <w:rFonts w:ascii="Minion Pro" w:hAnsi="Minion Pro" w:cs="Times New Roman"/>
          <w:szCs w:val="24"/>
        </w:rPr>
        <w:t xml:space="preserve"> While the (</w:t>
      </w:r>
      <w:r w:rsidRPr="00CE467F">
        <w:rPr>
          <w:rFonts w:ascii="Minion Pro" w:hAnsi="Minion Pro" w:cs="Times New Roman"/>
          <w:b/>
          <w:bCs/>
          <w:szCs w:val="24"/>
        </w:rPr>
        <w:t xml:space="preserve">Supplementary Table </w:t>
      </w:r>
      <w:r>
        <w:rPr>
          <w:rFonts w:ascii="Minion Pro" w:hAnsi="Minion Pro" w:cs="Times New Roman"/>
          <w:b/>
          <w:bCs/>
          <w:szCs w:val="24"/>
        </w:rPr>
        <w:t xml:space="preserve">3) </w:t>
      </w:r>
      <w:r w:rsidRPr="00C76687">
        <w:rPr>
          <w:rFonts w:ascii="Minion Pro" w:hAnsi="Minion Pro" w:cs="Times New Roman"/>
          <w:szCs w:val="24"/>
        </w:rPr>
        <w:t>shows</w:t>
      </w:r>
      <w:r>
        <w:rPr>
          <w:rFonts w:ascii="Minion Pro" w:hAnsi="Minion Pro" w:cs="Times New Roman"/>
          <w:b/>
          <w:bCs/>
          <w:szCs w:val="24"/>
        </w:rPr>
        <w:t xml:space="preserve"> t</w:t>
      </w:r>
      <w:r w:rsidRPr="001067A3">
        <w:rPr>
          <w:rFonts w:ascii="Minion Pro" w:hAnsi="Minion Pro" w:cs="Times New Roman"/>
          <w:szCs w:val="24"/>
        </w:rPr>
        <w:t xml:space="preserve">he composite reliability for the latent factor "General </w:t>
      </w:r>
      <w:r>
        <w:rPr>
          <w:rFonts w:ascii="Minion Pro" w:hAnsi="Minion Pro" w:cs="Times New Roman"/>
          <w:szCs w:val="24"/>
        </w:rPr>
        <w:t xml:space="preserve">Anxiety </w:t>
      </w:r>
      <w:r w:rsidRPr="001067A3">
        <w:rPr>
          <w:rFonts w:ascii="Minion Pro" w:hAnsi="Minion Pro" w:cs="Times New Roman"/>
          <w:szCs w:val="24"/>
        </w:rPr>
        <w:t>Depression" is 0.916, indicating high reliability. This suggests that the items (PHQ_1 to PHQ_9) collectively measure the latent factor reliably.</w:t>
      </w:r>
      <w:r>
        <w:rPr>
          <w:rFonts w:ascii="Minion Pro" w:hAnsi="Minion Pro" w:cs="Times New Roman"/>
          <w:szCs w:val="24"/>
        </w:rPr>
        <w:t xml:space="preserve"> </w:t>
      </w:r>
      <w:r w:rsidRPr="001067A3">
        <w:rPr>
          <w:rFonts w:ascii="Minion Pro" w:hAnsi="Minion Pro" w:cs="Times New Roman"/>
          <w:szCs w:val="24"/>
        </w:rPr>
        <w:t>Similarly, for "General</w:t>
      </w:r>
      <w:r>
        <w:rPr>
          <w:rFonts w:ascii="Minion Pro" w:hAnsi="Minion Pro" w:cs="Times New Roman"/>
          <w:szCs w:val="24"/>
        </w:rPr>
        <w:t>ized</w:t>
      </w:r>
      <w:r w:rsidRPr="001067A3">
        <w:rPr>
          <w:rFonts w:ascii="Minion Pro" w:hAnsi="Minion Pro" w:cs="Times New Roman"/>
          <w:szCs w:val="24"/>
        </w:rPr>
        <w:t xml:space="preserve"> Anxiety Disorder," the composite reliability is 0.877, also indicating high reliability.</w:t>
      </w:r>
      <w:r w:rsidRPr="000C6067">
        <w:t xml:space="preserve"> </w:t>
      </w:r>
      <w:r w:rsidRPr="000C6067">
        <w:rPr>
          <w:rFonts w:ascii="Minion Pro" w:hAnsi="Minion Pro" w:cs="Times New Roman"/>
          <w:szCs w:val="24"/>
        </w:rPr>
        <w:t xml:space="preserve">The AVE for " </w:t>
      </w:r>
      <w:r w:rsidRPr="001067A3">
        <w:rPr>
          <w:rFonts w:ascii="Minion Pro" w:hAnsi="Minion Pro" w:cs="Times New Roman"/>
          <w:szCs w:val="24"/>
        </w:rPr>
        <w:t>General</w:t>
      </w:r>
      <w:r>
        <w:rPr>
          <w:rFonts w:ascii="Minion Pro" w:hAnsi="Minion Pro" w:cs="Times New Roman"/>
          <w:szCs w:val="24"/>
        </w:rPr>
        <w:t>ized</w:t>
      </w:r>
      <w:r w:rsidRPr="001067A3">
        <w:rPr>
          <w:rFonts w:ascii="Minion Pro" w:hAnsi="Minion Pro" w:cs="Times New Roman"/>
          <w:szCs w:val="24"/>
        </w:rPr>
        <w:t xml:space="preserve"> Anxiety Disorder</w:t>
      </w:r>
      <w:r w:rsidRPr="000C6067">
        <w:rPr>
          <w:rFonts w:ascii="Minion Pro" w:hAnsi="Minion Pro" w:cs="Times New Roman"/>
          <w:szCs w:val="24"/>
        </w:rPr>
        <w:t>" is 0.632. This suggests that approximately 63.2% of the variance in the observed variables (PHQ_1 to PHQ_9) is explained by the latent factor.</w:t>
      </w:r>
      <w:r>
        <w:rPr>
          <w:rFonts w:ascii="Minion Pro" w:hAnsi="Minion Pro" w:cs="Times New Roman"/>
          <w:szCs w:val="24"/>
        </w:rPr>
        <w:t xml:space="preserve"> </w:t>
      </w:r>
      <w:r w:rsidRPr="000C6067">
        <w:rPr>
          <w:rFonts w:ascii="Minion Pro" w:hAnsi="Minion Pro" w:cs="Times New Roman"/>
          <w:szCs w:val="24"/>
        </w:rPr>
        <w:t>For "</w:t>
      </w:r>
      <w:r w:rsidRPr="00F41321">
        <w:rPr>
          <w:rFonts w:ascii="Minion Pro" w:hAnsi="Minion Pro" w:cs="Times New Roman"/>
          <w:szCs w:val="24"/>
        </w:rPr>
        <w:t xml:space="preserve"> </w:t>
      </w:r>
      <w:r w:rsidRPr="001067A3">
        <w:rPr>
          <w:rFonts w:ascii="Minion Pro" w:hAnsi="Minion Pro" w:cs="Times New Roman"/>
          <w:szCs w:val="24"/>
        </w:rPr>
        <w:t>General</w:t>
      </w:r>
      <w:r>
        <w:rPr>
          <w:rFonts w:ascii="Minion Pro" w:hAnsi="Minion Pro" w:cs="Times New Roman"/>
          <w:szCs w:val="24"/>
        </w:rPr>
        <w:t>ized</w:t>
      </w:r>
      <w:r w:rsidRPr="001067A3">
        <w:rPr>
          <w:rFonts w:ascii="Minion Pro" w:hAnsi="Minion Pro" w:cs="Times New Roman"/>
          <w:szCs w:val="24"/>
        </w:rPr>
        <w:t xml:space="preserve"> </w:t>
      </w:r>
      <w:r w:rsidRPr="000C6067">
        <w:rPr>
          <w:rFonts w:ascii="Minion Pro" w:hAnsi="Minion Pro" w:cs="Times New Roman"/>
          <w:szCs w:val="24"/>
        </w:rPr>
        <w:t>Anxiety Disorder," the AVE is 0.589, indicating that about 58.9% of the variance in the observed variables is explained by the latent factor.</w:t>
      </w:r>
      <w:r w:rsidRPr="000C6067">
        <w:t xml:space="preserve"> </w:t>
      </w:r>
      <w:r>
        <w:rPr>
          <w:rFonts w:ascii="Minion Pro" w:hAnsi="Minion Pro" w:cs="Times New Roman"/>
          <w:szCs w:val="24"/>
        </w:rPr>
        <w:t>T</w:t>
      </w:r>
      <w:r w:rsidRPr="000C6067">
        <w:rPr>
          <w:rFonts w:ascii="Minion Pro" w:hAnsi="Minion Pro" w:cs="Times New Roman"/>
          <w:szCs w:val="24"/>
        </w:rPr>
        <w:t>he factor loadings show the strength of the relationships between observed variables and latent factors. The high composite reliability values indicate good internal consistency, and the AVE values suggest that a substantial proportion of the observed variable variance is explained by the latent factors. These results are generally indicative of a well-fitting model, but it's important to consider these metrics in the broader context of your research and theoretical expectations.</w:t>
      </w:r>
    </w:p>
    <w:sectPr w:rsidR="00755780" w:rsidRPr="00F001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Cambria"/>
    <w:panose1 w:val="00000000000000000000"/>
    <w:charset w:val="00"/>
    <w:family w:val="roman"/>
    <w:notTrueType/>
    <w:pitch w:val="variable"/>
    <w:sig w:usb0="E00002AF" w:usb1="5000E07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1B0"/>
    <w:rsid w:val="00755780"/>
    <w:rsid w:val="00857596"/>
    <w:rsid w:val="00F00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809FD"/>
  <w15:chartTrackingRefBased/>
  <w15:docId w15:val="{F19741AA-BC20-4AE1-96D6-6B851C06F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01B0"/>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541</Words>
  <Characters>3086</Characters>
  <Application>Microsoft Office Word</Application>
  <DocSecurity>0</DocSecurity>
  <Lines>25</Lines>
  <Paragraphs>7</Paragraphs>
  <ScaleCrop>false</ScaleCrop>
  <Company>Springer Nature</Company>
  <LinksUpToDate>false</LinksUpToDate>
  <CharactersWithSpaces>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2024-04-03T17:05:00Z</dcterms:created>
  <dcterms:modified xsi:type="dcterms:W3CDTF">2024-04-03T17:05:00Z</dcterms:modified>
</cp:coreProperties>
</file>