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68B4C" w14:textId="2C1B3BE4" w:rsidR="0009675F" w:rsidRDefault="00A507AA" w:rsidP="0009675F">
      <w:pPr>
        <w:pStyle w:val="Heading1"/>
      </w:pPr>
      <w:r>
        <w:t xml:space="preserve">Supplementary Materials </w:t>
      </w:r>
    </w:p>
    <w:p w14:paraId="5C7AB1F5" w14:textId="77777777" w:rsidR="0009675F" w:rsidRDefault="0009675F" w:rsidP="0009675F">
      <w:pPr>
        <w:rPr>
          <w:b/>
          <w:bCs/>
        </w:rPr>
      </w:pPr>
    </w:p>
    <w:p w14:paraId="6A09EB8D" w14:textId="77777777" w:rsidR="0009675F" w:rsidRDefault="0009675F" w:rsidP="0009675F">
      <w:pPr>
        <w:pStyle w:val="Heading2"/>
      </w:pPr>
      <w:bookmarkStart w:id="0" w:name="_Toc120653293"/>
      <w:r>
        <w:t>Appendix 1</w:t>
      </w:r>
      <w:bookmarkEnd w:id="0"/>
      <w:r>
        <w:t xml:space="preserve"> </w:t>
      </w:r>
    </w:p>
    <w:p w14:paraId="199E817A" w14:textId="77777777" w:rsidR="0009675F" w:rsidRDefault="0009675F" w:rsidP="0009675F"/>
    <w:p w14:paraId="70D9E575" w14:textId="77777777" w:rsidR="0009675F" w:rsidRPr="005A24D5" w:rsidRDefault="0009675F" w:rsidP="0009675F">
      <w:pPr>
        <w:rPr>
          <w:sz w:val="16"/>
          <w:szCs w:val="16"/>
        </w:rPr>
      </w:pPr>
      <w:r w:rsidRPr="005A24D5">
        <w:rPr>
          <w:sz w:val="16"/>
          <w:szCs w:val="16"/>
        </w:rPr>
        <w:t xml:space="preserve">Table displaying criteria for air-conduction and bone-conduction testing </w:t>
      </w:r>
    </w:p>
    <w:tbl>
      <w:tblPr>
        <w:tblStyle w:val="TableGrid"/>
        <w:tblW w:w="0" w:type="auto"/>
        <w:tblLook w:val="04A0" w:firstRow="1" w:lastRow="0" w:firstColumn="1" w:lastColumn="0" w:noHBand="0" w:noVBand="1"/>
      </w:tblPr>
      <w:tblGrid>
        <w:gridCol w:w="3005"/>
        <w:gridCol w:w="3005"/>
        <w:gridCol w:w="3006"/>
      </w:tblGrid>
      <w:tr w:rsidR="0009675F" w:rsidRPr="005A24D5" w14:paraId="565FD85E" w14:textId="77777777" w:rsidTr="000C3DC1">
        <w:tc>
          <w:tcPr>
            <w:tcW w:w="3005" w:type="dxa"/>
          </w:tcPr>
          <w:p w14:paraId="7244A5EC" w14:textId="77777777" w:rsidR="0009675F" w:rsidRPr="005A24D5" w:rsidRDefault="0009675F" w:rsidP="000C3DC1">
            <w:pPr>
              <w:rPr>
                <w:b/>
                <w:bCs/>
                <w:sz w:val="16"/>
                <w:szCs w:val="16"/>
              </w:rPr>
            </w:pPr>
          </w:p>
        </w:tc>
        <w:tc>
          <w:tcPr>
            <w:tcW w:w="3005" w:type="dxa"/>
          </w:tcPr>
          <w:p w14:paraId="4E9E48A4" w14:textId="77777777" w:rsidR="0009675F" w:rsidRPr="005A24D5" w:rsidRDefault="0009675F" w:rsidP="000C3DC1">
            <w:pPr>
              <w:rPr>
                <w:b/>
                <w:bCs/>
                <w:sz w:val="16"/>
                <w:szCs w:val="16"/>
              </w:rPr>
            </w:pPr>
            <w:r w:rsidRPr="005A24D5">
              <w:rPr>
                <w:b/>
                <w:bCs/>
                <w:sz w:val="16"/>
                <w:szCs w:val="16"/>
              </w:rPr>
              <w:t xml:space="preserve">Air-conduction </w:t>
            </w:r>
          </w:p>
        </w:tc>
        <w:tc>
          <w:tcPr>
            <w:tcW w:w="3006" w:type="dxa"/>
          </w:tcPr>
          <w:p w14:paraId="2955A9CD" w14:textId="77777777" w:rsidR="0009675F" w:rsidRPr="005A24D5" w:rsidRDefault="0009675F" w:rsidP="000C3DC1">
            <w:pPr>
              <w:rPr>
                <w:b/>
                <w:bCs/>
                <w:sz w:val="16"/>
                <w:szCs w:val="16"/>
              </w:rPr>
            </w:pPr>
            <w:r w:rsidRPr="005A24D5">
              <w:rPr>
                <w:b/>
                <w:bCs/>
                <w:sz w:val="16"/>
                <w:szCs w:val="16"/>
              </w:rPr>
              <w:t xml:space="preserve">Bone-conduction </w:t>
            </w:r>
          </w:p>
        </w:tc>
      </w:tr>
      <w:tr w:rsidR="0009675F" w:rsidRPr="005A24D5" w14:paraId="21B2F39E" w14:textId="77777777" w:rsidTr="000C3DC1">
        <w:tc>
          <w:tcPr>
            <w:tcW w:w="3005" w:type="dxa"/>
          </w:tcPr>
          <w:p w14:paraId="35FC5F26" w14:textId="77777777" w:rsidR="0009675F" w:rsidRPr="005A24D5" w:rsidRDefault="0009675F" w:rsidP="000C3DC1">
            <w:pPr>
              <w:rPr>
                <w:b/>
                <w:bCs/>
                <w:sz w:val="16"/>
                <w:szCs w:val="16"/>
              </w:rPr>
            </w:pPr>
            <w:r w:rsidRPr="005A24D5">
              <w:rPr>
                <w:sz w:val="16"/>
                <w:szCs w:val="16"/>
              </w:rPr>
              <w:t>Test Frequencies</w:t>
            </w:r>
          </w:p>
        </w:tc>
        <w:tc>
          <w:tcPr>
            <w:tcW w:w="3005" w:type="dxa"/>
          </w:tcPr>
          <w:p w14:paraId="2DDAF5D8" w14:textId="77777777" w:rsidR="0009675F" w:rsidRPr="005A24D5" w:rsidRDefault="0009675F" w:rsidP="000C3DC1">
            <w:pPr>
              <w:rPr>
                <w:b/>
                <w:bCs/>
                <w:sz w:val="16"/>
                <w:szCs w:val="16"/>
              </w:rPr>
            </w:pPr>
            <w:r w:rsidRPr="005A24D5">
              <w:rPr>
                <w:sz w:val="16"/>
                <w:szCs w:val="16"/>
              </w:rPr>
              <w:t>250 Hz, 500 Hz, 1000 Hz, 2000 Hz, 4000 Hz, 8000 Hz</w:t>
            </w:r>
          </w:p>
        </w:tc>
        <w:tc>
          <w:tcPr>
            <w:tcW w:w="3006" w:type="dxa"/>
          </w:tcPr>
          <w:p w14:paraId="44162C6C" w14:textId="77777777" w:rsidR="0009675F" w:rsidRPr="005A24D5" w:rsidRDefault="0009675F" w:rsidP="000C3DC1">
            <w:pPr>
              <w:rPr>
                <w:b/>
                <w:bCs/>
                <w:sz w:val="16"/>
                <w:szCs w:val="16"/>
              </w:rPr>
            </w:pPr>
            <w:r w:rsidRPr="005A24D5">
              <w:rPr>
                <w:sz w:val="16"/>
                <w:szCs w:val="16"/>
              </w:rPr>
              <w:t>500 Hz, 1000 Hz, 2000 Hz</w:t>
            </w:r>
          </w:p>
        </w:tc>
      </w:tr>
      <w:tr w:rsidR="0009675F" w:rsidRPr="005A24D5" w14:paraId="68A8B68B" w14:textId="77777777" w:rsidTr="000C3DC1">
        <w:tc>
          <w:tcPr>
            <w:tcW w:w="3005" w:type="dxa"/>
          </w:tcPr>
          <w:p w14:paraId="6938B9B4" w14:textId="77777777" w:rsidR="0009675F" w:rsidRPr="005A24D5" w:rsidRDefault="0009675F" w:rsidP="000C3DC1">
            <w:pPr>
              <w:rPr>
                <w:b/>
                <w:bCs/>
                <w:sz w:val="16"/>
                <w:szCs w:val="16"/>
              </w:rPr>
            </w:pPr>
            <w:r w:rsidRPr="005A24D5">
              <w:rPr>
                <w:sz w:val="16"/>
                <w:szCs w:val="16"/>
              </w:rPr>
              <w:t>Additional notes</w:t>
            </w:r>
          </w:p>
        </w:tc>
        <w:tc>
          <w:tcPr>
            <w:tcW w:w="3005" w:type="dxa"/>
          </w:tcPr>
          <w:p w14:paraId="40392F45" w14:textId="77777777" w:rsidR="0009675F" w:rsidRPr="005A24D5" w:rsidRDefault="0009675F" w:rsidP="000C3DC1">
            <w:pPr>
              <w:rPr>
                <w:sz w:val="16"/>
                <w:szCs w:val="16"/>
              </w:rPr>
            </w:pPr>
            <w:r w:rsidRPr="005A24D5">
              <w:rPr>
                <w:sz w:val="16"/>
                <w:szCs w:val="16"/>
              </w:rPr>
              <w:t>All of the above frequencies should be tested as minimum.</w:t>
            </w:r>
          </w:p>
          <w:p w14:paraId="6CD72DB9" w14:textId="77777777" w:rsidR="0009675F" w:rsidRPr="005A24D5" w:rsidRDefault="0009675F" w:rsidP="000C3DC1">
            <w:pPr>
              <w:rPr>
                <w:b/>
                <w:bCs/>
                <w:sz w:val="16"/>
                <w:szCs w:val="16"/>
              </w:rPr>
            </w:pPr>
            <w:r w:rsidRPr="005A24D5">
              <w:rPr>
                <w:sz w:val="16"/>
                <w:szCs w:val="16"/>
              </w:rPr>
              <w:t xml:space="preserve">Where needed and practicable, test also at intermediate frequencies 750 Hz, 1500 Hz, 3000 Hz and 6000 Hz. </w:t>
            </w:r>
          </w:p>
        </w:tc>
        <w:tc>
          <w:tcPr>
            <w:tcW w:w="3006" w:type="dxa"/>
          </w:tcPr>
          <w:p w14:paraId="1602133D" w14:textId="77777777" w:rsidR="0009675F" w:rsidRPr="005A24D5" w:rsidRDefault="0009675F" w:rsidP="000C3DC1">
            <w:pPr>
              <w:rPr>
                <w:sz w:val="16"/>
                <w:szCs w:val="16"/>
              </w:rPr>
            </w:pPr>
            <w:r w:rsidRPr="005A24D5">
              <w:rPr>
                <w:sz w:val="16"/>
                <w:szCs w:val="16"/>
              </w:rPr>
              <w:t>It may not be necessary or appropriate to test at all these frequencies in every case</w:t>
            </w:r>
          </w:p>
        </w:tc>
      </w:tr>
    </w:tbl>
    <w:p w14:paraId="2B6FD2DB" w14:textId="77777777" w:rsidR="0009675F" w:rsidRDefault="0009675F" w:rsidP="0009675F">
      <w:pPr>
        <w:rPr>
          <w:b/>
          <w:bCs/>
        </w:rPr>
      </w:pPr>
    </w:p>
    <w:p w14:paraId="7BF8E5A9" w14:textId="77777777" w:rsidR="0009675F" w:rsidRDefault="0009675F" w:rsidP="0009675F">
      <w:pPr>
        <w:pStyle w:val="Heading2"/>
      </w:pPr>
      <w:bookmarkStart w:id="1" w:name="_Toc120653294"/>
      <w:r>
        <w:t>Appendix 2</w:t>
      </w:r>
      <w:bookmarkEnd w:id="1"/>
    </w:p>
    <w:p w14:paraId="168F76E3" w14:textId="77777777" w:rsidR="0009675F" w:rsidRDefault="0009675F" w:rsidP="0009675F"/>
    <w:p w14:paraId="18D0AAEC" w14:textId="77777777" w:rsidR="0009675F" w:rsidRPr="005A24D5" w:rsidRDefault="0009675F" w:rsidP="0009675F">
      <w:pPr>
        <w:rPr>
          <w:sz w:val="16"/>
          <w:szCs w:val="16"/>
        </w:rPr>
      </w:pPr>
      <w:r w:rsidRPr="005A24D5">
        <w:rPr>
          <w:sz w:val="16"/>
          <w:szCs w:val="16"/>
        </w:rPr>
        <w:t xml:space="preserve">Table displaying criteria used for identifying excluding CHL audiograms. </w:t>
      </w:r>
    </w:p>
    <w:p w14:paraId="1839EC04" w14:textId="77777777" w:rsidR="0009675F" w:rsidRPr="005A24D5" w:rsidRDefault="0009675F" w:rsidP="0009675F">
      <w:pPr>
        <w:rPr>
          <w:sz w:val="16"/>
          <w:szCs w:val="16"/>
        </w:rPr>
      </w:pPr>
    </w:p>
    <w:tbl>
      <w:tblPr>
        <w:tblStyle w:val="TableGrid"/>
        <w:tblW w:w="0" w:type="auto"/>
        <w:tblLook w:val="04A0" w:firstRow="1" w:lastRow="0" w:firstColumn="1" w:lastColumn="0" w:noHBand="0" w:noVBand="1"/>
      </w:tblPr>
      <w:tblGrid>
        <w:gridCol w:w="3005"/>
        <w:gridCol w:w="3006"/>
      </w:tblGrid>
      <w:tr w:rsidR="0009675F" w:rsidRPr="005A24D5" w14:paraId="5D7E3EC5" w14:textId="77777777" w:rsidTr="000C3DC1">
        <w:tc>
          <w:tcPr>
            <w:tcW w:w="3005" w:type="dxa"/>
          </w:tcPr>
          <w:p w14:paraId="0120057C" w14:textId="77777777" w:rsidR="0009675F" w:rsidRPr="005A24D5" w:rsidRDefault="0009675F" w:rsidP="000C3DC1">
            <w:pPr>
              <w:rPr>
                <w:b/>
                <w:bCs/>
                <w:sz w:val="16"/>
                <w:szCs w:val="16"/>
              </w:rPr>
            </w:pPr>
          </w:p>
        </w:tc>
        <w:tc>
          <w:tcPr>
            <w:tcW w:w="3006" w:type="dxa"/>
          </w:tcPr>
          <w:p w14:paraId="447F2A15" w14:textId="77777777" w:rsidR="0009675F" w:rsidRPr="005A24D5" w:rsidRDefault="0009675F" w:rsidP="000C3DC1">
            <w:pPr>
              <w:rPr>
                <w:b/>
                <w:bCs/>
                <w:sz w:val="16"/>
                <w:szCs w:val="16"/>
              </w:rPr>
            </w:pPr>
            <w:r w:rsidRPr="005A24D5">
              <w:rPr>
                <w:b/>
                <w:bCs/>
                <w:sz w:val="16"/>
                <w:szCs w:val="16"/>
              </w:rPr>
              <w:t>Conductive Hearing loss</w:t>
            </w:r>
          </w:p>
        </w:tc>
      </w:tr>
      <w:tr w:rsidR="0009675F" w:rsidRPr="005A24D5" w14:paraId="540C44EA" w14:textId="77777777" w:rsidTr="000C3DC1">
        <w:tc>
          <w:tcPr>
            <w:tcW w:w="3005" w:type="dxa"/>
          </w:tcPr>
          <w:p w14:paraId="4F3AFA62" w14:textId="77777777" w:rsidR="0009675F" w:rsidRPr="005A24D5" w:rsidRDefault="0009675F" w:rsidP="000C3DC1">
            <w:pPr>
              <w:rPr>
                <w:sz w:val="16"/>
                <w:szCs w:val="16"/>
              </w:rPr>
            </w:pPr>
            <w:r w:rsidRPr="005A24D5">
              <w:rPr>
                <w:sz w:val="16"/>
                <w:szCs w:val="16"/>
              </w:rPr>
              <w:t>Official Criteria:</w:t>
            </w:r>
          </w:p>
        </w:tc>
        <w:tc>
          <w:tcPr>
            <w:tcW w:w="3006" w:type="dxa"/>
          </w:tcPr>
          <w:p w14:paraId="24A4743E" w14:textId="77777777" w:rsidR="0009675F" w:rsidRPr="005A24D5" w:rsidRDefault="0009675F" w:rsidP="000C3DC1">
            <w:pPr>
              <w:rPr>
                <w:b/>
                <w:bCs/>
                <w:sz w:val="16"/>
                <w:szCs w:val="16"/>
              </w:rPr>
            </w:pPr>
            <w:r w:rsidRPr="005A24D5">
              <w:rPr>
                <w:sz w:val="16"/>
                <w:szCs w:val="16"/>
              </w:rPr>
              <w:t>25 dB or greater air-bone gap present at two or more of the following frequencies: 500, 1000, 2000Hx or 4000 Hz</w:t>
            </w:r>
          </w:p>
        </w:tc>
      </w:tr>
      <w:tr w:rsidR="0009675F" w:rsidRPr="005A24D5" w14:paraId="70B4FA85" w14:textId="77777777" w:rsidTr="000C3DC1">
        <w:tc>
          <w:tcPr>
            <w:tcW w:w="3005" w:type="dxa"/>
          </w:tcPr>
          <w:p w14:paraId="75BCAF67" w14:textId="77777777" w:rsidR="0009675F" w:rsidRPr="005A24D5" w:rsidRDefault="0009675F" w:rsidP="000C3DC1">
            <w:pPr>
              <w:rPr>
                <w:b/>
                <w:bCs/>
                <w:sz w:val="16"/>
                <w:szCs w:val="16"/>
              </w:rPr>
            </w:pPr>
            <w:r w:rsidRPr="005A24D5">
              <w:rPr>
                <w:sz w:val="16"/>
                <w:szCs w:val="16"/>
              </w:rPr>
              <w:t xml:space="preserve">Adapted criteria: </w:t>
            </w:r>
          </w:p>
        </w:tc>
        <w:tc>
          <w:tcPr>
            <w:tcW w:w="3006" w:type="dxa"/>
          </w:tcPr>
          <w:p w14:paraId="62A1FFEC" w14:textId="77777777" w:rsidR="0009675F" w:rsidRPr="005A24D5" w:rsidRDefault="0009675F" w:rsidP="000C3DC1">
            <w:pPr>
              <w:rPr>
                <w:sz w:val="16"/>
                <w:szCs w:val="16"/>
              </w:rPr>
            </w:pPr>
            <w:r w:rsidRPr="005A24D5">
              <w:rPr>
                <w:sz w:val="16"/>
                <w:szCs w:val="16"/>
              </w:rPr>
              <w:t>However: updated guidance for bone-conduction testing procedure in Appendix 1 states not all of these frequencies need to be tested.</w:t>
            </w:r>
          </w:p>
          <w:p w14:paraId="7BE3E429" w14:textId="5C086F75" w:rsidR="0009675F" w:rsidRPr="005A24D5" w:rsidRDefault="0009675F" w:rsidP="000C3DC1">
            <w:pPr>
              <w:rPr>
                <w:sz w:val="16"/>
                <w:szCs w:val="16"/>
              </w:rPr>
            </w:pPr>
            <w:r w:rsidRPr="005A24D5">
              <w:rPr>
                <w:sz w:val="16"/>
                <w:szCs w:val="16"/>
              </w:rPr>
              <w:t>Ther</w:t>
            </w:r>
            <w:r w:rsidR="00F308B7">
              <w:rPr>
                <w:sz w:val="16"/>
                <w:szCs w:val="16"/>
              </w:rPr>
              <w:t>e</w:t>
            </w:r>
            <w:r w:rsidRPr="005A24D5">
              <w:rPr>
                <w:sz w:val="16"/>
                <w:szCs w:val="16"/>
              </w:rPr>
              <w:t>fore the above criteria was adapted to included 2 or more frequencies with an air-bone gap of &gt;25dB between 500 Hz, 1000 Hz, 2000 Hz.</w:t>
            </w:r>
          </w:p>
        </w:tc>
      </w:tr>
    </w:tbl>
    <w:p w14:paraId="69FBA372" w14:textId="77777777" w:rsidR="0009675F" w:rsidRDefault="0009675F" w:rsidP="0009675F">
      <w:pPr>
        <w:rPr>
          <w:b/>
          <w:bCs/>
        </w:rPr>
      </w:pPr>
    </w:p>
    <w:p w14:paraId="75BA323D" w14:textId="77777777" w:rsidR="0009675F" w:rsidRDefault="0009675F" w:rsidP="0009675F">
      <w:pPr>
        <w:pStyle w:val="Heading2"/>
      </w:pPr>
      <w:bookmarkStart w:id="2" w:name="_Toc120653295"/>
      <w:r>
        <w:t>Appendix 3</w:t>
      </w:r>
      <w:bookmarkEnd w:id="2"/>
    </w:p>
    <w:p w14:paraId="03264899" w14:textId="77777777" w:rsidR="0009675F" w:rsidRPr="00AE1F71" w:rsidRDefault="0009675F" w:rsidP="0009675F"/>
    <w:p w14:paraId="6EBBC190" w14:textId="77777777" w:rsidR="0009675F" w:rsidRPr="005A24D5" w:rsidRDefault="0009675F" w:rsidP="0009675F">
      <w:pPr>
        <w:rPr>
          <w:sz w:val="16"/>
          <w:szCs w:val="16"/>
        </w:rPr>
      </w:pPr>
      <w:r w:rsidRPr="005A24D5">
        <w:rPr>
          <w:sz w:val="16"/>
          <w:szCs w:val="16"/>
        </w:rPr>
        <w:t xml:space="preserve">Table displaying parameters used for tuning the GMM model </w:t>
      </w:r>
    </w:p>
    <w:tbl>
      <w:tblPr>
        <w:tblStyle w:val="TableGrid"/>
        <w:tblW w:w="0" w:type="auto"/>
        <w:tblLook w:val="04A0" w:firstRow="1" w:lastRow="0" w:firstColumn="1" w:lastColumn="0" w:noHBand="0" w:noVBand="1"/>
      </w:tblPr>
      <w:tblGrid>
        <w:gridCol w:w="4508"/>
        <w:gridCol w:w="4508"/>
      </w:tblGrid>
      <w:tr w:rsidR="0009675F" w:rsidRPr="005A24D5" w14:paraId="59EEE4C8" w14:textId="77777777" w:rsidTr="000C3DC1">
        <w:tc>
          <w:tcPr>
            <w:tcW w:w="4508" w:type="dxa"/>
          </w:tcPr>
          <w:p w14:paraId="33FDA30F" w14:textId="77777777" w:rsidR="0009675F" w:rsidRPr="005A24D5" w:rsidRDefault="0009675F" w:rsidP="000C3DC1">
            <w:pPr>
              <w:rPr>
                <w:rFonts w:cs="Arial"/>
                <w:b/>
                <w:bCs/>
                <w:sz w:val="16"/>
                <w:szCs w:val="16"/>
              </w:rPr>
            </w:pPr>
            <w:r w:rsidRPr="005A24D5">
              <w:rPr>
                <w:rFonts w:cs="Arial"/>
                <w:b/>
                <w:bCs/>
                <w:sz w:val="16"/>
                <w:szCs w:val="16"/>
              </w:rPr>
              <w:t>Parameter</w:t>
            </w:r>
          </w:p>
        </w:tc>
        <w:tc>
          <w:tcPr>
            <w:tcW w:w="4508" w:type="dxa"/>
          </w:tcPr>
          <w:p w14:paraId="246536AA" w14:textId="77777777" w:rsidR="0009675F" w:rsidRPr="005A24D5" w:rsidRDefault="0009675F" w:rsidP="000C3DC1">
            <w:pPr>
              <w:rPr>
                <w:rFonts w:cs="Arial"/>
                <w:b/>
                <w:bCs/>
                <w:sz w:val="16"/>
                <w:szCs w:val="16"/>
              </w:rPr>
            </w:pPr>
            <w:r w:rsidRPr="005A24D5">
              <w:rPr>
                <w:rFonts w:cs="Arial"/>
                <w:b/>
                <w:bCs/>
                <w:sz w:val="16"/>
                <w:szCs w:val="16"/>
              </w:rPr>
              <w:t>Value</w:t>
            </w:r>
          </w:p>
        </w:tc>
      </w:tr>
      <w:tr w:rsidR="0009675F" w:rsidRPr="005A24D5" w14:paraId="5DB8E8EA" w14:textId="77777777" w:rsidTr="000C3DC1">
        <w:tc>
          <w:tcPr>
            <w:tcW w:w="4508" w:type="dxa"/>
          </w:tcPr>
          <w:p w14:paraId="3CCBC25E" w14:textId="77777777" w:rsidR="0009675F" w:rsidRPr="005A24D5" w:rsidRDefault="0009675F" w:rsidP="000C3DC1">
            <w:pPr>
              <w:rPr>
                <w:rFonts w:cs="Arial"/>
                <w:sz w:val="16"/>
                <w:szCs w:val="16"/>
              </w:rPr>
            </w:pPr>
            <w:r w:rsidRPr="005A24D5">
              <w:rPr>
                <w:rFonts w:cs="Arial"/>
                <w:sz w:val="16"/>
                <w:szCs w:val="16"/>
              </w:rPr>
              <w:t xml:space="preserve">Random state </w:t>
            </w:r>
          </w:p>
        </w:tc>
        <w:tc>
          <w:tcPr>
            <w:tcW w:w="4508" w:type="dxa"/>
          </w:tcPr>
          <w:p w14:paraId="6FEC77B2" w14:textId="5F99CADB" w:rsidR="0009675F" w:rsidRPr="005A24D5" w:rsidRDefault="00D16D76" w:rsidP="000C3DC1">
            <w:pPr>
              <w:rPr>
                <w:rFonts w:cs="Arial"/>
                <w:sz w:val="16"/>
                <w:szCs w:val="16"/>
              </w:rPr>
            </w:pPr>
            <w:r w:rsidRPr="005A24D5">
              <w:rPr>
                <w:rFonts w:cs="Arial"/>
                <w:sz w:val="16"/>
                <w:szCs w:val="16"/>
              </w:rPr>
              <w:t>1, 10, 20, 30, 40, 50, 60000, 70, 80, 9333330, 100, 110, 120, 13044, 140, 150, 160, 170, 18024, 190, 200</w:t>
            </w:r>
          </w:p>
        </w:tc>
      </w:tr>
      <w:tr w:rsidR="0009675F" w:rsidRPr="005A24D5" w14:paraId="246C0450" w14:textId="77777777" w:rsidTr="000C3DC1">
        <w:tc>
          <w:tcPr>
            <w:tcW w:w="4508" w:type="dxa"/>
          </w:tcPr>
          <w:p w14:paraId="19CC3F96" w14:textId="77777777" w:rsidR="0009675F" w:rsidRPr="005A24D5" w:rsidRDefault="0009675F" w:rsidP="000C3DC1">
            <w:pPr>
              <w:rPr>
                <w:rFonts w:cs="Arial"/>
                <w:sz w:val="16"/>
                <w:szCs w:val="16"/>
              </w:rPr>
            </w:pPr>
            <w:r w:rsidRPr="005A24D5">
              <w:rPr>
                <w:rFonts w:cs="Arial"/>
                <w:sz w:val="16"/>
                <w:szCs w:val="16"/>
              </w:rPr>
              <w:t>Regularisation value</w:t>
            </w:r>
          </w:p>
        </w:tc>
        <w:tc>
          <w:tcPr>
            <w:tcW w:w="4508" w:type="dxa"/>
          </w:tcPr>
          <w:p w14:paraId="4BB02A85" w14:textId="77777777" w:rsidR="0009675F" w:rsidRPr="005A24D5" w:rsidRDefault="0009675F" w:rsidP="000C3DC1">
            <w:pPr>
              <w:rPr>
                <w:rFonts w:cs="Arial"/>
                <w:sz w:val="16"/>
                <w:szCs w:val="16"/>
              </w:rPr>
            </w:pPr>
            <w:r w:rsidRPr="005A24D5">
              <w:rPr>
                <w:rFonts w:cs="Arial"/>
                <w:sz w:val="16"/>
                <w:szCs w:val="16"/>
              </w:rPr>
              <w:t>0.001, 0.002, 0.003, 0.004, 0.005, 0.006, 0.007,</w:t>
            </w:r>
          </w:p>
          <w:p w14:paraId="405BFFAA" w14:textId="77777777" w:rsidR="0009675F" w:rsidRPr="005A24D5" w:rsidRDefault="0009675F" w:rsidP="000C3DC1">
            <w:pPr>
              <w:rPr>
                <w:rFonts w:cs="Arial"/>
                <w:sz w:val="16"/>
                <w:szCs w:val="16"/>
              </w:rPr>
            </w:pPr>
            <w:r w:rsidRPr="005A24D5">
              <w:rPr>
                <w:rFonts w:cs="Arial"/>
                <w:sz w:val="16"/>
                <w:szCs w:val="16"/>
              </w:rPr>
              <w:t>0.008, 0.009, 0.01</w:t>
            </w:r>
          </w:p>
        </w:tc>
      </w:tr>
      <w:tr w:rsidR="0009675F" w:rsidRPr="005A24D5" w14:paraId="2C98E9B2" w14:textId="77777777" w:rsidTr="000C3DC1">
        <w:tc>
          <w:tcPr>
            <w:tcW w:w="4508" w:type="dxa"/>
          </w:tcPr>
          <w:p w14:paraId="5EEE2596" w14:textId="77777777" w:rsidR="0009675F" w:rsidRPr="005A24D5" w:rsidRDefault="0009675F" w:rsidP="000C3DC1">
            <w:pPr>
              <w:rPr>
                <w:rFonts w:cs="Arial"/>
                <w:sz w:val="16"/>
                <w:szCs w:val="16"/>
              </w:rPr>
            </w:pPr>
            <w:r w:rsidRPr="005A24D5">
              <w:rPr>
                <w:rFonts w:cs="Arial"/>
                <w:sz w:val="16"/>
                <w:szCs w:val="16"/>
              </w:rPr>
              <w:t xml:space="preserve">Cluster number </w:t>
            </w:r>
          </w:p>
        </w:tc>
        <w:tc>
          <w:tcPr>
            <w:tcW w:w="4508" w:type="dxa"/>
          </w:tcPr>
          <w:p w14:paraId="7124D1FE" w14:textId="5253ED11" w:rsidR="0009675F" w:rsidRPr="005A24D5" w:rsidRDefault="0009675F" w:rsidP="000C3DC1">
            <w:pPr>
              <w:rPr>
                <w:rFonts w:cs="Arial"/>
                <w:sz w:val="16"/>
                <w:szCs w:val="16"/>
              </w:rPr>
            </w:pPr>
            <w:r w:rsidRPr="005A24D5">
              <w:rPr>
                <w:rFonts w:cs="Arial"/>
                <w:sz w:val="16"/>
                <w:szCs w:val="16"/>
              </w:rPr>
              <w:t>2,3,4,5,6,7,8,9,10, 11,12,13</w:t>
            </w:r>
            <w:r w:rsidR="00DA2DFD" w:rsidRPr="005A24D5">
              <w:rPr>
                <w:rFonts w:cs="Arial"/>
                <w:sz w:val="16"/>
                <w:szCs w:val="16"/>
              </w:rPr>
              <w:t>, 14, 15</w:t>
            </w:r>
          </w:p>
        </w:tc>
      </w:tr>
      <w:tr w:rsidR="0009675F" w:rsidRPr="005A24D5" w14:paraId="66533358" w14:textId="77777777" w:rsidTr="000C3DC1">
        <w:tc>
          <w:tcPr>
            <w:tcW w:w="4508" w:type="dxa"/>
          </w:tcPr>
          <w:p w14:paraId="014A2537" w14:textId="77777777" w:rsidR="0009675F" w:rsidRPr="005A24D5" w:rsidRDefault="0009675F" w:rsidP="000C3DC1">
            <w:pPr>
              <w:rPr>
                <w:rFonts w:cs="Arial"/>
                <w:sz w:val="16"/>
                <w:szCs w:val="16"/>
              </w:rPr>
            </w:pPr>
            <w:r w:rsidRPr="005A24D5">
              <w:rPr>
                <w:rFonts w:cs="Arial"/>
                <w:sz w:val="16"/>
                <w:szCs w:val="16"/>
              </w:rPr>
              <w:t xml:space="preserve">Covariance type </w:t>
            </w:r>
          </w:p>
        </w:tc>
        <w:tc>
          <w:tcPr>
            <w:tcW w:w="4508" w:type="dxa"/>
          </w:tcPr>
          <w:p w14:paraId="14825067" w14:textId="1F7CB97F" w:rsidR="0009675F" w:rsidRPr="005A24D5" w:rsidRDefault="0009675F" w:rsidP="000C3DC1">
            <w:pPr>
              <w:rPr>
                <w:rFonts w:cs="Arial"/>
                <w:sz w:val="16"/>
                <w:szCs w:val="16"/>
              </w:rPr>
            </w:pPr>
            <w:r w:rsidRPr="005A24D5">
              <w:rPr>
                <w:rFonts w:cs="Arial"/>
                <w:sz w:val="16"/>
                <w:szCs w:val="16"/>
              </w:rPr>
              <w:t>Spherical, tied, diagonal,</w:t>
            </w:r>
            <w:r w:rsidR="005A24D5" w:rsidRPr="005A24D5">
              <w:rPr>
                <w:rFonts w:cs="Arial"/>
                <w:sz w:val="16"/>
                <w:szCs w:val="16"/>
              </w:rPr>
              <w:t xml:space="preserve"> F</w:t>
            </w:r>
            <w:r w:rsidRPr="005A24D5">
              <w:rPr>
                <w:rFonts w:cs="Arial"/>
                <w:sz w:val="16"/>
                <w:szCs w:val="16"/>
              </w:rPr>
              <w:t xml:space="preserve">ull </w:t>
            </w:r>
          </w:p>
        </w:tc>
      </w:tr>
      <w:tr w:rsidR="0009675F" w:rsidRPr="005A24D5" w14:paraId="37501192" w14:textId="77777777" w:rsidTr="000C3DC1">
        <w:tc>
          <w:tcPr>
            <w:tcW w:w="4508" w:type="dxa"/>
          </w:tcPr>
          <w:p w14:paraId="20E59797" w14:textId="77777777" w:rsidR="0009675F" w:rsidRPr="005A24D5" w:rsidRDefault="0009675F" w:rsidP="000C3DC1">
            <w:pPr>
              <w:rPr>
                <w:rFonts w:cs="Arial"/>
                <w:sz w:val="16"/>
                <w:szCs w:val="16"/>
              </w:rPr>
            </w:pPr>
            <w:r w:rsidRPr="005A24D5">
              <w:rPr>
                <w:rFonts w:cs="Arial"/>
                <w:sz w:val="16"/>
                <w:szCs w:val="16"/>
              </w:rPr>
              <w:t>Convergence threshold</w:t>
            </w:r>
          </w:p>
        </w:tc>
        <w:tc>
          <w:tcPr>
            <w:tcW w:w="4508" w:type="dxa"/>
          </w:tcPr>
          <w:p w14:paraId="22F54B22" w14:textId="77777777" w:rsidR="0009675F" w:rsidRPr="005A24D5" w:rsidRDefault="0009675F" w:rsidP="000C3DC1">
            <w:pPr>
              <w:rPr>
                <w:rFonts w:cs="Arial"/>
                <w:sz w:val="16"/>
                <w:szCs w:val="16"/>
              </w:rPr>
            </w:pPr>
            <w:r w:rsidRPr="005A24D5">
              <w:rPr>
                <w:rFonts w:cs="Arial"/>
                <w:color w:val="212529"/>
                <w:sz w:val="16"/>
                <w:szCs w:val="16"/>
                <w:shd w:val="clear" w:color="auto" w:fill="FFFFFF"/>
              </w:rPr>
              <w:t>1e-3</w:t>
            </w:r>
          </w:p>
        </w:tc>
      </w:tr>
    </w:tbl>
    <w:p w14:paraId="15BEED0D" w14:textId="77777777" w:rsidR="0009675F" w:rsidRDefault="0009675F" w:rsidP="0009675F">
      <w:pPr>
        <w:rPr>
          <w:b/>
          <w:bCs/>
        </w:rPr>
      </w:pPr>
    </w:p>
    <w:p w14:paraId="5898CB7C" w14:textId="77777777" w:rsidR="0009675F" w:rsidRDefault="0009675F" w:rsidP="0009675F">
      <w:pPr>
        <w:rPr>
          <w:b/>
          <w:bCs/>
        </w:rPr>
      </w:pPr>
    </w:p>
    <w:p w14:paraId="78C343FD" w14:textId="4012C069" w:rsidR="0009675F" w:rsidRDefault="00D20E52" w:rsidP="00D20E52">
      <w:pPr>
        <w:pStyle w:val="Heading2"/>
      </w:pPr>
      <w:r>
        <w:t>Appendix 4</w:t>
      </w:r>
    </w:p>
    <w:p w14:paraId="17BB86C6" w14:textId="77777777" w:rsidR="00D20E52" w:rsidRDefault="00D20E52" w:rsidP="00D20E52"/>
    <w:p w14:paraId="5603AF91" w14:textId="77777777" w:rsidR="00D20E52" w:rsidRPr="00D20E52" w:rsidRDefault="00D20E52" w:rsidP="00D20E52"/>
    <w:p w14:paraId="761428FC" w14:textId="77777777" w:rsidR="0009675F" w:rsidRDefault="0009675F" w:rsidP="0009675F">
      <w:pPr>
        <w:rPr>
          <w:b/>
          <w:bCs/>
        </w:rPr>
      </w:pPr>
    </w:p>
    <w:p w14:paraId="7E7530EC" w14:textId="77777777" w:rsidR="0009675F" w:rsidRDefault="0009675F" w:rsidP="0009675F">
      <w:pPr>
        <w:spacing w:after="160" w:line="259" w:lineRule="auto"/>
        <w:rPr>
          <w:b/>
          <w:bCs/>
        </w:rPr>
      </w:pPr>
      <w:r>
        <w:rPr>
          <w:b/>
          <w:bCs/>
        </w:rPr>
        <w:br w:type="page"/>
      </w:r>
    </w:p>
    <w:p w14:paraId="1CBFB21B" w14:textId="040167D5" w:rsidR="0009675F" w:rsidRPr="00783D4D" w:rsidRDefault="00DD0D2A" w:rsidP="0009675F">
      <w:r w:rsidRPr="00783D4D">
        <w:lastRenderedPageBreak/>
        <w:t>Identifying patients with sensorineural hearing loss (SNHL) using audiogram data requires several stages of data pre-processing. The whole workflow is displayed in Appendix 4. Key steps are outline here to assist the reader.</w:t>
      </w:r>
    </w:p>
    <w:p w14:paraId="1F35BCAB" w14:textId="77777777" w:rsidR="00DD0D2A" w:rsidRPr="00783D4D" w:rsidRDefault="00DD0D2A" w:rsidP="0009675F"/>
    <w:p w14:paraId="192504D8" w14:textId="3675EE61" w:rsidR="00DD0D2A" w:rsidRDefault="00DD0D2A" w:rsidP="0009675F">
      <w:r w:rsidRPr="00783D4D">
        <w:t xml:space="preserve">Auditbase stores audiograms as </w:t>
      </w:r>
      <w:r w:rsidR="00783D4D">
        <w:t xml:space="preserve">individual curves. For example, a patient may have air conduction </w:t>
      </w:r>
      <w:r w:rsidR="00E566B7">
        <w:t xml:space="preserve">(AC) </w:t>
      </w:r>
      <w:r w:rsidR="00783D4D">
        <w:t>and bone conduction</w:t>
      </w:r>
      <w:r w:rsidR="00E566B7">
        <w:t xml:space="preserve"> (BC)</w:t>
      </w:r>
      <w:r w:rsidR="00783D4D">
        <w:t xml:space="preserve"> measured</w:t>
      </w:r>
      <w:r w:rsidR="002A2F5C">
        <w:t xml:space="preserve"> in a single audiogram</w:t>
      </w:r>
      <w:r w:rsidR="00783D4D">
        <w:t xml:space="preserve">. These 2 different measurements are saved as separate rows in the AUDIOGRAMCURVE table. </w:t>
      </w:r>
      <w:r w:rsidR="00E566B7">
        <w:t>AC</w:t>
      </w:r>
      <w:r w:rsidR="00783D4D">
        <w:t xml:space="preserve"> curves are identified by a curve column value of 0 and </w:t>
      </w:r>
      <w:r w:rsidR="00910646">
        <w:t>BC</w:t>
      </w:r>
      <w:r w:rsidR="00783D4D">
        <w:t xml:space="preserve"> curves with a value of 10. Therefore the dataset initially is composed of records </w:t>
      </w:r>
      <w:r w:rsidR="00910646">
        <w:t xml:space="preserve">corresponding to </w:t>
      </w:r>
      <w:r w:rsidR="00783D4D">
        <w:t>curves</w:t>
      </w:r>
      <w:r w:rsidR="00910646">
        <w:t xml:space="preserve"> and not complete audiograms</w:t>
      </w:r>
      <w:r w:rsidR="00783D4D">
        <w:t xml:space="preserve">. In order to re-create the entire hearing test a join </w:t>
      </w:r>
      <w:r w:rsidR="002A2F5C">
        <w:t xml:space="preserve">is </w:t>
      </w:r>
      <w:r w:rsidR="00783D4D">
        <w:t>performed to link the different curves belonging to the same audiogram. This is why the number in this flow charts drops</w:t>
      </w:r>
      <w:r w:rsidR="001301AA">
        <w:t xml:space="preserve"> to</w:t>
      </w:r>
      <w:r w:rsidR="00910646">
        <w:t xml:space="preserve"> </w:t>
      </w:r>
      <w:r w:rsidR="001301AA">
        <w:t>121</w:t>
      </w:r>
      <w:r w:rsidR="00704F3E">
        <w:t xml:space="preserve">478 at the first three-way branch. This value represents 121478 audiograms which corresponds to </w:t>
      </w:r>
      <w:r w:rsidR="00745135">
        <w:t>242956 audiogram curves.</w:t>
      </w:r>
    </w:p>
    <w:p w14:paraId="45B4F784" w14:textId="77777777" w:rsidR="002A2F5C" w:rsidRDefault="002A2F5C" w:rsidP="0009675F"/>
    <w:p w14:paraId="6710BCD6" w14:textId="021B1EEB" w:rsidR="002A2F5C" w:rsidRDefault="00364D3D" w:rsidP="0009675F">
      <w:r>
        <w:t xml:space="preserve">Looking at the start of the flowchart, duplicates rows </w:t>
      </w:r>
      <w:r w:rsidR="002A2F5C">
        <w:t>across all column values</w:t>
      </w:r>
      <w:r w:rsidR="004C358C">
        <w:t xml:space="preserve"> are removed.</w:t>
      </w:r>
    </w:p>
    <w:p w14:paraId="012C1239" w14:textId="68EC07FE" w:rsidR="006B261D" w:rsidRDefault="002A2F5C" w:rsidP="0009675F">
      <w:r>
        <w:t xml:space="preserve">Patients with incomplete values for sex then data-of-birth are then removed. </w:t>
      </w:r>
      <w:r w:rsidR="006B261D">
        <w:t>The next step is to remove records which have complete values for age and sex but no</w:t>
      </w:r>
      <w:r w:rsidR="004C358C">
        <w:t xml:space="preserve"> </w:t>
      </w:r>
      <w:r w:rsidR="006B261D">
        <w:t>audiogram thresholds</w:t>
      </w:r>
      <w:r w:rsidR="004C358C">
        <w:t xml:space="preserve"> recorded</w:t>
      </w:r>
      <w:r w:rsidR="006B261D">
        <w:t xml:space="preserve"> (</w:t>
      </w:r>
      <w:r w:rsidR="004C358C">
        <w:t xml:space="preserve">this step is described as the </w:t>
      </w:r>
      <w:r w:rsidR="006B261D">
        <w:t xml:space="preserve">removal of empty curves). </w:t>
      </w:r>
    </w:p>
    <w:p w14:paraId="22BF8F2B" w14:textId="77777777" w:rsidR="006B261D" w:rsidRDefault="006B261D" w:rsidP="0009675F"/>
    <w:p w14:paraId="31CA62BC" w14:textId="2101A0E5" w:rsidR="006B261D" w:rsidRDefault="00951D33" w:rsidP="0009675F">
      <w:r>
        <w:t>In the next step we removed patients who have multiple curves of the same type (</w:t>
      </w:r>
      <w:r w:rsidR="004F3A6E">
        <w:t xml:space="preserve">AC </w:t>
      </w:r>
      <w:r>
        <w:t xml:space="preserve">or </w:t>
      </w:r>
      <w:r w:rsidR="004F3A6E">
        <w:t>BC</w:t>
      </w:r>
      <w:r>
        <w:t xml:space="preserve">) taken on the same day with the same hearing thresholds across all frequencies. These records only differ by a field called “audindex” which </w:t>
      </w:r>
      <w:r w:rsidR="00F5004B">
        <w:t xml:space="preserve">refers to the ongoing audiogram number </w:t>
      </w:r>
      <w:r w:rsidR="00BC1446">
        <w:t>taken in respect to a certain patient on a certain date. In other words, a person may have multiple audiogram curves taken on the same day. We have removed audiogram curves that are exactly the same on different repetitions</w:t>
      </w:r>
      <w:r w:rsidR="004F3A6E">
        <w:t xml:space="preserve">. </w:t>
      </w:r>
    </w:p>
    <w:p w14:paraId="75950149" w14:textId="77777777" w:rsidR="00BC1446" w:rsidRDefault="00BC1446" w:rsidP="0009675F"/>
    <w:p w14:paraId="12720CC0" w14:textId="5F50DB3F" w:rsidR="00BC1446" w:rsidRDefault="008E3D59" w:rsidP="0009675F">
      <w:r>
        <w:t xml:space="preserve">The next step </w:t>
      </w:r>
      <w:r w:rsidR="00641AD4">
        <w:t>“removal of multiple entries” relates to the process of ensuring only 1 audiogram per patient per date is included as typically hearing tests are repeated over a longer time interval. Hearing tests repeat</w:t>
      </w:r>
      <w:r w:rsidR="00A273FC">
        <w:t>ed</w:t>
      </w:r>
      <w:r w:rsidR="00641AD4">
        <w:t xml:space="preserve"> on a single day suggest that </w:t>
      </w:r>
      <w:r w:rsidR="00FE7699">
        <w:t xml:space="preserve">the test needed to be repeated for a specific reason e.g. to re-test a particular frequency or following some sort of intervention (e.g. removal of wax). A heuristic approach was taken to decide which audiogram to keep in patients who had multiple audiograms performed on the same day. The most-complete audiogram </w:t>
      </w:r>
      <w:r w:rsidR="00C75DA1">
        <w:t xml:space="preserve">curve </w:t>
      </w:r>
      <w:r w:rsidR="00FE7699">
        <w:t>across the 6 test frequencies of interest was kept. In cases where the same number of fields were complete in patients with multiple audiogram curves on the same day</w:t>
      </w:r>
      <w:r w:rsidR="00C75DA1">
        <w:t>, the most recent test (designated by a higher audindex value) was kept</w:t>
      </w:r>
      <w:r w:rsidR="00810354">
        <w:t xml:space="preserve"> with the idea being that the test was repeated for some </w:t>
      </w:r>
      <w:r w:rsidR="00A273FC">
        <w:t>reason,</w:t>
      </w:r>
      <w:r w:rsidR="00810354">
        <w:t xml:space="preserve"> so the latest test is the most accurate test. </w:t>
      </w:r>
    </w:p>
    <w:p w14:paraId="153F2712" w14:textId="77777777" w:rsidR="00810354" w:rsidRDefault="00810354" w:rsidP="0009675F"/>
    <w:p w14:paraId="21A2A72F" w14:textId="30311560" w:rsidR="00810354" w:rsidRDefault="00810354" w:rsidP="0009675F">
      <w:r>
        <w:t xml:space="preserve">At the next stage a join is performed to link together patients who have </w:t>
      </w:r>
      <w:r w:rsidR="0011207A">
        <w:t xml:space="preserve">AC </w:t>
      </w:r>
      <w:r>
        <w:t>and</w:t>
      </w:r>
      <w:r w:rsidR="0011207A">
        <w:t xml:space="preserve"> BC</w:t>
      </w:r>
      <w:r>
        <w:t xml:space="preserve"> curves performed as part of a single hearing test. This join yields 3 groups: those who have had AC and BC performed within a single hearing test, those with only AC and those with only BC. </w:t>
      </w:r>
    </w:p>
    <w:p w14:paraId="310753E5" w14:textId="77777777" w:rsidR="00810354" w:rsidRDefault="00810354" w:rsidP="0009675F"/>
    <w:p w14:paraId="4F159487" w14:textId="6F3FEF03" w:rsidR="00810354" w:rsidRDefault="00810354" w:rsidP="0009675F">
      <w:pPr>
        <w:rPr>
          <w:b/>
          <w:bCs/>
          <w:u w:val="single"/>
        </w:rPr>
      </w:pPr>
      <w:r w:rsidRPr="00810354">
        <w:rPr>
          <w:b/>
          <w:bCs/>
          <w:u w:val="single"/>
        </w:rPr>
        <w:t>Those with only AC</w:t>
      </w:r>
      <w:r>
        <w:rPr>
          <w:b/>
          <w:bCs/>
          <w:u w:val="single"/>
        </w:rPr>
        <w:t xml:space="preserve"> (n = </w:t>
      </w:r>
      <w:r w:rsidR="002A42EE">
        <w:rPr>
          <w:b/>
          <w:bCs/>
          <w:u w:val="single"/>
        </w:rPr>
        <w:t>52614</w:t>
      </w:r>
      <w:r>
        <w:rPr>
          <w:b/>
          <w:bCs/>
          <w:u w:val="single"/>
        </w:rPr>
        <w:t>)</w:t>
      </w:r>
    </w:p>
    <w:p w14:paraId="48A77FF7" w14:textId="77777777" w:rsidR="002A42EE" w:rsidRDefault="002A42EE" w:rsidP="0009675F">
      <w:pPr>
        <w:rPr>
          <w:b/>
          <w:bCs/>
          <w:u w:val="single"/>
        </w:rPr>
      </w:pPr>
    </w:p>
    <w:p w14:paraId="7493C69F" w14:textId="57AB431B" w:rsidR="00EF2C82" w:rsidRPr="00813340" w:rsidRDefault="00EF2C82" w:rsidP="0009675F">
      <w:r w:rsidRPr="00813340">
        <w:t xml:space="preserve">The first step in this branch involves only including audiogram thresholds </w:t>
      </w:r>
      <w:r w:rsidR="00813340" w:rsidRPr="00813340">
        <w:t>with possible values. Audiogram thresholds must fall within the range of -10 to + 120dB and can only take values that are multiples of 5. This step was performed after the join to avoid the situation where audiogram curves forming part of an audiogram were removed. This could</w:t>
      </w:r>
      <w:r w:rsidR="00EF6772">
        <w:t>, for example,</w:t>
      </w:r>
      <w:r w:rsidR="00813340" w:rsidRPr="00813340">
        <w:t xml:space="preserve"> lead to a situation where someone appears to have only AC measured when </w:t>
      </w:r>
      <w:r w:rsidR="000E08A5">
        <w:t xml:space="preserve">in </w:t>
      </w:r>
      <w:r w:rsidR="00813340" w:rsidRPr="00813340">
        <w:t>rea</w:t>
      </w:r>
      <w:r w:rsidR="000E08A5">
        <w:t>lit</w:t>
      </w:r>
      <w:r w:rsidR="00813340" w:rsidRPr="00813340">
        <w:t xml:space="preserve">y they had AC and BC measured but the BC curve was removed before the 2 curves were joined. </w:t>
      </w:r>
    </w:p>
    <w:p w14:paraId="2FBC39A8" w14:textId="77777777" w:rsidR="00EF2C82" w:rsidRDefault="00EF2C82" w:rsidP="0009675F">
      <w:pPr>
        <w:rPr>
          <w:b/>
          <w:bCs/>
          <w:u w:val="single"/>
        </w:rPr>
      </w:pPr>
    </w:p>
    <w:p w14:paraId="58E6631E" w14:textId="66074E43" w:rsidR="002A42EE" w:rsidRPr="00711100" w:rsidRDefault="002A42EE" w:rsidP="0009675F">
      <w:r w:rsidRPr="00711100">
        <w:t xml:space="preserve">In the presence of hearing loss, AC without BC cannot tell us whether a person has a SNHL or CHL in general. However </w:t>
      </w:r>
      <w:r w:rsidR="00BC6DFF" w:rsidRPr="00711100">
        <w:t xml:space="preserve">there are rules-of-thumb where this may occur. Firstly if someone has normal hearing thresholds, BC is not typically performed. Secondly, if someone has unchanged AC thresholds and they previously had no air-bone gap (ABG). </w:t>
      </w:r>
      <w:r w:rsidR="00711100" w:rsidRPr="00711100">
        <w:t>All patients in the AC only group were also present in the AC/BC group therefore they were considered to fall into 2</w:t>
      </w:r>
      <w:r w:rsidR="00711100" w:rsidRPr="00711100">
        <w:rPr>
          <w:vertAlign w:val="superscript"/>
        </w:rPr>
        <w:t>nd</w:t>
      </w:r>
      <w:r w:rsidR="00711100" w:rsidRPr="00711100">
        <w:t xml:space="preserve"> category and were kept in the dataset. </w:t>
      </w:r>
    </w:p>
    <w:p w14:paraId="59E5A25F" w14:textId="77777777" w:rsidR="00810354" w:rsidRDefault="00810354" w:rsidP="0009675F"/>
    <w:p w14:paraId="4E9721E4" w14:textId="50CF640E" w:rsidR="00354F77" w:rsidRDefault="00354F77" w:rsidP="0009675F">
      <w:r>
        <w:t>In this study we were interested in patients with bilateral SNHL so only those with</w:t>
      </w:r>
      <w:r w:rsidR="00BC2AA1">
        <w:t xml:space="preserve"> SNHL in both ears (blue box) were kept. </w:t>
      </w:r>
      <w:r w:rsidR="001F6D9D">
        <w:t xml:space="preserve">Incomplete refers to patients who did not have complete values for the 6 required frequencies in either ear. </w:t>
      </w:r>
    </w:p>
    <w:p w14:paraId="52D4E809" w14:textId="77777777" w:rsidR="001F6D9D" w:rsidRDefault="001F6D9D" w:rsidP="0009675F"/>
    <w:p w14:paraId="591F1C7A" w14:textId="47CAAA93" w:rsidR="00697AEA" w:rsidRPr="00CB7CE8" w:rsidRDefault="00697AEA" w:rsidP="0009675F">
      <w:pPr>
        <w:rPr>
          <w:b/>
          <w:bCs/>
          <w:u w:val="single"/>
        </w:rPr>
      </w:pPr>
      <w:r w:rsidRPr="00CB7CE8">
        <w:rPr>
          <w:b/>
          <w:bCs/>
          <w:u w:val="single"/>
        </w:rPr>
        <w:t>Those with BC only (n = 344)</w:t>
      </w:r>
    </w:p>
    <w:p w14:paraId="01208397" w14:textId="77777777" w:rsidR="0009675F" w:rsidRDefault="0009675F" w:rsidP="0009675F">
      <w:pPr>
        <w:pStyle w:val="Heading2"/>
      </w:pPr>
    </w:p>
    <w:p w14:paraId="2789A76B" w14:textId="1F99103E" w:rsidR="00CB7CE8" w:rsidRDefault="00CB7CE8" w:rsidP="00CB7CE8">
      <w:r>
        <w:t xml:space="preserve">BC without AC is </w:t>
      </w:r>
      <w:r w:rsidR="007174EB">
        <w:t>clinically,</w:t>
      </w:r>
      <w:r>
        <w:t xml:space="preserve"> and this group were not used.</w:t>
      </w:r>
    </w:p>
    <w:p w14:paraId="24B30D1E" w14:textId="77777777" w:rsidR="00CB7CE8" w:rsidRPr="00665BF2" w:rsidRDefault="00CB7CE8" w:rsidP="00CB7CE8">
      <w:pPr>
        <w:rPr>
          <w:b/>
          <w:bCs/>
          <w:u w:val="single"/>
        </w:rPr>
      </w:pPr>
    </w:p>
    <w:p w14:paraId="34A0B4C5" w14:textId="7466C41A" w:rsidR="00CB7CE8" w:rsidRDefault="00CB7CE8" w:rsidP="00CB7CE8">
      <w:pPr>
        <w:rPr>
          <w:b/>
          <w:bCs/>
          <w:u w:val="single"/>
        </w:rPr>
      </w:pPr>
      <w:r w:rsidRPr="00665BF2">
        <w:rPr>
          <w:b/>
          <w:bCs/>
          <w:u w:val="single"/>
        </w:rPr>
        <w:t xml:space="preserve">Those with AC and BC only (n = </w:t>
      </w:r>
      <w:r w:rsidR="00665BF2" w:rsidRPr="00665BF2">
        <w:rPr>
          <w:b/>
          <w:bCs/>
          <w:u w:val="single"/>
        </w:rPr>
        <w:t>121478</w:t>
      </w:r>
      <w:r w:rsidRPr="00665BF2">
        <w:rPr>
          <w:b/>
          <w:bCs/>
          <w:u w:val="single"/>
        </w:rPr>
        <w:t>)</w:t>
      </w:r>
    </w:p>
    <w:p w14:paraId="6858E485" w14:textId="77777777" w:rsidR="00352619" w:rsidRDefault="00352619" w:rsidP="00CB7CE8"/>
    <w:p w14:paraId="54863363" w14:textId="00465447" w:rsidR="00665BF2" w:rsidRDefault="00665BF2" w:rsidP="00CB7CE8">
      <w:r w:rsidRPr="00665BF2">
        <w:t>As explained earlier, in this step we join audiogram AC and BC curves performed on the same day for the same patient to create a</w:t>
      </w:r>
      <w:r w:rsidR="00C21D12">
        <w:t xml:space="preserve"> complete audiogram record. </w:t>
      </w:r>
      <w:r w:rsidRPr="00665BF2">
        <w:t>As per the AC group, only records with possible thresho</w:t>
      </w:r>
      <w:r w:rsidR="00E27230">
        <w:t>ld</w:t>
      </w:r>
      <w:r w:rsidRPr="00665BF2">
        <w:t xml:space="preserve">s are kept (within the measurement range and multiples of 5). </w:t>
      </w:r>
    </w:p>
    <w:p w14:paraId="3F7626F6" w14:textId="77777777" w:rsidR="00665BF2" w:rsidRDefault="00665BF2" w:rsidP="00CB7CE8"/>
    <w:p w14:paraId="45343305" w14:textId="56257877" w:rsidR="00665BF2" w:rsidRDefault="00240DBF" w:rsidP="00CB7CE8">
      <w:r>
        <w:t>The next branching point is defined by whether bone conduction thresholds have been performed in both ears (n =</w:t>
      </w:r>
      <w:r w:rsidR="00483617">
        <w:t xml:space="preserve"> 27512</w:t>
      </w:r>
      <w:r>
        <w:t xml:space="preserve">), in the left ear only (n = </w:t>
      </w:r>
      <w:r w:rsidR="009C7AA3">
        <w:t>39711</w:t>
      </w:r>
      <w:r>
        <w:t xml:space="preserve">) and in the right ear only (n = </w:t>
      </w:r>
      <w:r w:rsidR="009C7AA3">
        <w:t>43106</w:t>
      </w:r>
      <w:r>
        <w:t xml:space="preserve">). </w:t>
      </w:r>
    </w:p>
    <w:p w14:paraId="2B9A4BD9" w14:textId="77777777" w:rsidR="00240DBF" w:rsidRDefault="00240DBF" w:rsidP="00CB7CE8"/>
    <w:p w14:paraId="4F6794AF" w14:textId="5B47EA45" w:rsidR="00240DBF" w:rsidRDefault="00240DBF" w:rsidP="00CB7CE8">
      <w:r>
        <w:t xml:space="preserve">For patients with BC in both ears, </w:t>
      </w:r>
      <w:r w:rsidR="003961A1">
        <w:t>we identify</w:t>
      </w:r>
      <w:r w:rsidR="00734006">
        <w:t xml:space="preserve"> SNHL implementing the rule in Appendix 2. There will be a subset of patients designated “incomplete”. This occurs in the specific condition where someone has no ABG at 1 frequency</w:t>
      </w:r>
      <w:r w:rsidR="00EB5032">
        <w:t xml:space="preserve">, an ABG at a second frequency and they did not have BC measured in a </w:t>
      </w:r>
      <w:r w:rsidR="009C7AA3">
        <w:t>third</w:t>
      </w:r>
      <w:r w:rsidR="00EB5032">
        <w:t xml:space="preserve"> frequency. They can still be included in the SNHL cohort because they do not </w:t>
      </w:r>
      <w:r w:rsidR="009C7AA3">
        <w:t>fulfil</w:t>
      </w:r>
      <w:r w:rsidR="00EB5032">
        <w:t xml:space="preserve"> the CHL criteria of an ABG</w:t>
      </w:r>
      <w:r w:rsidR="009C7AA3">
        <w:t xml:space="preserve"> of &gt;25dB</w:t>
      </w:r>
      <w:r w:rsidR="00EB5032">
        <w:t xml:space="preserve"> at 2 or more frequencies. </w:t>
      </w:r>
    </w:p>
    <w:p w14:paraId="1B4DF789" w14:textId="77777777" w:rsidR="00826B6F" w:rsidRDefault="00826B6F" w:rsidP="00CB7CE8"/>
    <w:p w14:paraId="021A3F4F" w14:textId="3AF6447D" w:rsidR="00003420" w:rsidRPr="00665BF2" w:rsidRDefault="00826B6F" w:rsidP="00CB7CE8">
      <w:r>
        <w:t>For patients where BC has only been performed in 1 ear (e.g. left ear only or right ear only)</w:t>
      </w:r>
      <w:r w:rsidR="00F96FC7">
        <w:t xml:space="preserve"> ther</w:t>
      </w:r>
      <w:r>
        <w:t xml:space="preserve">e </w:t>
      </w:r>
      <w:r w:rsidR="00901FEC">
        <w:t xml:space="preserve">is an additional branch depending on whether they have had masked bone conduction performed or no masked bone conduction performed (ie only unmasked bone conduction). </w:t>
      </w:r>
      <w:r w:rsidR="00140222">
        <w:t xml:space="preserve">This distinction is necessary for the reason outlined below. </w:t>
      </w:r>
      <w:r w:rsidR="00EE2A48">
        <w:t xml:space="preserve">Where masked bone conduction has been performed this can only be used </w:t>
      </w:r>
      <w:r w:rsidR="003C371D">
        <w:t>to calculate the ABG for the ispsilateral ear</w:t>
      </w:r>
      <w:r w:rsidR="00370AD2">
        <w:t>. In the case where ipsilateral masked and unmasked BC is performed the later can be used to calculate the ABG for the contra-lateral ear</w:t>
      </w:r>
      <w:r w:rsidR="005E489B">
        <w:t xml:space="preserve"> and the former is used to calculate the ABG in the ipsilateral ear.</w:t>
      </w:r>
      <w:r w:rsidR="007B2B19">
        <w:t xml:space="preserve"> In the case where only unmasked BC is performed this can be used to calculate the ABG in both ears. </w:t>
      </w:r>
    </w:p>
    <w:p w14:paraId="737FB048" w14:textId="77777777" w:rsidR="00665BF2" w:rsidRPr="00665BF2" w:rsidRDefault="00665BF2" w:rsidP="00CB7CE8">
      <w:pPr>
        <w:rPr>
          <w:b/>
          <w:bCs/>
          <w:u w:val="single"/>
        </w:rPr>
      </w:pPr>
    </w:p>
    <w:p w14:paraId="5764E82F" w14:textId="77777777" w:rsidR="0009675F" w:rsidRPr="00665BF2" w:rsidRDefault="0009675F" w:rsidP="0009675F">
      <w:pPr>
        <w:spacing w:after="160" w:line="259" w:lineRule="auto"/>
        <w:rPr>
          <w:rFonts w:asciiTheme="majorHAnsi" w:eastAsiaTheme="majorEastAsia" w:hAnsiTheme="majorHAnsi" w:cstheme="majorBidi"/>
          <w:b/>
          <w:bCs/>
          <w:color w:val="2F5496" w:themeColor="accent1" w:themeShade="BF"/>
          <w:sz w:val="28"/>
          <w:szCs w:val="28"/>
          <w:u w:val="single"/>
        </w:rPr>
      </w:pPr>
      <w:r w:rsidRPr="00665BF2">
        <w:rPr>
          <w:b/>
          <w:bCs/>
          <w:sz w:val="28"/>
          <w:szCs w:val="28"/>
          <w:u w:val="single"/>
        </w:rPr>
        <w:br w:type="page"/>
      </w:r>
    </w:p>
    <w:p w14:paraId="250F21FA" w14:textId="77777777" w:rsidR="0009675F" w:rsidRDefault="0009675F" w:rsidP="0009675F">
      <w:pPr>
        <w:spacing w:line="240" w:lineRule="auto"/>
        <w:rPr>
          <w:b/>
          <w:bCs/>
        </w:rPr>
      </w:pPr>
    </w:p>
    <w:p w14:paraId="50972AD1" w14:textId="77777777" w:rsidR="0009675F" w:rsidRPr="008950CB" w:rsidRDefault="0009675F" w:rsidP="0009675F">
      <w:pPr>
        <w:spacing w:after="160" w:line="259" w:lineRule="auto"/>
        <w:rPr>
          <w:rFonts w:asciiTheme="majorHAnsi" w:eastAsiaTheme="majorEastAsia" w:hAnsiTheme="majorHAnsi" w:cstheme="majorBidi"/>
          <w:color w:val="2F5496" w:themeColor="accent1" w:themeShade="BF"/>
          <w:sz w:val="26"/>
          <w:szCs w:val="26"/>
        </w:rPr>
      </w:pPr>
      <w:r>
        <w:br w:type="page"/>
      </w:r>
    </w:p>
    <w:p w14:paraId="1C9497AF" w14:textId="77777777" w:rsidR="00E95EB2" w:rsidRDefault="00E95EB2"/>
    <w:sectPr w:rsidR="00E95EB2" w:rsidSect="00EB3011">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5F"/>
    <w:rsid w:val="00003420"/>
    <w:rsid w:val="0009675F"/>
    <w:rsid w:val="000E08A5"/>
    <w:rsid w:val="0011207A"/>
    <w:rsid w:val="001301AA"/>
    <w:rsid w:val="00140222"/>
    <w:rsid w:val="001F6D9D"/>
    <w:rsid w:val="00240DBF"/>
    <w:rsid w:val="002A2F5C"/>
    <w:rsid w:val="002A42EE"/>
    <w:rsid w:val="00352619"/>
    <w:rsid w:val="00354F77"/>
    <w:rsid w:val="00364D3D"/>
    <w:rsid w:val="00370AD2"/>
    <w:rsid w:val="003961A1"/>
    <w:rsid w:val="003C371D"/>
    <w:rsid w:val="00483617"/>
    <w:rsid w:val="004C0143"/>
    <w:rsid w:val="004C358C"/>
    <w:rsid w:val="004F3A6E"/>
    <w:rsid w:val="005A24D5"/>
    <w:rsid w:val="005E489B"/>
    <w:rsid w:val="00641AD4"/>
    <w:rsid w:val="00665BF2"/>
    <w:rsid w:val="00697AEA"/>
    <w:rsid w:val="006B261D"/>
    <w:rsid w:val="00704F3E"/>
    <w:rsid w:val="00711100"/>
    <w:rsid w:val="007174EB"/>
    <w:rsid w:val="00734006"/>
    <w:rsid w:val="00745135"/>
    <w:rsid w:val="00783D4D"/>
    <w:rsid w:val="007B2B19"/>
    <w:rsid w:val="00810354"/>
    <w:rsid w:val="00813340"/>
    <w:rsid w:val="00826B6F"/>
    <w:rsid w:val="008E3D59"/>
    <w:rsid w:val="00901FEC"/>
    <w:rsid w:val="00910646"/>
    <w:rsid w:val="00951D33"/>
    <w:rsid w:val="009C7AA3"/>
    <w:rsid w:val="00A273FC"/>
    <w:rsid w:val="00A507AA"/>
    <w:rsid w:val="00BC1446"/>
    <w:rsid w:val="00BC2AA1"/>
    <w:rsid w:val="00BC6DFF"/>
    <w:rsid w:val="00C21D12"/>
    <w:rsid w:val="00C547A4"/>
    <w:rsid w:val="00C75DA1"/>
    <w:rsid w:val="00CB7CE8"/>
    <w:rsid w:val="00D16D76"/>
    <w:rsid w:val="00D20E52"/>
    <w:rsid w:val="00DA2DFD"/>
    <w:rsid w:val="00DD0D2A"/>
    <w:rsid w:val="00E27230"/>
    <w:rsid w:val="00E566B7"/>
    <w:rsid w:val="00E95EB2"/>
    <w:rsid w:val="00EB3011"/>
    <w:rsid w:val="00EB5032"/>
    <w:rsid w:val="00EE2A48"/>
    <w:rsid w:val="00EF2C82"/>
    <w:rsid w:val="00EF6772"/>
    <w:rsid w:val="00F308B7"/>
    <w:rsid w:val="00F5004B"/>
    <w:rsid w:val="00F96FC7"/>
    <w:rsid w:val="00FE7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43FE"/>
  <w15:chartTrackingRefBased/>
  <w15:docId w15:val="{E18002E0-99DE-47C9-8EE4-0865F355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75F"/>
    <w:pPr>
      <w:spacing w:after="0" w:line="230" w:lineRule="exact"/>
    </w:pPr>
    <w:rPr>
      <w:rFonts w:ascii="Arial" w:eastAsia="Times New Roman" w:hAnsi="Arial" w:cs="Times New Roman"/>
      <w:kern w:val="0"/>
      <w:sz w:val="20"/>
      <w:szCs w:val="24"/>
      <w:lang w:eastAsia="en-GB"/>
      <w14:ligatures w14:val="none"/>
    </w:rPr>
  </w:style>
  <w:style w:type="paragraph" w:styleId="Heading1">
    <w:name w:val="heading 1"/>
    <w:basedOn w:val="Normal"/>
    <w:next w:val="Normal"/>
    <w:link w:val="Heading1Char"/>
    <w:uiPriority w:val="9"/>
    <w:qFormat/>
    <w:rsid w:val="000967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675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75F"/>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rsid w:val="0009675F"/>
    <w:rPr>
      <w:rFonts w:asciiTheme="majorHAnsi" w:eastAsiaTheme="majorEastAsia" w:hAnsiTheme="majorHAnsi" w:cstheme="majorBidi"/>
      <w:color w:val="2F5496" w:themeColor="accent1" w:themeShade="BF"/>
      <w:kern w:val="0"/>
      <w:sz w:val="26"/>
      <w:szCs w:val="26"/>
      <w:lang w:eastAsia="en-GB"/>
      <w14:ligatures w14:val="none"/>
    </w:rPr>
  </w:style>
  <w:style w:type="table" w:styleId="TableGrid">
    <w:name w:val="Table Grid"/>
    <w:basedOn w:val="TableNormal"/>
    <w:uiPriority w:val="39"/>
    <w:rsid w:val="000967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1418</TotalTime>
  <Pages>5</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Dimitrov, Lilia</dc:creator>
  <cp:keywords/>
  <dc:description/>
  <cp:lastModifiedBy>lilia dimitrov</cp:lastModifiedBy>
  <cp:revision>63</cp:revision>
  <dcterms:created xsi:type="dcterms:W3CDTF">2023-12-15T11:47:00Z</dcterms:created>
  <dcterms:modified xsi:type="dcterms:W3CDTF">2024-03-06T09:43:00Z</dcterms:modified>
</cp:coreProperties>
</file>