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9FCE40" w14:textId="77777777" w:rsidR="0014546C" w:rsidRDefault="0014546C" w:rsidP="0014546C">
      <w:pPr>
        <w:jc w:val="center"/>
        <w:rPr>
          <w:b/>
          <w:bCs/>
          <w:lang w:val="en-US"/>
        </w:rPr>
      </w:pPr>
      <w:r>
        <w:rPr>
          <w:rFonts w:cstheme="minorHAnsi"/>
          <w:b/>
          <w:bCs/>
          <w:lang w:val="en-US"/>
        </w:rPr>
        <w:t>Supplementary Information</w:t>
      </w:r>
    </w:p>
    <w:p w14:paraId="2EB835EF" w14:textId="77777777" w:rsidR="0014546C" w:rsidRDefault="0014546C" w:rsidP="0014546C">
      <w:pPr>
        <w:jc w:val="both"/>
        <w:rPr>
          <w:b/>
          <w:bCs/>
          <w:lang w:val="en-US"/>
        </w:rPr>
      </w:pPr>
    </w:p>
    <w:p w14:paraId="6BF9CCA4" w14:textId="77777777" w:rsidR="0014546C" w:rsidRDefault="0014546C" w:rsidP="0014546C">
      <w:pPr>
        <w:jc w:val="both"/>
        <w:rPr>
          <w:b/>
          <w:bCs/>
          <w:lang w:val="en-US"/>
        </w:rPr>
      </w:pPr>
      <w:r>
        <w:rPr>
          <w:b/>
          <w:bCs/>
          <w:lang w:val="en-US"/>
        </w:rPr>
        <w:t xml:space="preserve">Investigating deformation and seismic data and their relationships during the ongoing unrest of Campi </w:t>
      </w:r>
      <w:proofErr w:type="spellStart"/>
      <w:r>
        <w:rPr>
          <w:b/>
          <w:bCs/>
          <w:lang w:val="en-US"/>
        </w:rPr>
        <w:t>Flegrei</w:t>
      </w:r>
      <w:proofErr w:type="spellEnd"/>
      <w:r>
        <w:rPr>
          <w:b/>
          <w:bCs/>
          <w:lang w:val="en-US"/>
        </w:rPr>
        <w:t xml:space="preserve"> caldera (Italy)</w:t>
      </w:r>
    </w:p>
    <w:p w14:paraId="692C9FF8" w14:textId="77777777" w:rsidR="0014546C" w:rsidRDefault="0014546C" w:rsidP="0014546C">
      <w:pPr>
        <w:jc w:val="both"/>
        <w:rPr>
          <w:lang w:val="en-US"/>
        </w:rPr>
      </w:pPr>
    </w:p>
    <w:p w14:paraId="7001D89D" w14:textId="77777777" w:rsidR="0014546C" w:rsidRDefault="0014546C" w:rsidP="0014546C">
      <w:pPr>
        <w:jc w:val="both"/>
        <w:rPr>
          <w:vertAlign w:val="superscript"/>
        </w:rPr>
      </w:pPr>
      <w:r>
        <w:t>A.Bevilacqua</w:t>
      </w:r>
      <w:r>
        <w:rPr>
          <w:vertAlign w:val="superscript"/>
        </w:rPr>
        <w:t>(1)</w:t>
      </w:r>
      <w:r>
        <w:t>, A. Neri</w:t>
      </w:r>
      <w:r>
        <w:rPr>
          <w:vertAlign w:val="superscript"/>
        </w:rPr>
        <w:t>(1,*)</w:t>
      </w:r>
      <w:r>
        <w:t>, P. De Martino</w:t>
      </w:r>
      <w:r>
        <w:rPr>
          <w:vertAlign w:val="superscript"/>
        </w:rPr>
        <w:t>(2)</w:t>
      </w:r>
      <w:r>
        <w:t>, F. Giudicepietro</w:t>
      </w:r>
      <w:r>
        <w:rPr>
          <w:vertAlign w:val="superscript"/>
        </w:rPr>
        <w:t>(2)</w:t>
      </w:r>
      <w:r>
        <w:t>, G. Macedonio</w:t>
      </w:r>
      <w:r>
        <w:rPr>
          <w:vertAlign w:val="superscript"/>
        </w:rPr>
        <w:t>(2)</w:t>
      </w:r>
      <w:r>
        <w:t>, P. Ricciolino</w:t>
      </w:r>
      <w:r>
        <w:rPr>
          <w:vertAlign w:val="superscript"/>
        </w:rPr>
        <w:t>(2)</w:t>
      </w:r>
    </w:p>
    <w:p w14:paraId="11DFF1FA" w14:textId="77777777" w:rsidR="0014546C" w:rsidRDefault="0014546C" w:rsidP="0014546C">
      <w:pPr>
        <w:jc w:val="both"/>
      </w:pPr>
    </w:p>
    <w:p w14:paraId="5752CFDF" w14:textId="77777777" w:rsidR="0014546C" w:rsidRDefault="0014546C" w:rsidP="0014546C">
      <w:pPr>
        <w:jc w:val="both"/>
      </w:pPr>
      <w:r>
        <w:t>(1) Istituto Nazionale di Geofisica e Vulcanologia, Sezione di Pisa, Pisa</w:t>
      </w:r>
    </w:p>
    <w:p w14:paraId="1EFD85DD" w14:textId="77777777" w:rsidR="0014546C" w:rsidRDefault="0014546C" w:rsidP="0014546C">
      <w:pPr>
        <w:jc w:val="both"/>
      </w:pPr>
      <w:r>
        <w:t>(2) Istituto Nazionale di Geofisica e Vulcanologia, Osservatorio Vesuviano, Napoli</w:t>
      </w:r>
    </w:p>
    <w:p w14:paraId="7F053FAE" w14:textId="77777777" w:rsidR="0014546C" w:rsidRDefault="0014546C" w:rsidP="0014546C">
      <w:pPr>
        <w:jc w:val="both"/>
        <w:rPr>
          <w:lang w:val="en-US"/>
        </w:rPr>
      </w:pPr>
      <w:r>
        <w:rPr>
          <w:lang w:val="en-US"/>
        </w:rPr>
        <w:t>(*) Corresponding author (augusto.neri@ingv.it)</w:t>
      </w:r>
    </w:p>
    <w:p w14:paraId="0768F298" w14:textId="77777777" w:rsidR="0014546C" w:rsidRDefault="0014546C" w:rsidP="0014546C">
      <w:pPr>
        <w:jc w:val="both"/>
        <w:rPr>
          <w:lang w:val="en-US"/>
        </w:rPr>
      </w:pPr>
    </w:p>
    <w:p w14:paraId="602F78C6" w14:textId="77777777" w:rsidR="0014546C" w:rsidRDefault="0014546C" w:rsidP="0014546C">
      <w:pPr>
        <w:jc w:val="both"/>
        <w:rPr>
          <w:lang w:val="en-US"/>
        </w:rPr>
      </w:pPr>
    </w:p>
    <w:p w14:paraId="18392FAE" w14:textId="77777777" w:rsidR="0014546C" w:rsidRDefault="0014546C" w:rsidP="0014546C">
      <w:pPr>
        <w:rPr>
          <w:rFonts w:cstheme="minorHAnsi"/>
          <w:b/>
          <w:bCs/>
          <w:lang w:val="en-US"/>
        </w:rPr>
      </w:pPr>
      <w:r>
        <w:rPr>
          <w:rFonts w:cstheme="minorHAnsi"/>
          <w:b/>
          <w:bCs/>
          <w:lang w:val="en-US"/>
        </w:rPr>
        <w:t>Description</w:t>
      </w:r>
    </w:p>
    <w:p w14:paraId="64E6E154" w14:textId="77777777" w:rsidR="0014546C" w:rsidRDefault="0014546C" w:rsidP="0014546C">
      <w:pPr>
        <w:jc w:val="both"/>
        <w:rPr>
          <w:rFonts w:cstheme="minorHAnsi"/>
          <w:sz w:val="22"/>
          <w:szCs w:val="22"/>
          <w:lang w:val="en-US"/>
        </w:rPr>
      </w:pPr>
    </w:p>
    <w:p w14:paraId="085F396C" w14:textId="77777777" w:rsidR="0014546C" w:rsidRDefault="0014546C" w:rsidP="0014546C">
      <w:pPr>
        <w:jc w:val="both"/>
        <w:rPr>
          <w:rFonts w:cstheme="minorHAnsi"/>
          <w:sz w:val="22"/>
          <w:szCs w:val="22"/>
          <w:lang w:val="en-US"/>
        </w:rPr>
      </w:pPr>
      <w:r>
        <w:rPr>
          <w:rFonts w:cstheme="minorHAnsi"/>
          <w:sz w:val="22"/>
          <w:szCs w:val="22"/>
          <w:lang w:val="en-US"/>
        </w:rPr>
        <w:t>This supplementary information consists of 9 figures and 1 table, all referred to in the main text. Their content and meaning are briefly described in the main text and in the associated captions.</w:t>
      </w:r>
    </w:p>
    <w:p w14:paraId="482A98E9" w14:textId="77777777" w:rsidR="0014546C" w:rsidRDefault="0014546C" w:rsidP="0014546C">
      <w:pPr>
        <w:jc w:val="both"/>
        <w:rPr>
          <w:rFonts w:cstheme="minorHAnsi"/>
          <w:sz w:val="22"/>
          <w:szCs w:val="22"/>
          <w:lang w:val="en-US"/>
        </w:rPr>
      </w:pPr>
    </w:p>
    <w:p w14:paraId="2538F0B9" w14:textId="77777777" w:rsidR="0014546C" w:rsidRDefault="0014546C" w:rsidP="0014546C">
      <w:pPr>
        <w:rPr>
          <w:rFonts w:cstheme="minorHAnsi"/>
          <w:sz w:val="22"/>
          <w:szCs w:val="22"/>
          <w:lang w:val="en-US"/>
        </w:rPr>
      </w:pPr>
    </w:p>
    <w:p w14:paraId="1477A707" w14:textId="77777777" w:rsidR="0014546C" w:rsidRDefault="0014546C" w:rsidP="0014546C">
      <w:pPr>
        <w:rPr>
          <w:rFonts w:cstheme="minorHAnsi"/>
          <w:sz w:val="22"/>
          <w:szCs w:val="22"/>
          <w:lang w:val="en-US"/>
        </w:rPr>
      </w:pPr>
    </w:p>
    <w:p w14:paraId="4D4F6566" w14:textId="77777777" w:rsidR="0014546C" w:rsidRDefault="0014546C" w:rsidP="0014546C">
      <w:pPr>
        <w:rPr>
          <w:rFonts w:cstheme="minorHAnsi"/>
          <w:sz w:val="22"/>
          <w:szCs w:val="22"/>
          <w:lang w:val="en-US"/>
        </w:rPr>
      </w:pPr>
    </w:p>
    <w:p w14:paraId="79F1DA2F" w14:textId="65C5C54B" w:rsidR="0014546C" w:rsidRDefault="0014546C" w:rsidP="0014546C">
      <w:pPr>
        <w:rPr>
          <w:rFonts w:cstheme="minorHAnsi"/>
          <w:sz w:val="22"/>
          <w:szCs w:val="22"/>
          <w:lang w:val="en-US"/>
        </w:rPr>
      </w:pPr>
      <w:r>
        <w:rPr>
          <w:rFonts w:cstheme="minorHAnsi"/>
          <w:noProof/>
          <w:sz w:val="22"/>
          <w:szCs w:val="22"/>
          <w:lang w:eastAsia="it-IT"/>
        </w:rPr>
        <w:drawing>
          <wp:inline distT="0" distB="0" distL="0" distR="0" wp14:anchorId="30F0E227" wp14:editId="786E0180">
            <wp:extent cx="5943600" cy="3305175"/>
            <wp:effectExtent l="0" t="0" r="0" b="9525"/>
            <wp:docPr id="389760591" name="Picture 9" descr="A map of italy with black and red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760591" name="Picture 9" descr="A map of italy with black and red squares&#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3305175"/>
                    </a:xfrm>
                    <a:prstGeom prst="rect">
                      <a:avLst/>
                    </a:prstGeom>
                    <a:noFill/>
                    <a:ln>
                      <a:noFill/>
                    </a:ln>
                  </pic:spPr>
                </pic:pic>
              </a:graphicData>
            </a:graphic>
          </wp:inline>
        </w:drawing>
      </w:r>
    </w:p>
    <w:p w14:paraId="4E4C3F00" w14:textId="77777777" w:rsidR="0014546C" w:rsidRDefault="0014546C" w:rsidP="0014546C">
      <w:pPr>
        <w:jc w:val="both"/>
        <w:rPr>
          <w:rFonts w:cstheme="minorHAnsi"/>
          <w:sz w:val="22"/>
          <w:szCs w:val="22"/>
          <w:lang w:val="en-US"/>
        </w:rPr>
      </w:pPr>
      <w:r>
        <w:rPr>
          <w:rFonts w:cstheme="minorHAnsi"/>
          <w:color w:val="000000"/>
          <w:sz w:val="22"/>
          <w:szCs w:val="22"/>
          <w:lang w:val="en-US"/>
        </w:rPr>
        <w:t xml:space="preserve">Figure 1-SI Map of Campi </w:t>
      </w:r>
      <w:proofErr w:type="spellStart"/>
      <w:r>
        <w:rPr>
          <w:rFonts w:cstheme="minorHAnsi"/>
          <w:color w:val="000000"/>
          <w:sz w:val="22"/>
          <w:szCs w:val="22"/>
          <w:lang w:val="en-US"/>
        </w:rPr>
        <w:t>Flegrei</w:t>
      </w:r>
      <w:proofErr w:type="spellEnd"/>
      <w:r>
        <w:rPr>
          <w:rFonts w:cstheme="minorHAnsi"/>
          <w:color w:val="000000"/>
          <w:sz w:val="22"/>
          <w:szCs w:val="22"/>
          <w:lang w:val="en-US"/>
        </w:rPr>
        <w:t xml:space="preserve"> caldera with locations of geophysical stations and geophysical data in the period 1981-2024. (a) GNSS and seismic monitoring networks at </w:t>
      </w:r>
      <w:proofErr w:type="spellStart"/>
      <w:r>
        <w:rPr>
          <w:rFonts w:cstheme="minorHAnsi"/>
          <w:color w:val="000000"/>
          <w:sz w:val="22"/>
          <w:szCs w:val="22"/>
          <w:lang w:val="en-US"/>
        </w:rPr>
        <w:t>CFc</w:t>
      </w:r>
      <w:proofErr w:type="spellEnd"/>
      <w:r>
        <w:rPr>
          <w:rFonts w:cstheme="minorHAnsi"/>
          <w:color w:val="000000"/>
          <w:sz w:val="22"/>
          <w:szCs w:val="22"/>
          <w:lang w:val="en-US"/>
        </w:rPr>
        <w:t xml:space="preserve">. Background map modified from the INGV-OV periodic bulletin of </w:t>
      </w:r>
      <w:proofErr w:type="spellStart"/>
      <w:r>
        <w:rPr>
          <w:rFonts w:cstheme="minorHAnsi"/>
          <w:color w:val="000000"/>
          <w:sz w:val="22"/>
          <w:szCs w:val="22"/>
          <w:lang w:val="en-US"/>
        </w:rPr>
        <w:t>CFc</w:t>
      </w:r>
      <w:proofErr w:type="spellEnd"/>
      <w:r>
        <w:rPr>
          <w:rFonts w:cstheme="minorHAnsi"/>
          <w:color w:val="000000"/>
          <w:sz w:val="22"/>
          <w:szCs w:val="22"/>
          <w:lang w:val="en-US"/>
        </w:rPr>
        <w:t xml:space="preserve">. The GNSS RITE station is in red whereas the other GNSS stations and buoys are in different colors (see legend). The seismic catalog reference station STH is a red circle. </w:t>
      </w:r>
      <w:r>
        <w:rPr>
          <w:rFonts w:cstheme="minorHAnsi"/>
          <w:sz w:val="22"/>
          <w:szCs w:val="22"/>
          <w:lang w:val="en-US"/>
        </w:rPr>
        <w:br w:type="page"/>
      </w:r>
    </w:p>
    <w:p w14:paraId="5E19BBA3" w14:textId="77777777" w:rsidR="0014546C" w:rsidRDefault="0014546C" w:rsidP="0014546C">
      <w:pPr>
        <w:jc w:val="both"/>
        <w:rPr>
          <w:rFonts w:cstheme="minorHAnsi"/>
          <w:sz w:val="22"/>
          <w:szCs w:val="22"/>
          <w:lang w:val="en-US"/>
        </w:rPr>
      </w:pPr>
    </w:p>
    <w:p w14:paraId="1C4057D9" w14:textId="54AB65B7" w:rsidR="0014546C" w:rsidRDefault="0014546C" w:rsidP="0014546C">
      <w:pPr>
        <w:jc w:val="center"/>
        <w:rPr>
          <w:rFonts w:cstheme="minorHAnsi"/>
          <w:sz w:val="22"/>
          <w:szCs w:val="22"/>
          <w:lang w:val="en-US"/>
        </w:rPr>
      </w:pPr>
      <w:r>
        <w:rPr>
          <w:rFonts w:cstheme="minorHAnsi"/>
          <w:noProof/>
          <w:sz w:val="22"/>
          <w:szCs w:val="22"/>
          <w:lang w:eastAsia="it-IT"/>
        </w:rPr>
        <w:drawing>
          <wp:inline distT="0" distB="0" distL="0" distR="0" wp14:anchorId="2420D1B4" wp14:editId="715F8732">
            <wp:extent cx="5848350" cy="5067300"/>
            <wp:effectExtent l="0" t="0" r="0" b="0"/>
            <wp:docPr id="273295881" name="Picture 8" descr="A graph of a graph of a number of different types of los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295881" name="Picture 8" descr="A graph of a graph of a number of different types of loss&#10;&#10;Description automatically generated with medium confidenc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848350" cy="5067300"/>
                    </a:xfrm>
                    <a:prstGeom prst="rect">
                      <a:avLst/>
                    </a:prstGeom>
                    <a:noFill/>
                    <a:ln>
                      <a:noFill/>
                    </a:ln>
                  </pic:spPr>
                </pic:pic>
              </a:graphicData>
            </a:graphic>
          </wp:inline>
        </w:drawing>
      </w:r>
    </w:p>
    <w:p w14:paraId="6B76EE6E" w14:textId="77777777" w:rsidR="0014546C" w:rsidRDefault="0014546C" w:rsidP="0014546C">
      <w:pPr>
        <w:jc w:val="both"/>
        <w:rPr>
          <w:rFonts w:cstheme="minorHAnsi"/>
          <w:sz w:val="22"/>
          <w:szCs w:val="22"/>
          <w:lang w:val="en-US"/>
        </w:rPr>
      </w:pPr>
    </w:p>
    <w:p w14:paraId="4CA5E08E" w14:textId="77777777" w:rsidR="0014546C" w:rsidRDefault="0014546C" w:rsidP="0014546C">
      <w:pPr>
        <w:jc w:val="both"/>
        <w:rPr>
          <w:rFonts w:cstheme="minorHAnsi"/>
          <w:sz w:val="22"/>
          <w:szCs w:val="22"/>
          <w:lang w:val="en-US"/>
        </w:rPr>
      </w:pPr>
      <w:r>
        <w:rPr>
          <w:rFonts w:cstheme="minorHAnsi"/>
          <w:sz w:val="22"/>
          <w:szCs w:val="22"/>
          <w:lang w:val="en-US"/>
        </w:rPr>
        <w:t>Figure 2-SI.  Examples of horizontal displacement of various GNSS stations analyzed in the paper. Different datasets refer to different periods of functioning of the stations. The grey range shows the associated uncertainty. The plots are related to the four proximal stations mapped in Fig. 1a (blue squares).</w:t>
      </w:r>
    </w:p>
    <w:p w14:paraId="12A48553" w14:textId="77777777" w:rsidR="0014546C" w:rsidRDefault="0014546C" w:rsidP="0014546C">
      <w:pPr>
        <w:jc w:val="both"/>
        <w:rPr>
          <w:rFonts w:cstheme="minorHAnsi"/>
          <w:sz w:val="22"/>
          <w:szCs w:val="22"/>
          <w:lang w:val="en-US"/>
        </w:rPr>
      </w:pPr>
      <w:r>
        <w:rPr>
          <w:rFonts w:cstheme="minorHAnsi"/>
          <w:sz w:val="22"/>
          <w:szCs w:val="22"/>
          <w:lang w:val="en-US"/>
        </w:rPr>
        <w:br w:type="page"/>
      </w:r>
    </w:p>
    <w:p w14:paraId="4C9B7D8B" w14:textId="77777777" w:rsidR="0014546C" w:rsidRDefault="0014546C" w:rsidP="0014546C">
      <w:pPr>
        <w:jc w:val="both"/>
        <w:rPr>
          <w:rFonts w:cstheme="minorHAnsi"/>
          <w:sz w:val="22"/>
          <w:szCs w:val="22"/>
          <w:lang w:val="en-US"/>
        </w:rPr>
      </w:pPr>
    </w:p>
    <w:p w14:paraId="042C26C6" w14:textId="77777777" w:rsidR="0014546C" w:rsidRDefault="0014546C" w:rsidP="0014546C">
      <w:pPr>
        <w:jc w:val="both"/>
        <w:rPr>
          <w:rFonts w:cstheme="minorHAnsi"/>
          <w:sz w:val="22"/>
          <w:szCs w:val="22"/>
          <w:lang w:val="en-US"/>
        </w:rPr>
      </w:pPr>
    </w:p>
    <w:p w14:paraId="2CD83546" w14:textId="77777777" w:rsidR="0014546C" w:rsidRDefault="0014546C" w:rsidP="0014546C">
      <w:pPr>
        <w:jc w:val="both"/>
        <w:rPr>
          <w:rFonts w:cstheme="minorHAnsi"/>
          <w:sz w:val="22"/>
          <w:szCs w:val="22"/>
          <w:lang w:val="en-US"/>
        </w:rPr>
      </w:pPr>
    </w:p>
    <w:p w14:paraId="7D8092DF" w14:textId="699364B5" w:rsidR="0014546C" w:rsidRDefault="0014546C" w:rsidP="0014546C">
      <w:pPr>
        <w:jc w:val="center"/>
        <w:rPr>
          <w:rFonts w:cstheme="minorHAnsi"/>
          <w:sz w:val="22"/>
          <w:szCs w:val="22"/>
          <w:lang w:val="en-US"/>
        </w:rPr>
      </w:pPr>
      <w:r>
        <w:rPr>
          <w:rFonts w:cstheme="minorHAnsi"/>
          <w:noProof/>
          <w:sz w:val="22"/>
          <w:szCs w:val="22"/>
          <w:lang w:eastAsia="it-IT"/>
        </w:rPr>
        <w:drawing>
          <wp:inline distT="0" distB="0" distL="0" distR="0" wp14:anchorId="1A19B093" wp14:editId="133F54FD">
            <wp:extent cx="5257800" cy="6877050"/>
            <wp:effectExtent l="0" t="0" r="0" b="0"/>
            <wp:docPr id="680610470" name="Picture 7" descr="A graph of a growth curv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610470" name="Picture 7" descr="A graph of a growth curve&#10;&#10;Description automatically generated with medium confidenc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57800" cy="6877050"/>
                    </a:xfrm>
                    <a:prstGeom prst="rect">
                      <a:avLst/>
                    </a:prstGeom>
                    <a:noFill/>
                    <a:ln>
                      <a:noFill/>
                    </a:ln>
                  </pic:spPr>
                </pic:pic>
              </a:graphicData>
            </a:graphic>
          </wp:inline>
        </w:drawing>
      </w:r>
    </w:p>
    <w:p w14:paraId="488F6A0D" w14:textId="77777777" w:rsidR="0014546C" w:rsidRDefault="0014546C" w:rsidP="0014546C">
      <w:pPr>
        <w:jc w:val="both"/>
        <w:rPr>
          <w:rFonts w:cstheme="minorHAnsi"/>
          <w:sz w:val="22"/>
          <w:szCs w:val="22"/>
          <w:lang w:val="en-US"/>
        </w:rPr>
      </w:pPr>
    </w:p>
    <w:p w14:paraId="40E44412" w14:textId="77777777" w:rsidR="0014546C" w:rsidRDefault="0014546C" w:rsidP="0014546C">
      <w:pPr>
        <w:jc w:val="both"/>
        <w:rPr>
          <w:rFonts w:cstheme="minorHAnsi"/>
          <w:sz w:val="22"/>
          <w:szCs w:val="22"/>
          <w:lang w:val="en-US"/>
        </w:rPr>
      </w:pPr>
      <w:r>
        <w:rPr>
          <w:rFonts w:cstheme="minorHAnsi"/>
          <w:sz w:val="22"/>
          <w:szCs w:val="22"/>
          <w:lang w:val="en-US"/>
        </w:rPr>
        <w:t xml:space="preserve">Figure 3-SI.  Examples of vertical uplift of various GNSS stations analyzed in the paper. Different datasets refer to different periods of functioning of the stations. The grey range shows the associated uncertainty. The plots are related to the six distal stations mapped in Fig. 1a (green squares). </w:t>
      </w:r>
    </w:p>
    <w:p w14:paraId="10144E18" w14:textId="77777777" w:rsidR="0014546C" w:rsidRDefault="0014546C" w:rsidP="0014546C">
      <w:pPr>
        <w:jc w:val="both"/>
        <w:rPr>
          <w:rFonts w:cstheme="minorHAnsi"/>
          <w:sz w:val="22"/>
          <w:szCs w:val="22"/>
          <w:lang w:val="en-US"/>
        </w:rPr>
      </w:pPr>
      <w:r>
        <w:rPr>
          <w:rFonts w:cstheme="minorHAnsi"/>
          <w:sz w:val="22"/>
          <w:szCs w:val="22"/>
          <w:lang w:val="en-US"/>
        </w:rPr>
        <w:lastRenderedPageBreak/>
        <w:br w:type="page"/>
      </w:r>
    </w:p>
    <w:p w14:paraId="7604A33E" w14:textId="77777777" w:rsidR="0014546C" w:rsidRDefault="0014546C" w:rsidP="0014546C">
      <w:pPr>
        <w:jc w:val="both"/>
        <w:rPr>
          <w:rFonts w:cstheme="minorHAnsi"/>
          <w:sz w:val="22"/>
          <w:szCs w:val="22"/>
          <w:lang w:val="en-US"/>
        </w:rPr>
      </w:pPr>
    </w:p>
    <w:p w14:paraId="2AF76807" w14:textId="77777777" w:rsidR="0014546C" w:rsidRDefault="0014546C" w:rsidP="0014546C">
      <w:pPr>
        <w:jc w:val="both"/>
        <w:rPr>
          <w:rFonts w:cstheme="minorHAnsi"/>
          <w:sz w:val="22"/>
          <w:szCs w:val="22"/>
          <w:lang w:val="en-US"/>
        </w:rPr>
      </w:pPr>
    </w:p>
    <w:p w14:paraId="705E9A99" w14:textId="77777777" w:rsidR="0014546C" w:rsidRDefault="0014546C" w:rsidP="0014546C">
      <w:pPr>
        <w:jc w:val="both"/>
        <w:rPr>
          <w:rFonts w:cstheme="minorHAnsi"/>
          <w:sz w:val="22"/>
          <w:szCs w:val="22"/>
          <w:lang w:val="en-US"/>
        </w:rPr>
      </w:pPr>
    </w:p>
    <w:p w14:paraId="785DD96A" w14:textId="6DBC4FE2" w:rsidR="0014546C" w:rsidRDefault="0014546C" w:rsidP="0014546C">
      <w:pPr>
        <w:jc w:val="center"/>
        <w:rPr>
          <w:rFonts w:cstheme="minorHAnsi"/>
          <w:sz w:val="22"/>
          <w:szCs w:val="22"/>
          <w:lang w:val="en-US"/>
        </w:rPr>
      </w:pPr>
      <w:r>
        <w:rPr>
          <w:rFonts w:cstheme="minorHAnsi"/>
          <w:noProof/>
          <w:sz w:val="22"/>
          <w:szCs w:val="22"/>
          <w:lang w:eastAsia="it-IT"/>
        </w:rPr>
        <w:drawing>
          <wp:inline distT="0" distB="0" distL="0" distR="0" wp14:anchorId="6697A422" wp14:editId="55494F24">
            <wp:extent cx="5943600" cy="2601595"/>
            <wp:effectExtent l="0" t="0" r="0" b="8255"/>
            <wp:docPr id="1376690323" name="Picture 6" descr="A graph of earthquak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6690323" name="Picture 6" descr="A graph of earthquakes&#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2601595"/>
                    </a:xfrm>
                    <a:prstGeom prst="rect">
                      <a:avLst/>
                    </a:prstGeom>
                    <a:noFill/>
                    <a:ln>
                      <a:noFill/>
                    </a:ln>
                  </pic:spPr>
                </pic:pic>
              </a:graphicData>
            </a:graphic>
          </wp:inline>
        </w:drawing>
      </w:r>
    </w:p>
    <w:p w14:paraId="436A9ED6" w14:textId="77777777" w:rsidR="0014546C" w:rsidRDefault="0014546C" w:rsidP="0014546C">
      <w:pPr>
        <w:jc w:val="both"/>
        <w:rPr>
          <w:rFonts w:cstheme="minorHAnsi"/>
          <w:sz w:val="22"/>
          <w:szCs w:val="22"/>
          <w:lang w:val="en-US"/>
        </w:rPr>
      </w:pPr>
    </w:p>
    <w:p w14:paraId="6C5C3DCC" w14:textId="77777777" w:rsidR="0014546C" w:rsidRDefault="0014546C" w:rsidP="0014546C">
      <w:pPr>
        <w:jc w:val="both"/>
        <w:rPr>
          <w:rFonts w:cstheme="minorHAnsi"/>
          <w:sz w:val="22"/>
          <w:szCs w:val="22"/>
          <w:lang w:val="en-US"/>
        </w:rPr>
      </w:pPr>
      <w:r>
        <w:rPr>
          <w:rFonts w:cstheme="minorHAnsi"/>
          <w:sz w:val="22"/>
          <w:szCs w:val="22"/>
          <w:lang w:val="en-US"/>
        </w:rPr>
        <w:t>Figure 4-SI.  Examples of seismic data analyzed in the paper. Plots (</w:t>
      </w:r>
      <w:proofErr w:type="spellStart"/>
      <w:proofErr w:type="gramStart"/>
      <w:r>
        <w:rPr>
          <w:rFonts w:cstheme="minorHAnsi"/>
          <w:sz w:val="22"/>
          <w:szCs w:val="22"/>
          <w:lang w:val="en-US"/>
        </w:rPr>
        <w:t>a,b</w:t>
      </w:r>
      <w:proofErr w:type="spellEnd"/>
      <w:proofErr w:type="gramEnd"/>
      <w:r>
        <w:rPr>
          <w:rFonts w:cstheme="minorHAnsi"/>
          <w:sz w:val="22"/>
          <w:szCs w:val="22"/>
          <w:lang w:val="en-US"/>
        </w:rPr>
        <w:t>) show the cumulative number of seismic events with M</w:t>
      </w:r>
      <w:r>
        <w:rPr>
          <w:rFonts w:cstheme="minorHAnsi"/>
          <w:sz w:val="22"/>
          <w:szCs w:val="22"/>
          <w:vertAlign w:val="subscript"/>
          <w:lang w:val="en-US"/>
        </w:rPr>
        <w:t>d</w:t>
      </w:r>
      <w:r>
        <w:rPr>
          <w:rFonts w:cstheme="minorHAnsi"/>
          <w:sz w:val="22"/>
          <w:szCs w:val="22"/>
          <w:lang w:val="en-US"/>
        </w:rPr>
        <w:t xml:space="preserve"> &gt; 0.5. Plot (a) is in linear scale whereas plot (b) is in logarithmic scale (base 10).</w:t>
      </w:r>
    </w:p>
    <w:p w14:paraId="29BBB4F2" w14:textId="77777777" w:rsidR="0014546C" w:rsidRDefault="0014546C" w:rsidP="0014546C">
      <w:pPr>
        <w:jc w:val="both"/>
        <w:rPr>
          <w:rFonts w:cstheme="minorHAnsi"/>
          <w:sz w:val="22"/>
          <w:szCs w:val="22"/>
          <w:lang w:val="en-US"/>
        </w:rPr>
      </w:pPr>
      <w:r>
        <w:rPr>
          <w:rFonts w:cstheme="minorHAnsi"/>
          <w:sz w:val="22"/>
          <w:szCs w:val="22"/>
          <w:lang w:val="en-US"/>
        </w:rPr>
        <w:br w:type="page"/>
      </w:r>
    </w:p>
    <w:p w14:paraId="211968E1" w14:textId="77777777" w:rsidR="0014546C" w:rsidRDefault="0014546C" w:rsidP="0014546C">
      <w:pPr>
        <w:jc w:val="both"/>
        <w:rPr>
          <w:rFonts w:cstheme="minorHAnsi"/>
          <w:sz w:val="22"/>
          <w:szCs w:val="22"/>
          <w:lang w:val="en-US"/>
        </w:rPr>
      </w:pPr>
    </w:p>
    <w:p w14:paraId="66D945B8" w14:textId="77777777" w:rsidR="0014546C" w:rsidRDefault="0014546C" w:rsidP="0014546C">
      <w:pPr>
        <w:jc w:val="both"/>
        <w:rPr>
          <w:rFonts w:cstheme="minorHAnsi"/>
          <w:sz w:val="22"/>
          <w:szCs w:val="22"/>
          <w:lang w:val="en-US"/>
        </w:rPr>
      </w:pPr>
    </w:p>
    <w:p w14:paraId="385496B6" w14:textId="77777777" w:rsidR="0014546C" w:rsidRDefault="0014546C" w:rsidP="0014546C">
      <w:pPr>
        <w:jc w:val="both"/>
        <w:rPr>
          <w:rFonts w:cstheme="minorHAnsi"/>
          <w:sz w:val="22"/>
          <w:szCs w:val="22"/>
          <w:lang w:val="en-US"/>
        </w:rPr>
      </w:pPr>
    </w:p>
    <w:p w14:paraId="2026890E" w14:textId="24FAEC0C" w:rsidR="0014546C" w:rsidRDefault="0014546C" w:rsidP="0014546C">
      <w:pPr>
        <w:jc w:val="center"/>
        <w:rPr>
          <w:rFonts w:cstheme="minorHAnsi"/>
          <w:sz w:val="22"/>
          <w:szCs w:val="22"/>
        </w:rPr>
      </w:pPr>
      <w:r>
        <w:rPr>
          <w:rFonts w:cstheme="minorHAnsi"/>
          <w:noProof/>
          <w:sz w:val="22"/>
          <w:szCs w:val="22"/>
          <w:lang w:eastAsia="it-IT"/>
        </w:rPr>
        <w:drawing>
          <wp:inline distT="0" distB="0" distL="0" distR="0" wp14:anchorId="6280970C" wp14:editId="07BC139E">
            <wp:extent cx="5943600" cy="2734310"/>
            <wp:effectExtent l="0" t="0" r="0" b="8890"/>
            <wp:docPr id="1302849530" name="Picture 5" descr="A graph of a graph of a graph of a graph of a graph of a graph of a graph of a graph of a graph of a graph of a graph of a graph of a graph of&#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2849530" name="Picture 5" descr="A graph of a graph of a graph of a graph of a graph of a graph of a graph of a graph of a graph of a graph of a graph of a graph of a graph of&#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2734310"/>
                    </a:xfrm>
                    <a:prstGeom prst="rect">
                      <a:avLst/>
                    </a:prstGeom>
                    <a:noFill/>
                    <a:ln>
                      <a:noFill/>
                    </a:ln>
                  </pic:spPr>
                </pic:pic>
              </a:graphicData>
            </a:graphic>
          </wp:inline>
        </w:drawing>
      </w:r>
    </w:p>
    <w:p w14:paraId="016495C3" w14:textId="77777777" w:rsidR="0014546C" w:rsidRDefault="0014546C" w:rsidP="0014546C">
      <w:pPr>
        <w:jc w:val="both"/>
        <w:rPr>
          <w:rFonts w:ascii="Times New Roman" w:hAnsi="Times New Roman" w:cs="Times New Roman"/>
          <w:sz w:val="22"/>
          <w:szCs w:val="22"/>
        </w:rPr>
      </w:pPr>
    </w:p>
    <w:p w14:paraId="0AD20BBF" w14:textId="77777777" w:rsidR="0014546C" w:rsidRDefault="0014546C" w:rsidP="0014546C">
      <w:pPr>
        <w:jc w:val="both"/>
        <w:rPr>
          <w:rFonts w:cstheme="minorHAnsi"/>
          <w:sz w:val="22"/>
          <w:szCs w:val="22"/>
          <w:lang w:val="en-US"/>
        </w:rPr>
      </w:pPr>
      <w:r>
        <w:rPr>
          <w:rFonts w:cstheme="minorHAnsi"/>
          <w:sz w:val="22"/>
          <w:szCs w:val="22"/>
          <w:lang w:val="en-US"/>
        </w:rPr>
        <w:t>Figure 5-SI. Fitting of the deformation vs seismic count with one exponential function. The deformation refers to the vertical uplift of RITE GNSS station whereas the seismic count to all earthquakes recorded. Plot (a) shows relation with linear coordinates whereas plot (b) uses a log-scale (natural base) for the number of earthquakes. Reference years are indicated with the corresponding labels and black dots.</w:t>
      </w:r>
    </w:p>
    <w:p w14:paraId="371950D1" w14:textId="77777777" w:rsidR="0014546C" w:rsidRDefault="0014546C" w:rsidP="0014546C">
      <w:pPr>
        <w:jc w:val="both"/>
        <w:rPr>
          <w:rFonts w:ascii="Times New Roman" w:hAnsi="Times New Roman" w:cs="Times New Roman"/>
          <w:sz w:val="22"/>
          <w:szCs w:val="22"/>
          <w:lang w:val="en-US"/>
        </w:rPr>
      </w:pPr>
      <w:r>
        <w:rPr>
          <w:rFonts w:ascii="Times New Roman" w:hAnsi="Times New Roman" w:cs="Times New Roman"/>
          <w:sz w:val="22"/>
          <w:szCs w:val="22"/>
          <w:lang w:val="en-US"/>
        </w:rPr>
        <w:br w:type="page"/>
      </w:r>
    </w:p>
    <w:p w14:paraId="613E2A44" w14:textId="77777777" w:rsidR="0014546C" w:rsidRDefault="0014546C" w:rsidP="0014546C">
      <w:pPr>
        <w:jc w:val="center"/>
        <w:rPr>
          <w:rFonts w:ascii="Times New Roman" w:hAnsi="Times New Roman" w:cs="Times New Roman"/>
          <w:sz w:val="22"/>
          <w:szCs w:val="22"/>
          <w:lang w:val="en-US"/>
        </w:rPr>
      </w:pPr>
    </w:p>
    <w:p w14:paraId="28E86E09" w14:textId="77777777" w:rsidR="0014546C" w:rsidRDefault="0014546C" w:rsidP="0014546C">
      <w:pPr>
        <w:jc w:val="center"/>
        <w:rPr>
          <w:rFonts w:ascii="Times New Roman" w:hAnsi="Times New Roman" w:cs="Times New Roman"/>
          <w:sz w:val="22"/>
          <w:szCs w:val="22"/>
          <w:lang w:val="en-US"/>
        </w:rPr>
      </w:pPr>
    </w:p>
    <w:p w14:paraId="77D2285B" w14:textId="77777777" w:rsidR="0014546C" w:rsidRDefault="0014546C" w:rsidP="0014546C">
      <w:pPr>
        <w:jc w:val="center"/>
        <w:rPr>
          <w:rFonts w:ascii="Times New Roman" w:hAnsi="Times New Roman" w:cs="Times New Roman"/>
          <w:sz w:val="22"/>
          <w:szCs w:val="22"/>
          <w:lang w:val="en-US"/>
        </w:rPr>
      </w:pPr>
    </w:p>
    <w:p w14:paraId="54632A23" w14:textId="4E88E302" w:rsidR="0014546C" w:rsidRDefault="0014546C" w:rsidP="0014546C">
      <w:pPr>
        <w:jc w:val="center"/>
        <w:rPr>
          <w:rFonts w:ascii="Times New Roman" w:hAnsi="Times New Roman" w:cs="Times New Roman"/>
          <w:sz w:val="22"/>
          <w:szCs w:val="22"/>
          <w:lang w:val="en-US"/>
        </w:rPr>
      </w:pPr>
      <w:r>
        <w:rPr>
          <w:rFonts w:ascii="Times New Roman" w:hAnsi="Times New Roman" w:cs="Times New Roman"/>
          <w:noProof/>
          <w:sz w:val="22"/>
          <w:szCs w:val="22"/>
          <w:lang w:eastAsia="it-IT"/>
        </w:rPr>
        <w:drawing>
          <wp:inline distT="0" distB="0" distL="0" distR="0" wp14:anchorId="7A2F9A5F" wp14:editId="388C03B9">
            <wp:extent cx="2638425" cy="6810375"/>
            <wp:effectExtent l="0" t="0" r="9525" b="9525"/>
            <wp:docPr id="564370540" name="Picture 4" descr="A graph on a white she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370540" name="Picture 4" descr="A graph on a white sheet&#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38425" cy="6810375"/>
                    </a:xfrm>
                    <a:prstGeom prst="rect">
                      <a:avLst/>
                    </a:prstGeom>
                    <a:noFill/>
                    <a:ln>
                      <a:noFill/>
                    </a:ln>
                  </pic:spPr>
                </pic:pic>
              </a:graphicData>
            </a:graphic>
          </wp:inline>
        </w:drawing>
      </w:r>
    </w:p>
    <w:p w14:paraId="7B545CF3" w14:textId="77777777" w:rsidR="0014546C" w:rsidRDefault="0014546C" w:rsidP="0014546C">
      <w:pPr>
        <w:jc w:val="both"/>
        <w:rPr>
          <w:rFonts w:ascii="Times New Roman" w:hAnsi="Times New Roman" w:cs="Times New Roman"/>
          <w:sz w:val="22"/>
          <w:szCs w:val="22"/>
          <w:lang w:val="en-US"/>
        </w:rPr>
      </w:pPr>
    </w:p>
    <w:p w14:paraId="6E7EC71E" w14:textId="77777777" w:rsidR="0014546C" w:rsidRDefault="0014546C" w:rsidP="0014546C">
      <w:pPr>
        <w:jc w:val="both"/>
        <w:rPr>
          <w:rFonts w:cstheme="minorHAnsi"/>
          <w:sz w:val="22"/>
          <w:szCs w:val="22"/>
          <w:lang w:val="en-US"/>
        </w:rPr>
      </w:pPr>
      <w:r>
        <w:rPr>
          <w:rFonts w:cstheme="minorHAnsi"/>
          <w:sz w:val="22"/>
          <w:szCs w:val="22"/>
          <w:lang w:val="en-US"/>
        </w:rPr>
        <w:t>Figure 6-SI. (a) Relationships between vertical uplift at the RITE GNSS station and cumulative number of seismic events with M</w:t>
      </w:r>
      <w:r>
        <w:rPr>
          <w:rFonts w:cstheme="minorHAnsi"/>
          <w:sz w:val="22"/>
          <w:szCs w:val="22"/>
          <w:vertAlign w:val="subscript"/>
          <w:lang w:val="en-US"/>
        </w:rPr>
        <w:t xml:space="preserve">d </w:t>
      </w:r>
      <w:r>
        <w:rPr>
          <w:rFonts w:cstheme="minorHAnsi"/>
          <w:sz w:val="22"/>
          <w:szCs w:val="22"/>
          <w:lang w:val="en-US"/>
        </w:rPr>
        <w:t xml:space="preserve">&gt; 0.5 over the period 1/2000-11/2023. Data are represented as red dots. Years reported in the labels and as black dots mark the temporal evolution of the uplift. The light and dark blue curves indicate the two exponential functions </w:t>
      </w:r>
      <w:proofErr w:type="gramStart"/>
      <w:r>
        <w:rPr>
          <w:rFonts w:cstheme="minorHAnsi"/>
          <w:sz w:val="22"/>
          <w:szCs w:val="22"/>
          <w:lang w:val="en-US"/>
        </w:rPr>
        <w:t>best-fitting</w:t>
      </w:r>
      <w:proofErr w:type="gramEnd"/>
      <w:r>
        <w:rPr>
          <w:rFonts w:cstheme="minorHAnsi"/>
          <w:sz w:val="22"/>
          <w:szCs w:val="22"/>
          <w:lang w:val="en-US"/>
        </w:rPr>
        <w:t xml:space="preserve"> the data. Plot (b) shows </w:t>
      </w:r>
      <w:r>
        <w:rPr>
          <w:rFonts w:cstheme="minorHAnsi"/>
          <w:sz w:val="22"/>
          <w:szCs w:val="22"/>
          <w:lang w:val="en-US"/>
        </w:rPr>
        <w:lastRenderedPageBreak/>
        <w:t>the same data and labels of plot (a) but using a log scale (natural base) of the number of earthquakes. Plot (c) shows the quality of the fit, represented by the mean square distance between data and fitting curves, with the varying of the connecting time between the two exponential functions.</w:t>
      </w:r>
    </w:p>
    <w:p w14:paraId="10A9B905" w14:textId="77777777" w:rsidR="0014546C" w:rsidRDefault="0014546C" w:rsidP="0014546C">
      <w:pPr>
        <w:jc w:val="both"/>
        <w:rPr>
          <w:rFonts w:ascii="Times New Roman" w:hAnsi="Times New Roman" w:cs="Times New Roman"/>
          <w:sz w:val="22"/>
          <w:szCs w:val="22"/>
          <w:lang w:val="en-US"/>
        </w:rPr>
      </w:pPr>
      <w:r>
        <w:rPr>
          <w:rFonts w:ascii="Times New Roman" w:hAnsi="Times New Roman" w:cs="Times New Roman"/>
          <w:sz w:val="22"/>
          <w:szCs w:val="22"/>
          <w:lang w:val="en-US"/>
        </w:rPr>
        <w:br w:type="page"/>
      </w:r>
    </w:p>
    <w:p w14:paraId="5A2BB6AD" w14:textId="77777777" w:rsidR="0014546C" w:rsidRDefault="0014546C" w:rsidP="0014546C">
      <w:pPr>
        <w:jc w:val="both"/>
        <w:rPr>
          <w:rFonts w:ascii="Times New Roman" w:hAnsi="Times New Roman" w:cs="Times New Roman"/>
          <w:sz w:val="22"/>
          <w:szCs w:val="22"/>
          <w:lang w:val="en-US"/>
        </w:rPr>
      </w:pPr>
    </w:p>
    <w:p w14:paraId="5A0BFE16" w14:textId="77777777" w:rsidR="0014546C" w:rsidRDefault="0014546C" w:rsidP="0014546C">
      <w:pPr>
        <w:jc w:val="both"/>
        <w:rPr>
          <w:rFonts w:ascii="Times New Roman" w:hAnsi="Times New Roman" w:cs="Times New Roman"/>
          <w:sz w:val="22"/>
          <w:szCs w:val="22"/>
          <w:lang w:val="en-US"/>
        </w:rPr>
      </w:pPr>
    </w:p>
    <w:p w14:paraId="191F79C5" w14:textId="77777777" w:rsidR="0014546C" w:rsidRDefault="0014546C" w:rsidP="0014546C">
      <w:pPr>
        <w:jc w:val="both"/>
        <w:rPr>
          <w:rFonts w:ascii="Times New Roman" w:hAnsi="Times New Roman" w:cs="Times New Roman"/>
          <w:sz w:val="22"/>
          <w:szCs w:val="22"/>
          <w:lang w:val="en-US"/>
        </w:rPr>
      </w:pPr>
    </w:p>
    <w:p w14:paraId="678F43FE" w14:textId="5E30DFF7" w:rsidR="0014546C" w:rsidRDefault="0014546C" w:rsidP="0014546C">
      <w:pPr>
        <w:jc w:val="center"/>
        <w:rPr>
          <w:rFonts w:ascii="Times New Roman" w:hAnsi="Times New Roman" w:cs="Times New Roman"/>
          <w:sz w:val="22"/>
          <w:szCs w:val="22"/>
          <w:lang w:val="en-US"/>
        </w:rPr>
      </w:pPr>
      <w:r>
        <w:rPr>
          <w:rFonts w:ascii="Times New Roman" w:hAnsi="Times New Roman" w:cs="Times New Roman"/>
          <w:noProof/>
          <w:sz w:val="22"/>
          <w:szCs w:val="22"/>
          <w:lang w:eastAsia="it-IT"/>
        </w:rPr>
        <w:drawing>
          <wp:inline distT="0" distB="0" distL="0" distR="0" wp14:anchorId="0F4227C0" wp14:editId="6E778F25">
            <wp:extent cx="5791200" cy="2743200"/>
            <wp:effectExtent l="0" t="0" r="0" b="0"/>
            <wp:docPr id="1045310355" name="Picture 3" descr="A graph of earthquake and earthquak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310355" name="Picture 3" descr="A graph of earthquake and earthquake&#10;&#10;Description automatically generated with medium confidenc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91200" cy="2743200"/>
                    </a:xfrm>
                    <a:prstGeom prst="rect">
                      <a:avLst/>
                    </a:prstGeom>
                    <a:noFill/>
                    <a:ln>
                      <a:noFill/>
                    </a:ln>
                  </pic:spPr>
                </pic:pic>
              </a:graphicData>
            </a:graphic>
          </wp:inline>
        </w:drawing>
      </w:r>
    </w:p>
    <w:p w14:paraId="7E3067C6" w14:textId="77777777" w:rsidR="0014546C" w:rsidRDefault="0014546C" w:rsidP="0014546C">
      <w:pPr>
        <w:jc w:val="both"/>
        <w:rPr>
          <w:rFonts w:ascii="Times New Roman" w:hAnsi="Times New Roman" w:cs="Times New Roman"/>
          <w:sz w:val="22"/>
          <w:szCs w:val="22"/>
          <w:lang w:val="en-US"/>
        </w:rPr>
      </w:pPr>
    </w:p>
    <w:p w14:paraId="220A047A" w14:textId="77777777" w:rsidR="0014546C" w:rsidRDefault="0014546C" w:rsidP="0014546C">
      <w:pPr>
        <w:jc w:val="both"/>
        <w:rPr>
          <w:rFonts w:cstheme="minorHAnsi"/>
          <w:sz w:val="22"/>
          <w:szCs w:val="22"/>
          <w:lang w:val="en-US"/>
        </w:rPr>
      </w:pPr>
      <w:r>
        <w:rPr>
          <w:rFonts w:cstheme="minorHAnsi"/>
          <w:sz w:val="22"/>
          <w:szCs w:val="22"/>
          <w:lang w:val="en-US"/>
        </w:rPr>
        <w:t>Figure 7-SI. Relationship between vertical uplift at the RITE GNSS station and cumulative number of seismic events with M</w:t>
      </w:r>
      <w:r>
        <w:rPr>
          <w:rFonts w:cstheme="minorHAnsi"/>
          <w:sz w:val="22"/>
          <w:szCs w:val="22"/>
          <w:vertAlign w:val="subscript"/>
          <w:lang w:val="en-US"/>
        </w:rPr>
        <w:t>d</w:t>
      </w:r>
      <w:r>
        <w:rPr>
          <w:rFonts w:cstheme="minorHAnsi"/>
          <w:sz w:val="22"/>
          <w:szCs w:val="22"/>
          <w:lang w:val="en-US"/>
        </w:rPr>
        <w:t xml:space="preserve"> &gt; 0.5 over the period 2000-11/2023 considering data within (a) 2 km and (b) 3 km radius from the Solfatara-</w:t>
      </w:r>
      <w:proofErr w:type="spellStart"/>
      <w:r>
        <w:rPr>
          <w:rFonts w:cstheme="minorHAnsi"/>
          <w:sz w:val="22"/>
          <w:szCs w:val="22"/>
          <w:lang w:val="en-US"/>
        </w:rPr>
        <w:t>Pisciarelli</w:t>
      </w:r>
      <w:proofErr w:type="spellEnd"/>
      <w:r>
        <w:rPr>
          <w:rFonts w:cstheme="minorHAnsi"/>
          <w:sz w:val="22"/>
          <w:szCs w:val="22"/>
          <w:lang w:val="en-US"/>
        </w:rPr>
        <w:t xml:space="preserve"> area. Data are represented as red dots. Years reported in the labels and as black dots mark the temporal evolution of the uplift. The light and dark blue curves indicate the two exponential functions </w:t>
      </w:r>
      <w:proofErr w:type="gramStart"/>
      <w:r>
        <w:rPr>
          <w:rFonts w:cstheme="minorHAnsi"/>
          <w:sz w:val="22"/>
          <w:szCs w:val="22"/>
          <w:lang w:val="en-US"/>
        </w:rPr>
        <w:t>best-fitting</w:t>
      </w:r>
      <w:proofErr w:type="gramEnd"/>
      <w:r>
        <w:rPr>
          <w:rFonts w:cstheme="minorHAnsi"/>
          <w:sz w:val="22"/>
          <w:szCs w:val="22"/>
          <w:lang w:val="en-US"/>
        </w:rPr>
        <w:t xml:space="preserve"> the data.</w:t>
      </w:r>
    </w:p>
    <w:p w14:paraId="755A855F" w14:textId="77777777" w:rsidR="0014546C" w:rsidRDefault="0014546C" w:rsidP="0014546C">
      <w:pPr>
        <w:jc w:val="both"/>
        <w:rPr>
          <w:rFonts w:ascii="Times New Roman" w:hAnsi="Times New Roman" w:cs="Times New Roman"/>
          <w:sz w:val="22"/>
          <w:szCs w:val="22"/>
          <w:lang w:val="en-US"/>
        </w:rPr>
      </w:pPr>
      <w:r>
        <w:rPr>
          <w:rFonts w:ascii="Times New Roman" w:hAnsi="Times New Roman" w:cs="Times New Roman"/>
          <w:sz w:val="22"/>
          <w:szCs w:val="22"/>
          <w:lang w:val="en-US"/>
        </w:rPr>
        <w:br w:type="page"/>
      </w:r>
    </w:p>
    <w:p w14:paraId="2CBB9189" w14:textId="77777777" w:rsidR="0014546C" w:rsidRDefault="0014546C" w:rsidP="0014546C">
      <w:pPr>
        <w:jc w:val="center"/>
        <w:rPr>
          <w:rFonts w:ascii="Times New Roman" w:hAnsi="Times New Roman" w:cs="Times New Roman"/>
          <w:noProof/>
          <w:sz w:val="22"/>
          <w:szCs w:val="22"/>
          <w:lang w:val="en-US"/>
        </w:rPr>
      </w:pPr>
    </w:p>
    <w:p w14:paraId="32CB10B5" w14:textId="77777777" w:rsidR="0014546C" w:rsidRDefault="0014546C" w:rsidP="0014546C">
      <w:pPr>
        <w:jc w:val="center"/>
        <w:rPr>
          <w:rFonts w:ascii="Times New Roman" w:hAnsi="Times New Roman" w:cs="Times New Roman"/>
          <w:noProof/>
          <w:sz w:val="22"/>
          <w:szCs w:val="22"/>
          <w:lang w:val="en-US"/>
        </w:rPr>
      </w:pPr>
    </w:p>
    <w:p w14:paraId="334CC4B9" w14:textId="77777777" w:rsidR="0014546C" w:rsidRDefault="0014546C" w:rsidP="0014546C">
      <w:pPr>
        <w:jc w:val="center"/>
        <w:rPr>
          <w:rFonts w:ascii="Times New Roman" w:hAnsi="Times New Roman" w:cs="Times New Roman"/>
          <w:noProof/>
          <w:sz w:val="22"/>
          <w:szCs w:val="22"/>
          <w:lang w:val="en-US"/>
        </w:rPr>
      </w:pPr>
    </w:p>
    <w:p w14:paraId="2323C64D" w14:textId="7DE0C54E" w:rsidR="0014546C" w:rsidRDefault="0014546C" w:rsidP="0014546C">
      <w:pPr>
        <w:jc w:val="center"/>
        <w:rPr>
          <w:rFonts w:ascii="Times New Roman" w:hAnsi="Times New Roman" w:cs="Times New Roman"/>
          <w:sz w:val="22"/>
          <w:szCs w:val="22"/>
          <w:lang w:val="en-US"/>
        </w:rPr>
      </w:pPr>
      <w:r>
        <w:rPr>
          <w:rFonts w:ascii="Times New Roman" w:hAnsi="Times New Roman" w:cs="Times New Roman"/>
          <w:noProof/>
          <w:sz w:val="22"/>
          <w:szCs w:val="22"/>
          <w:lang w:eastAsia="it-IT"/>
        </w:rPr>
        <w:drawing>
          <wp:inline distT="0" distB="0" distL="0" distR="0" wp14:anchorId="77FBA054" wp14:editId="0D5818CC">
            <wp:extent cx="5943600" cy="4658995"/>
            <wp:effectExtent l="0" t="0" r="0" b="8255"/>
            <wp:docPr id="196798732" name="Picture 2" descr="A graph of a graph of a number of numbers and a graph of a number of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798732" name="Picture 2" descr="A graph of a graph of a number of numbers and a graph of a number of numbers&#10;&#10;Description automatically generated with medium confidenc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3600" cy="4658995"/>
                    </a:xfrm>
                    <a:prstGeom prst="rect">
                      <a:avLst/>
                    </a:prstGeom>
                    <a:noFill/>
                    <a:ln>
                      <a:noFill/>
                    </a:ln>
                  </pic:spPr>
                </pic:pic>
              </a:graphicData>
            </a:graphic>
          </wp:inline>
        </w:drawing>
      </w:r>
    </w:p>
    <w:p w14:paraId="2E7B2A53" w14:textId="77777777" w:rsidR="0014546C" w:rsidRDefault="0014546C" w:rsidP="0014546C">
      <w:pPr>
        <w:jc w:val="both"/>
        <w:rPr>
          <w:rFonts w:ascii="Times New Roman" w:hAnsi="Times New Roman" w:cs="Times New Roman"/>
          <w:sz w:val="22"/>
          <w:szCs w:val="22"/>
          <w:lang w:val="en-US"/>
        </w:rPr>
      </w:pPr>
    </w:p>
    <w:p w14:paraId="46138E64" w14:textId="77777777" w:rsidR="0014546C" w:rsidRDefault="0014546C" w:rsidP="0014546C">
      <w:pPr>
        <w:jc w:val="both"/>
        <w:rPr>
          <w:rFonts w:cstheme="minorHAnsi"/>
          <w:sz w:val="22"/>
          <w:szCs w:val="22"/>
          <w:lang w:val="en-US"/>
        </w:rPr>
      </w:pPr>
      <w:r>
        <w:rPr>
          <w:rFonts w:cstheme="minorHAnsi"/>
          <w:sz w:val="22"/>
          <w:szCs w:val="22"/>
          <w:lang w:val="en-US"/>
        </w:rPr>
        <w:t>Figure 8-SI. (a) Histogram of the number of earthquakes as a function of magnitude M</w:t>
      </w:r>
      <w:r>
        <w:rPr>
          <w:rFonts w:cstheme="minorHAnsi"/>
          <w:sz w:val="22"/>
          <w:szCs w:val="22"/>
          <w:vertAlign w:val="subscript"/>
          <w:lang w:val="en-US"/>
        </w:rPr>
        <w:t>d</w:t>
      </w:r>
      <w:r>
        <w:rPr>
          <w:rFonts w:cstheme="minorHAnsi"/>
          <w:sz w:val="22"/>
          <w:szCs w:val="22"/>
          <w:lang w:val="en-US"/>
        </w:rPr>
        <w:t xml:space="preserve"> for the period 2000-11/2023. The assumed completeness threshold is equal to 0.5. (b) Logarithm to the base 10 of the number of earthquakes as function of M</w:t>
      </w:r>
      <w:r>
        <w:rPr>
          <w:rFonts w:cstheme="minorHAnsi"/>
          <w:sz w:val="22"/>
          <w:szCs w:val="22"/>
          <w:vertAlign w:val="subscript"/>
          <w:lang w:val="en-US"/>
        </w:rPr>
        <w:t>d</w:t>
      </w:r>
      <w:r>
        <w:rPr>
          <w:rFonts w:cstheme="minorHAnsi"/>
          <w:sz w:val="22"/>
          <w:szCs w:val="22"/>
          <w:lang w:val="en-US"/>
        </w:rPr>
        <w:t xml:space="preserve"> for the same parameters of plot (a). In the legend of plot (b) are reported the coefficients of the exponential law fitting the data for the above period and for two additional periods (see text for more explanation).</w:t>
      </w:r>
    </w:p>
    <w:p w14:paraId="774A5CCE" w14:textId="77777777" w:rsidR="0014546C" w:rsidRDefault="0014546C" w:rsidP="0014546C">
      <w:pPr>
        <w:jc w:val="both"/>
        <w:rPr>
          <w:rFonts w:ascii="Times New Roman" w:hAnsi="Times New Roman" w:cs="Times New Roman"/>
          <w:sz w:val="22"/>
          <w:szCs w:val="22"/>
          <w:lang w:val="en-US"/>
        </w:rPr>
      </w:pPr>
    </w:p>
    <w:p w14:paraId="7AD739CD" w14:textId="77777777" w:rsidR="0014546C" w:rsidRDefault="0014546C" w:rsidP="0014546C">
      <w:pPr>
        <w:jc w:val="both"/>
        <w:rPr>
          <w:rFonts w:ascii="Times New Roman" w:hAnsi="Times New Roman" w:cs="Times New Roman"/>
          <w:sz w:val="22"/>
          <w:szCs w:val="22"/>
          <w:lang w:val="en-US"/>
        </w:rPr>
      </w:pPr>
      <w:r>
        <w:rPr>
          <w:rFonts w:ascii="Times New Roman" w:hAnsi="Times New Roman" w:cs="Times New Roman"/>
          <w:sz w:val="22"/>
          <w:szCs w:val="22"/>
          <w:lang w:val="en-US"/>
        </w:rPr>
        <w:br w:type="page"/>
      </w:r>
    </w:p>
    <w:p w14:paraId="2DD16E20" w14:textId="77777777" w:rsidR="0014546C" w:rsidRDefault="0014546C" w:rsidP="0014546C">
      <w:pPr>
        <w:jc w:val="both"/>
        <w:rPr>
          <w:rFonts w:ascii="Times New Roman" w:hAnsi="Times New Roman" w:cs="Times New Roman"/>
          <w:sz w:val="22"/>
          <w:szCs w:val="22"/>
          <w:lang w:val="en-US"/>
        </w:rPr>
      </w:pPr>
    </w:p>
    <w:p w14:paraId="567A96D1" w14:textId="77777777" w:rsidR="0014546C" w:rsidRDefault="0014546C" w:rsidP="0014546C">
      <w:pPr>
        <w:jc w:val="both"/>
        <w:rPr>
          <w:rFonts w:ascii="Times New Roman" w:hAnsi="Times New Roman" w:cs="Times New Roman"/>
          <w:sz w:val="22"/>
          <w:szCs w:val="22"/>
          <w:lang w:val="en-US"/>
        </w:rPr>
      </w:pPr>
    </w:p>
    <w:p w14:paraId="37F8BDEC" w14:textId="77777777" w:rsidR="0014546C" w:rsidRDefault="0014546C" w:rsidP="0014546C">
      <w:pPr>
        <w:jc w:val="both"/>
        <w:rPr>
          <w:rFonts w:ascii="Times New Roman" w:hAnsi="Times New Roman" w:cs="Times New Roman"/>
          <w:sz w:val="22"/>
          <w:szCs w:val="22"/>
          <w:lang w:val="en-US"/>
        </w:rPr>
      </w:pPr>
    </w:p>
    <w:p w14:paraId="5C9AD316" w14:textId="6F4161DE" w:rsidR="0014546C" w:rsidRDefault="0014546C" w:rsidP="0014546C">
      <w:pPr>
        <w:jc w:val="center"/>
        <w:rPr>
          <w:rFonts w:ascii="Times New Roman" w:hAnsi="Times New Roman" w:cs="Times New Roman"/>
          <w:sz w:val="22"/>
          <w:szCs w:val="22"/>
        </w:rPr>
      </w:pPr>
      <w:r>
        <w:rPr>
          <w:rFonts w:ascii="Times New Roman" w:hAnsi="Times New Roman" w:cs="Times New Roman"/>
          <w:noProof/>
          <w:sz w:val="22"/>
          <w:szCs w:val="22"/>
          <w:lang w:eastAsia="it-IT"/>
        </w:rPr>
        <w:drawing>
          <wp:inline distT="0" distB="0" distL="0" distR="0" wp14:anchorId="0B429D78" wp14:editId="7FAC3AC8">
            <wp:extent cx="5943600" cy="2443480"/>
            <wp:effectExtent l="0" t="0" r="0" b="0"/>
            <wp:docPr id="88027050" name="Picture 1" descr="A graph of a graph of a graph of a graph of a graph of a graph of a graph of a graph of a graph of a graph of a graph of a graph of a graph of&#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027050" name="Picture 1" descr="A graph of a graph of a graph of a graph of a graph of a graph of a graph of a graph of a graph of a graph of a graph of a graph of a graph of&#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2443480"/>
                    </a:xfrm>
                    <a:prstGeom prst="rect">
                      <a:avLst/>
                    </a:prstGeom>
                    <a:noFill/>
                    <a:ln>
                      <a:noFill/>
                    </a:ln>
                  </pic:spPr>
                </pic:pic>
              </a:graphicData>
            </a:graphic>
          </wp:inline>
        </w:drawing>
      </w:r>
    </w:p>
    <w:p w14:paraId="3AA0D05A" w14:textId="77777777" w:rsidR="0014546C" w:rsidRDefault="0014546C" w:rsidP="0014546C">
      <w:pPr>
        <w:jc w:val="both"/>
        <w:rPr>
          <w:rFonts w:cstheme="minorHAnsi"/>
          <w:sz w:val="22"/>
          <w:szCs w:val="22"/>
        </w:rPr>
      </w:pPr>
    </w:p>
    <w:p w14:paraId="4665F2F9" w14:textId="77777777" w:rsidR="0014546C" w:rsidRDefault="0014546C" w:rsidP="0014546C">
      <w:pPr>
        <w:autoSpaceDE w:val="0"/>
        <w:autoSpaceDN w:val="0"/>
        <w:adjustRightInd w:val="0"/>
        <w:jc w:val="both"/>
        <w:rPr>
          <w:rFonts w:cstheme="minorHAnsi"/>
          <w:sz w:val="22"/>
          <w:szCs w:val="22"/>
          <w:lang w:val="en-US"/>
        </w:rPr>
      </w:pPr>
      <w:r>
        <w:rPr>
          <w:rFonts w:cstheme="minorHAnsi"/>
          <w:sz w:val="22"/>
          <w:szCs w:val="22"/>
          <w:lang w:val="en-US"/>
        </w:rPr>
        <w:t xml:space="preserve">Figure 9-SI: Retrospective analysis of waiting time from 2000 to 11/2023 by using (a) 3-year regression, and (b) 10-year regression. The waiting time </w:t>
      </w:r>
      <w:r>
        <w:rPr>
          <w:rFonts w:cstheme="minorHAnsi"/>
          <w:i/>
          <w:iCs/>
          <w:sz w:val="22"/>
          <w:szCs w:val="22"/>
          <w:lang w:val="en-US"/>
        </w:rPr>
        <w:t>(</w:t>
      </w:r>
      <w:proofErr w:type="spellStart"/>
      <w:r>
        <w:rPr>
          <w:rFonts w:cstheme="minorHAnsi"/>
          <w:i/>
          <w:iCs/>
          <w:sz w:val="22"/>
          <w:szCs w:val="22"/>
          <w:lang w:val="en-US"/>
        </w:rPr>
        <w:t>t</w:t>
      </w:r>
      <w:r>
        <w:rPr>
          <w:rFonts w:cstheme="minorHAnsi"/>
          <w:i/>
          <w:iCs/>
          <w:sz w:val="22"/>
          <w:szCs w:val="22"/>
          <w:vertAlign w:val="subscript"/>
          <w:lang w:val="en-US"/>
        </w:rPr>
        <w:t>f</w:t>
      </w:r>
      <w:proofErr w:type="spellEnd"/>
      <w:r>
        <w:rPr>
          <w:rFonts w:cstheme="minorHAnsi"/>
          <w:i/>
          <w:iCs/>
          <w:sz w:val="22"/>
          <w:szCs w:val="22"/>
          <w:lang w:val="en-US"/>
        </w:rPr>
        <w:t xml:space="preserve"> − t) </w:t>
      </w:r>
      <w:r>
        <w:rPr>
          <w:rFonts w:cstheme="minorHAnsi"/>
          <w:sz w:val="22"/>
          <w:szCs w:val="22"/>
          <w:lang w:val="en-US"/>
        </w:rPr>
        <w:t xml:space="preserve">from 2000 to 11/2023 is shown as a as a function of the time </w:t>
      </w:r>
      <w:r>
        <w:rPr>
          <w:rFonts w:cstheme="minorHAnsi"/>
          <w:i/>
          <w:iCs/>
          <w:sz w:val="22"/>
          <w:szCs w:val="22"/>
          <w:lang w:val="en-US"/>
        </w:rPr>
        <w:t>t</w:t>
      </w:r>
      <w:r>
        <w:rPr>
          <w:rFonts w:cstheme="minorHAnsi"/>
          <w:sz w:val="22"/>
          <w:szCs w:val="22"/>
          <w:lang w:val="en-US"/>
        </w:rPr>
        <w:t xml:space="preserve"> at which the forecast was formulated. The bold red line is the mean </w:t>
      </w:r>
      <w:proofErr w:type="gramStart"/>
      <w:r>
        <w:rPr>
          <w:rFonts w:cstheme="minorHAnsi"/>
          <w:sz w:val="22"/>
          <w:szCs w:val="22"/>
          <w:lang w:val="en-US"/>
        </w:rPr>
        <w:t>forecast</w:t>
      </w:r>
      <w:proofErr w:type="gramEnd"/>
      <w:r>
        <w:rPr>
          <w:rFonts w:cstheme="minorHAnsi"/>
          <w:sz w:val="22"/>
          <w:szCs w:val="22"/>
          <w:lang w:val="en-US"/>
        </w:rPr>
        <w:t xml:space="preserve"> and the red dashed lines are the 5</w:t>
      </w:r>
      <w:r>
        <w:rPr>
          <w:rFonts w:cstheme="minorHAnsi"/>
          <w:sz w:val="22"/>
          <w:szCs w:val="22"/>
          <w:vertAlign w:val="superscript"/>
          <w:lang w:val="en-US"/>
        </w:rPr>
        <w:t>th</w:t>
      </w:r>
      <w:r>
        <w:rPr>
          <w:rFonts w:cstheme="minorHAnsi"/>
          <w:sz w:val="22"/>
          <w:szCs w:val="22"/>
          <w:lang w:val="en-US"/>
        </w:rPr>
        <w:t xml:space="preserve"> and 95</w:t>
      </w:r>
      <w:r>
        <w:rPr>
          <w:rFonts w:cstheme="minorHAnsi"/>
          <w:sz w:val="22"/>
          <w:szCs w:val="22"/>
          <w:vertAlign w:val="superscript"/>
          <w:lang w:val="en-US"/>
        </w:rPr>
        <w:t>th</w:t>
      </w:r>
      <w:r>
        <w:rPr>
          <w:rFonts w:cstheme="minorHAnsi"/>
          <w:sz w:val="22"/>
          <w:szCs w:val="22"/>
          <w:lang w:val="en-US"/>
        </w:rPr>
        <w:t xml:space="preserve"> percentiles of its uncertainty range. Both estimates are based on a 2-years average rate.</w:t>
      </w:r>
    </w:p>
    <w:p w14:paraId="502711F9" w14:textId="77777777" w:rsidR="0014546C" w:rsidRDefault="0014546C" w:rsidP="0014546C">
      <w:pPr>
        <w:jc w:val="both"/>
        <w:rPr>
          <w:rFonts w:cstheme="minorHAnsi"/>
          <w:sz w:val="22"/>
          <w:szCs w:val="22"/>
          <w:lang w:val="en-US"/>
        </w:rPr>
      </w:pPr>
      <w:r>
        <w:rPr>
          <w:rFonts w:cstheme="minorHAnsi"/>
          <w:sz w:val="22"/>
          <w:szCs w:val="22"/>
          <w:lang w:val="en-US"/>
        </w:rPr>
        <w:br w:type="page"/>
      </w:r>
    </w:p>
    <w:p w14:paraId="05E95D4B" w14:textId="77777777" w:rsidR="0014546C" w:rsidRDefault="0014546C" w:rsidP="0014546C">
      <w:pPr>
        <w:jc w:val="both"/>
        <w:rPr>
          <w:rFonts w:cstheme="minorHAnsi"/>
          <w:sz w:val="22"/>
          <w:szCs w:val="22"/>
          <w:lang w:val="en-US"/>
        </w:rPr>
      </w:pPr>
    </w:p>
    <w:p w14:paraId="64ACC5EF" w14:textId="77777777" w:rsidR="0014546C" w:rsidRDefault="0014546C" w:rsidP="0014546C">
      <w:pPr>
        <w:jc w:val="both"/>
        <w:rPr>
          <w:rFonts w:cstheme="minorHAnsi"/>
          <w:sz w:val="22"/>
          <w:szCs w:val="22"/>
          <w:lang w:val="en-US"/>
        </w:rPr>
      </w:pPr>
    </w:p>
    <w:p w14:paraId="53324ACC" w14:textId="77777777" w:rsidR="0014546C" w:rsidRDefault="0014546C" w:rsidP="0014546C">
      <w:pPr>
        <w:jc w:val="both"/>
        <w:rPr>
          <w:rFonts w:cstheme="minorHAnsi"/>
          <w:sz w:val="22"/>
          <w:szCs w:val="22"/>
          <w:lang w:val="en-US"/>
        </w:rPr>
      </w:pPr>
    </w:p>
    <w:p w14:paraId="4B6C604E" w14:textId="77777777" w:rsidR="0014546C" w:rsidRDefault="0014546C" w:rsidP="0014546C">
      <w:pPr>
        <w:jc w:val="both"/>
        <w:rPr>
          <w:rFonts w:cstheme="minorHAnsi"/>
          <w:sz w:val="22"/>
          <w:szCs w:val="22"/>
          <w:lang w:val="en-US"/>
        </w:rPr>
      </w:pPr>
      <w:r>
        <w:rPr>
          <w:rFonts w:cstheme="minorHAnsi"/>
          <w:sz w:val="22"/>
          <w:szCs w:val="22"/>
          <w:lang w:val="en-US"/>
        </w:rPr>
        <w:t>Table 1-SI: Number of expected earthquakes above various M</w:t>
      </w:r>
      <w:r>
        <w:rPr>
          <w:rFonts w:cstheme="minorHAnsi"/>
          <w:sz w:val="22"/>
          <w:szCs w:val="22"/>
          <w:vertAlign w:val="subscript"/>
          <w:lang w:val="en-US"/>
        </w:rPr>
        <w:t>d</w:t>
      </w:r>
      <w:r>
        <w:rPr>
          <w:rFonts w:cstheme="minorHAnsi"/>
          <w:sz w:val="22"/>
          <w:szCs w:val="22"/>
          <w:lang w:val="en-US"/>
        </w:rPr>
        <w:t xml:space="preserve"> thresholds in a population of 2,000 events with M</w:t>
      </w:r>
      <w:r>
        <w:rPr>
          <w:rFonts w:cstheme="minorHAnsi"/>
          <w:sz w:val="22"/>
          <w:szCs w:val="22"/>
          <w:vertAlign w:val="subscript"/>
          <w:lang w:val="en-US"/>
        </w:rPr>
        <w:t>d</w:t>
      </w:r>
      <w:r>
        <w:rPr>
          <w:rFonts w:cstheme="minorHAnsi"/>
          <w:sz w:val="22"/>
          <w:szCs w:val="22"/>
          <w:lang w:val="en-US"/>
        </w:rPr>
        <w:t xml:space="preserve"> &gt; 0.5, as a function of the </w:t>
      </w:r>
      <w:r>
        <w:rPr>
          <w:rFonts w:cstheme="minorHAnsi"/>
          <w:i/>
          <w:sz w:val="22"/>
          <w:szCs w:val="22"/>
          <w:lang w:val="en-US"/>
        </w:rPr>
        <w:t>b</w:t>
      </w:r>
      <w:r>
        <w:rPr>
          <w:rFonts w:cstheme="minorHAnsi"/>
          <w:sz w:val="22"/>
          <w:szCs w:val="22"/>
          <w:lang w:val="en-US"/>
        </w:rPr>
        <w:t>-value. Values in red are related to magnitude greater than M</w:t>
      </w:r>
      <w:r>
        <w:rPr>
          <w:rFonts w:cstheme="minorHAnsi"/>
          <w:sz w:val="22"/>
          <w:szCs w:val="22"/>
          <w:vertAlign w:val="subscript"/>
          <w:lang w:val="en-US"/>
        </w:rPr>
        <w:t>d</w:t>
      </w:r>
      <w:r>
        <w:rPr>
          <w:rFonts w:cstheme="minorHAnsi"/>
          <w:sz w:val="22"/>
          <w:szCs w:val="22"/>
          <w:lang w:val="en-US"/>
        </w:rPr>
        <w:t xml:space="preserve"> = 4.2, the maximum magnitude observed and used in the regression of the Gutenberg-Richter law. The standard deviation </w:t>
      </w:r>
      <w:r>
        <w:rPr>
          <w:rFonts w:ascii="Calibri" w:eastAsia="Times New Roman" w:hAnsi="Calibri" w:cs="Calibri"/>
          <w:color w:val="000000"/>
          <w:sz w:val="22"/>
          <w:szCs w:val="22"/>
          <w:lang w:val="en-US"/>
        </w:rPr>
        <w:t xml:space="preserve">σ of the </w:t>
      </w:r>
      <w:r>
        <w:rPr>
          <w:rFonts w:cstheme="minorHAnsi"/>
          <w:i/>
          <w:sz w:val="22"/>
          <w:szCs w:val="22"/>
          <w:lang w:val="en-US"/>
        </w:rPr>
        <w:t>b</w:t>
      </w:r>
      <w:r>
        <w:rPr>
          <w:rFonts w:cstheme="minorHAnsi"/>
          <w:sz w:val="22"/>
          <w:szCs w:val="22"/>
          <w:lang w:val="en-US"/>
        </w:rPr>
        <w:t>-value determines the percentage error reported.</w:t>
      </w:r>
    </w:p>
    <w:p w14:paraId="17B77544" w14:textId="77777777" w:rsidR="0014546C" w:rsidRDefault="0014546C" w:rsidP="0014546C">
      <w:pPr>
        <w:jc w:val="center"/>
        <w:rPr>
          <w:rFonts w:cstheme="minorHAnsi"/>
          <w:sz w:val="22"/>
          <w:szCs w:val="22"/>
          <w:lang w:val="en-US"/>
        </w:rPr>
      </w:pPr>
    </w:p>
    <w:tbl>
      <w:tblPr>
        <w:tblW w:w="7420" w:type="dxa"/>
        <w:tblInd w:w="1232" w:type="dxa"/>
        <w:tblLook w:val="04A0" w:firstRow="1" w:lastRow="0" w:firstColumn="1" w:lastColumn="0" w:noHBand="0" w:noVBand="1"/>
      </w:tblPr>
      <w:tblGrid>
        <w:gridCol w:w="1060"/>
        <w:gridCol w:w="1060"/>
        <w:gridCol w:w="1060"/>
        <w:gridCol w:w="1060"/>
        <w:gridCol w:w="1060"/>
        <w:gridCol w:w="1060"/>
        <w:gridCol w:w="1060"/>
      </w:tblGrid>
      <w:tr w:rsidR="0014546C" w14:paraId="54BA9FB6" w14:textId="77777777" w:rsidTr="0014546C">
        <w:trPr>
          <w:trHeight w:val="293"/>
        </w:trPr>
        <w:tc>
          <w:tcPr>
            <w:tcW w:w="1060" w:type="dxa"/>
            <w:noWrap/>
            <w:vAlign w:val="bottom"/>
            <w:hideMark/>
          </w:tcPr>
          <w:p w14:paraId="741A7EE0" w14:textId="77777777" w:rsidR="0014546C" w:rsidRDefault="0014546C">
            <w:pPr>
              <w:rPr>
                <w:rFonts w:cstheme="minorHAnsi"/>
                <w:sz w:val="22"/>
                <w:szCs w:val="22"/>
                <w:lang w:val="en-US"/>
              </w:rPr>
            </w:pPr>
          </w:p>
        </w:tc>
        <w:tc>
          <w:tcPr>
            <w:tcW w:w="1060" w:type="dxa"/>
            <w:tcBorders>
              <w:top w:val="single" w:sz="4" w:space="0" w:color="auto"/>
              <w:left w:val="single" w:sz="4" w:space="0" w:color="auto"/>
              <w:bottom w:val="nil"/>
              <w:right w:val="nil"/>
            </w:tcBorders>
            <w:noWrap/>
            <w:vAlign w:val="bottom"/>
            <w:hideMark/>
          </w:tcPr>
          <w:p w14:paraId="37825B06"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i/>
                <w:color w:val="000000"/>
                <w:sz w:val="22"/>
                <w:szCs w:val="22"/>
                <w:lang w:val="en-US"/>
              </w:rPr>
              <w:t>b</w:t>
            </w:r>
            <w:r>
              <w:rPr>
                <w:rFonts w:ascii="Calibri" w:eastAsia="Times New Roman" w:hAnsi="Calibri" w:cs="Calibri"/>
                <w:color w:val="000000"/>
                <w:sz w:val="22"/>
                <w:szCs w:val="22"/>
                <w:lang w:val="en-US"/>
              </w:rPr>
              <w:t xml:space="preserve"> value</w:t>
            </w:r>
          </w:p>
        </w:tc>
        <w:tc>
          <w:tcPr>
            <w:tcW w:w="1060" w:type="dxa"/>
            <w:tcBorders>
              <w:top w:val="single" w:sz="4" w:space="0" w:color="auto"/>
              <w:left w:val="nil"/>
              <w:bottom w:val="nil"/>
              <w:right w:val="single" w:sz="4" w:space="0" w:color="auto"/>
            </w:tcBorders>
            <w:noWrap/>
            <w:vAlign w:val="bottom"/>
            <w:hideMark/>
          </w:tcPr>
          <w:p w14:paraId="1EEAD491"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σ</w:t>
            </w:r>
          </w:p>
        </w:tc>
        <w:tc>
          <w:tcPr>
            <w:tcW w:w="1060" w:type="dxa"/>
            <w:tcBorders>
              <w:top w:val="single" w:sz="4" w:space="0" w:color="auto"/>
              <w:left w:val="nil"/>
              <w:bottom w:val="nil"/>
              <w:right w:val="nil"/>
            </w:tcBorders>
            <w:noWrap/>
            <w:vAlign w:val="bottom"/>
            <w:hideMark/>
          </w:tcPr>
          <w:p w14:paraId="31E97AEB"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i/>
                <w:color w:val="000000"/>
                <w:sz w:val="22"/>
                <w:szCs w:val="22"/>
                <w:lang w:val="en-US"/>
              </w:rPr>
              <w:t>b</w:t>
            </w:r>
            <w:r>
              <w:rPr>
                <w:rFonts w:ascii="Calibri" w:eastAsia="Times New Roman" w:hAnsi="Calibri" w:cs="Calibri"/>
                <w:color w:val="000000"/>
                <w:sz w:val="22"/>
                <w:szCs w:val="22"/>
                <w:lang w:val="en-US"/>
              </w:rPr>
              <w:t xml:space="preserve"> value</w:t>
            </w:r>
          </w:p>
        </w:tc>
        <w:tc>
          <w:tcPr>
            <w:tcW w:w="1060" w:type="dxa"/>
            <w:tcBorders>
              <w:top w:val="single" w:sz="4" w:space="0" w:color="auto"/>
              <w:left w:val="nil"/>
              <w:bottom w:val="nil"/>
              <w:right w:val="single" w:sz="4" w:space="0" w:color="auto"/>
            </w:tcBorders>
            <w:noWrap/>
            <w:vAlign w:val="bottom"/>
            <w:hideMark/>
          </w:tcPr>
          <w:p w14:paraId="651D64B5"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σ</w:t>
            </w:r>
          </w:p>
        </w:tc>
        <w:tc>
          <w:tcPr>
            <w:tcW w:w="1060" w:type="dxa"/>
            <w:tcBorders>
              <w:top w:val="single" w:sz="4" w:space="0" w:color="auto"/>
              <w:left w:val="nil"/>
              <w:bottom w:val="nil"/>
              <w:right w:val="nil"/>
            </w:tcBorders>
            <w:noWrap/>
            <w:vAlign w:val="bottom"/>
            <w:hideMark/>
          </w:tcPr>
          <w:p w14:paraId="33AD5DB4"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i/>
                <w:color w:val="000000"/>
                <w:sz w:val="22"/>
                <w:szCs w:val="22"/>
                <w:lang w:val="en-US"/>
              </w:rPr>
              <w:t>b</w:t>
            </w:r>
            <w:r>
              <w:rPr>
                <w:rFonts w:ascii="Calibri" w:eastAsia="Times New Roman" w:hAnsi="Calibri" w:cs="Calibri"/>
                <w:color w:val="000000"/>
                <w:sz w:val="22"/>
                <w:szCs w:val="22"/>
                <w:lang w:val="en-US"/>
              </w:rPr>
              <w:t xml:space="preserve"> value</w:t>
            </w:r>
          </w:p>
        </w:tc>
        <w:tc>
          <w:tcPr>
            <w:tcW w:w="1060" w:type="dxa"/>
            <w:tcBorders>
              <w:top w:val="single" w:sz="4" w:space="0" w:color="auto"/>
              <w:left w:val="nil"/>
              <w:bottom w:val="nil"/>
              <w:right w:val="single" w:sz="4" w:space="0" w:color="auto"/>
            </w:tcBorders>
            <w:noWrap/>
            <w:vAlign w:val="bottom"/>
            <w:hideMark/>
          </w:tcPr>
          <w:p w14:paraId="1CF09617"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σ</w:t>
            </w:r>
          </w:p>
        </w:tc>
      </w:tr>
      <w:tr w:rsidR="0014546C" w14:paraId="35BF2694" w14:textId="77777777" w:rsidTr="0014546C">
        <w:trPr>
          <w:trHeight w:val="293"/>
        </w:trPr>
        <w:tc>
          <w:tcPr>
            <w:tcW w:w="1060" w:type="dxa"/>
            <w:tcBorders>
              <w:top w:val="single" w:sz="4" w:space="0" w:color="auto"/>
              <w:left w:val="single" w:sz="4" w:space="0" w:color="auto"/>
              <w:bottom w:val="nil"/>
              <w:right w:val="single" w:sz="4" w:space="0" w:color="auto"/>
            </w:tcBorders>
            <w:noWrap/>
            <w:vAlign w:val="bottom"/>
            <w:hideMark/>
          </w:tcPr>
          <w:p w14:paraId="168DDB2B"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M</w:t>
            </w:r>
            <w:r>
              <w:rPr>
                <w:rFonts w:ascii="Calibri" w:eastAsia="Times New Roman" w:hAnsi="Calibri" w:cs="Calibri"/>
                <w:color w:val="000000"/>
                <w:sz w:val="22"/>
                <w:szCs w:val="22"/>
                <w:vertAlign w:val="subscript"/>
                <w:lang w:val="en-US"/>
              </w:rPr>
              <w:t>d</w:t>
            </w:r>
            <w:r>
              <w:rPr>
                <w:rFonts w:ascii="Calibri" w:eastAsia="Times New Roman" w:hAnsi="Calibri" w:cs="Calibri"/>
                <w:color w:val="000000"/>
                <w:sz w:val="22"/>
                <w:szCs w:val="22"/>
                <w:lang w:val="en-US"/>
              </w:rPr>
              <w:t xml:space="preserve"> </w:t>
            </w:r>
            <w:proofErr w:type="spellStart"/>
            <w:r>
              <w:rPr>
                <w:rFonts w:ascii="Calibri" w:eastAsia="Times New Roman" w:hAnsi="Calibri" w:cs="Calibri"/>
                <w:color w:val="000000"/>
                <w:sz w:val="22"/>
                <w:szCs w:val="22"/>
                <w:lang w:val="en-US"/>
              </w:rPr>
              <w:t>thr</w:t>
            </w:r>
            <w:proofErr w:type="spellEnd"/>
            <w:r>
              <w:rPr>
                <w:rFonts w:ascii="Calibri" w:eastAsia="Times New Roman" w:hAnsi="Calibri" w:cs="Calibri"/>
                <w:color w:val="000000"/>
                <w:sz w:val="22"/>
                <w:szCs w:val="22"/>
                <w:lang w:val="en-US"/>
              </w:rPr>
              <w:t>.</w:t>
            </w:r>
          </w:p>
        </w:tc>
        <w:tc>
          <w:tcPr>
            <w:tcW w:w="1060" w:type="dxa"/>
            <w:noWrap/>
            <w:vAlign w:val="bottom"/>
            <w:hideMark/>
          </w:tcPr>
          <w:p w14:paraId="5B1DB020"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0.829</w:t>
            </w:r>
          </w:p>
        </w:tc>
        <w:tc>
          <w:tcPr>
            <w:tcW w:w="1060" w:type="dxa"/>
            <w:tcBorders>
              <w:top w:val="nil"/>
              <w:left w:val="nil"/>
              <w:bottom w:val="nil"/>
              <w:right w:val="single" w:sz="4" w:space="0" w:color="auto"/>
            </w:tcBorders>
            <w:noWrap/>
            <w:vAlign w:val="bottom"/>
            <w:hideMark/>
          </w:tcPr>
          <w:p w14:paraId="1CFA9B9C"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0.014</w:t>
            </w:r>
          </w:p>
        </w:tc>
        <w:tc>
          <w:tcPr>
            <w:tcW w:w="1060" w:type="dxa"/>
            <w:noWrap/>
            <w:vAlign w:val="bottom"/>
            <w:hideMark/>
          </w:tcPr>
          <w:p w14:paraId="55307D4C"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0.869</w:t>
            </w:r>
          </w:p>
        </w:tc>
        <w:tc>
          <w:tcPr>
            <w:tcW w:w="1060" w:type="dxa"/>
            <w:tcBorders>
              <w:top w:val="nil"/>
              <w:left w:val="nil"/>
              <w:bottom w:val="nil"/>
              <w:right w:val="single" w:sz="4" w:space="0" w:color="auto"/>
            </w:tcBorders>
            <w:noWrap/>
            <w:vAlign w:val="bottom"/>
            <w:hideMark/>
          </w:tcPr>
          <w:p w14:paraId="4043AD58"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0.014</w:t>
            </w:r>
          </w:p>
        </w:tc>
        <w:tc>
          <w:tcPr>
            <w:tcW w:w="1060" w:type="dxa"/>
            <w:noWrap/>
            <w:vAlign w:val="bottom"/>
            <w:hideMark/>
          </w:tcPr>
          <w:p w14:paraId="7F5DCF8C"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0.947</w:t>
            </w:r>
          </w:p>
        </w:tc>
        <w:tc>
          <w:tcPr>
            <w:tcW w:w="1060" w:type="dxa"/>
            <w:tcBorders>
              <w:top w:val="nil"/>
              <w:left w:val="nil"/>
              <w:bottom w:val="nil"/>
              <w:right w:val="single" w:sz="4" w:space="0" w:color="auto"/>
            </w:tcBorders>
            <w:noWrap/>
            <w:vAlign w:val="bottom"/>
            <w:hideMark/>
          </w:tcPr>
          <w:p w14:paraId="4CF0321B"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0.024</w:t>
            </w:r>
          </w:p>
        </w:tc>
      </w:tr>
      <w:tr w:rsidR="0014546C" w14:paraId="1049116B" w14:textId="77777777" w:rsidTr="0014546C">
        <w:trPr>
          <w:trHeight w:val="293"/>
        </w:trPr>
        <w:tc>
          <w:tcPr>
            <w:tcW w:w="1060" w:type="dxa"/>
            <w:tcBorders>
              <w:top w:val="single" w:sz="4" w:space="0" w:color="auto"/>
              <w:left w:val="single" w:sz="4" w:space="0" w:color="auto"/>
              <w:bottom w:val="nil"/>
              <w:right w:val="single" w:sz="4" w:space="0" w:color="auto"/>
            </w:tcBorders>
            <w:noWrap/>
            <w:vAlign w:val="bottom"/>
            <w:hideMark/>
          </w:tcPr>
          <w:p w14:paraId="0137BD68"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2.5</w:t>
            </w:r>
          </w:p>
        </w:tc>
        <w:tc>
          <w:tcPr>
            <w:tcW w:w="1060" w:type="dxa"/>
            <w:tcBorders>
              <w:top w:val="single" w:sz="4" w:space="0" w:color="auto"/>
              <w:left w:val="nil"/>
              <w:bottom w:val="nil"/>
              <w:right w:val="nil"/>
            </w:tcBorders>
            <w:noWrap/>
            <w:vAlign w:val="bottom"/>
            <w:hideMark/>
          </w:tcPr>
          <w:p w14:paraId="5269F6C0"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53</w:t>
            </w:r>
          </w:p>
        </w:tc>
        <w:tc>
          <w:tcPr>
            <w:tcW w:w="1060" w:type="dxa"/>
            <w:tcBorders>
              <w:top w:val="single" w:sz="4" w:space="0" w:color="auto"/>
              <w:left w:val="nil"/>
              <w:bottom w:val="nil"/>
              <w:right w:val="single" w:sz="4" w:space="0" w:color="auto"/>
            </w:tcBorders>
            <w:noWrap/>
            <w:vAlign w:val="bottom"/>
            <w:hideMark/>
          </w:tcPr>
          <w:p w14:paraId="462C17E4"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6%</w:t>
            </w:r>
          </w:p>
        </w:tc>
        <w:tc>
          <w:tcPr>
            <w:tcW w:w="1060" w:type="dxa"/>
            <w:tcBorders>
              <w:top w:val="single" w:sz="4" w:space="0" w:color="auto"/>
              <w:left w:val="nil"/>
              <w:bottom w:val="nil"/>
              <w:right w:val="nil"/>
            </w:tcBorders>
            <w:noWrap/>
            <w:vAlign w:val="bottom"/>
            <w:hideMark/>
          </w:tcPr>
          <w:p w14:paraId="249D599A"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45</w:t>
            </w:r>
          </w:p>
        </w:tc>
        <w:tc>
          <w:tcPr>
            <w:tcW w:w="1060" w:type="dxa"/>
            <w:tcBorders>
              <w:top w:val="single" w:sz="4" w:space="0" w:color="auto"/>
              <w:left w:val="nil"/>
              <w:bottom w:val="nil"/>
              <w:right w:val="single" w:sz="4" w:space="0" w:color="auto"/>
            </w:tcBorders>
            <w:noWrap/>
            <w:vAlign w:val="bottom"/>
            <w:hideMark/>
          </w:tcPr>
          <w:p w14:paraId="43831F45"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6%</w:t>
            </w:r>
          </w:p>
        </w:tc>
        <w:tc>
          <w:tcPr>
            <w:tcW w:w="1060" w:type="dxa"/>
            <w:tcBorders>
              <w:top w:val="single" w:sz="4" w:space="0" w:color="auto"/>
              <w:left w:val="nil"/>
              <w:bottom w:val="nil"/>
              <w:right w:val="nil"/>
            </w:tcBorders>
            <w:noWrap/>
            <w:vAlign w:val="bottom"/>
            <w:hideMark/>
          </w:tcPr>
          <w:p w14:paraId="185367FF"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32</w:t>
            </w:r>
          </w:p>
        </w:tc>
        <w:tc>
          <w:tcPr>
            <w:tcW w:w="1060" w:type="dxa"/>
            <w:tcBorders>
              <w:top w:val="single" w:sz="4" w:space="0" w:color="auto"/>
              <w:left w:val="nil"/>
              <w:bottom w:val="nil"/>
              <w:right w:val="single" w:sz="4" w:space="0" w:color="auto"/>
            </w:tcBorders>
            <w:noWrap/>
            <w:vAlign w:val="bottom"/>
            <w:hideMark/>
          </w:tcPr>
          <w:p w14:paraId="52C95184"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11%</w:t>
            </w:r>
          </w:p>
        </w:tc>
      </w:tr>
      <w:tr w:rsidR="0014546C" w14:paraId="4D052EE8" w14:textId="77777777" w:rsidTr="0014546C">
        <w:trPr>
          <w:trHeight w:val="293"/>
        </w:trPr>
        <w:tc>
          <w:tcPr>
            <w:tcW w:w="1060" w:type="dxa"/>
            <w:tcBorders>
              <w:top w:val="nil"/>
              <w:left w:val="single" w:sz="4" w:space="0" w:color="auto"/>
              <w:bottom w:val="nil"/>
              <w:right w:val="single" w:sz="4" w:space="0" w:color="auto"/>
            </w:tcBorders>
            <w:noWrap/>
            <w:vAlign w:val="bottom"/>
            <w:hideMark/>
          </w:tcPr>
          <w:p w14:paraId="5E2DEEE4"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2.8</w:t>
            </w:r>
          </w:p>
        </w:tc>
        <w:tc>
          <w:tcPr>
            <w:tcW w:w="1060" w:type="dxa"/>
            <w:noWrap/>
            <w:vAlign w:val="bottom"/>
            <w:hideMark/>
          </w:tcPr>
          <w:p w14:paraId="23328370"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30</w:t>
            </w:r>
          </w:p>
        </w:tc>
        <w:tc>
          <w:tcPr>
            <w:tcW w:w="1060" w:type="dxa"/>
            <w:tcBorders>
              <w:top w:val="nil"/>
              <w:left w:val="nil"/>
              <w:bottom w:val="nil"/>
              <w:right w:val="single" w:sz="4" w:space="0" w:color="auto"/>
            </w:tcBorders>
            <w:noWrap/>
            <w:vAlign w:val="bottom"/>
            <w:hideMark/>
          </w:tcPr>
          <w:p w14:paraId="63E914A9"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7%</w:t>
            </w:r>
          </w:p>
        </w:tc>
        <w:tc>
          <w:tcPr>
            <w:tcW w:w="1060" w:type="dxa"/>
            <w:noWrap/>
            <w:vAlign w:val="bottom"/>
            <w:hideMark/>
          </w:tcPr>
          <w:p w14:paraId="7FCA8157"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25</w:t>
            </w:r>
          </w:p>
        </w:tc>
        <w:tc>
          <w:tcPr>
            <w:tcW w:w="1060" w:type="dxa"/>
            <w:tcBorders>
              <w:top w:val="nil"/>
              <w:left w:val="nil"/>
              <w:bottom w:val="nil"/>
              <w:right w:val="single" w:sz="4" w:space="0" w:color="auto"/>
            </w:tcBorders>
            <w:noWrap/>
            <w:vAlign w:val="bottom"/>
            <w:hideMark/>
          </w:tcPr>
          <w:p w14:paraId="16D0E0AB"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7%</w:t>
            </w:r>
          </w:p>
        </w:tc>
        <w:tc>
          <w:tcPr>
            <w:tcW w:w="1060" w:type="dxa"/>
            <w:noWrap/>
            <w:vAlign w:val="bottom"/>
            <w:hideMark/>
          </w:tcPr>
          <w:p w14:paraId="6647AF8C"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17</w:t>
            </w:r>
          </w:p>
        </w:tc>
        <w:tc>
          <w:tcPr>
            <w:tcW w:w="1060" w:type="dxa"/>
            <w:tcBorders>
              <w:top w:val="nil"/>
              <w:left w:val="nil"/>
              <w:bottom w:val="nil"/>
              <w:right w:val="single" w:sz="4" w:space="0" w:color="auto"/>
            </w:tcBorders>
            <w:noWrap/>
            <w:vAlign w:val="bottom"/>
            <w:hideMark/>
          </w:tcPr>
          <w:p w14:paraId="67268D3C"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13%</w:t>
            </w:r>
          </w:p>
        </w:tc>
      </w:tr>
      <w:tr w:rsidR="0014546C" w14:paraId="1C896943" w14:textId="77777777" w:rsidTr="0014546C">
        <w:trPr>
          <w:trHeight w:val="293"/>
        </w:trPr>
        <w:tc>
          <w:tcPr>
            <w:tcW w:w="1060" w:type="dxa"/>
            <w:tcBorders>
              <w:top w:val="nil"/>
              <w:left w:val="single" w:sz="4" w:space="0" w:color="auto"/>
              <w:bottom w:val="nil"/>
              <w:right w:val="single" w:sz="4" w:space="0" w:color="auto"/>
            </w:tcBorders>
            <w:noWrap/>
            <w:vAlign w:val="bottom"/>
            <w:hideMark/>
          </w:tcPr>
          <w:p w14:paraId="5AE55AA3"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3.0</w:t>
            </w:r>
          </w:p>
        </w:tc>
        <w:tc>
          <w:tcPr>
            <w:tcW w:w="1060" w:type="dxa"/>
            <w:noWrap/>
            <w:vAlign w:val="bottom"/>
            <w:hideMark/>
          </w:tcPr>
          <w:p w14:paraId="2BD30FAF"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20</w:t>
            </w:r>
          </w:p>
        </w:tc>
        <w:tc>
          <w:tcPr>
            <w:tcW w:w="1060" w:type="dxa"/>
            <w:tcBorders>
              <w:top w:val="nil"/>
              <w:left w:val="nil"/>
              <w:bottom w:val="nil"/>
              <w:right w:val="single" w:sz="4" w:space="0" w:color="auto"/>
            </w:tcBorders>
            <w:noWrap/>
            <w:vAlign w:val="bottom"/>
            <w:hideMark/>
          </w:tcPr>
          <w:p w14:paraId="5B0D78B3"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8%</w:t>
            </w:r>
          </w:p>
        </w:tc>
        <w:tc>
          <w:tcPr>
            <w:tcW w:w="1060" w:type="dxa"/>
            <w:noWrap/>
            <w:vAlign w:val="bottom"/>
            <w:hideMark/>
          </w:tcPr>
          <w:p w14:paraId="2EDC59D9"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16</w:t>
            </w:r>
          </w:p>
        </w:tc>
        <w:tc>
          <w:tcPr>
            <w:tcW w:w="1060" w:type="dxa"/>
            <w:tcBorders>
              <w:top w:val="nil"/>
              <w:left w:val="nil"/>
              <w:bottom w:val="nil"/>
              <w:right w:val="single" w:sz="4" w:space="0" w:color="auto"/>
            </w:tcBorders>
            <w:noWrap/>
            <w:vAlign w:val="bottom"/>
            <w:hideMark/>
          </w:tcPr>
          <w:p w14:paraId="566FA61C"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8%</w:t>
            </w:r>
          </w:p>
        </w:tc>
        <w:tc>
          <w:tcPr>
            <w:tcW w:w="1060" w:type="dxa"/>
            <w:noWrap/>
            <w:vAlign w:val="bottom"/>
            <w:hideMark/>
          </w:tcPr>
          <w:p w14:paraId="14445691"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11</w:t>
            </w:r>
          </w:p>
        </w:tc>
        <w:tc>
          <w:tcPr>
            <w:tcW w:w="1060" w:type="dxa"/>
            <w:tcBorders>
              <w:top w:val="nil"/>
              <w:left w:val="nil"/>
              <w:bottom w:val="nil"/>
              <w:right w:val="single" w:sz="4" w:space="0" w:color="auto"/>
            </w:tcBorders>
            <w:noWrap/>
            <w:vAlign w:val="bottom"/>
            <w:hideMark/>
          </w:tcPr>
          <w:p w14:paraId="1CB9BCB7"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14%</w:t>
            </w:r>
          </w:p>
        </w:tc>
      </w:tr>
      <w:tr w:rsidR="0014546C" w14:paraId="19AB10CA" w14:textId="77777777" w:rsidTr="0014546C">
        <w:trPr>
          <w:trHeight w:val="293"/>
        </w:trPr>
        <w:tc>
          <w:tcPr>
            <w:tcW w:w="1060" w:type="dxa"/>
            <w:tcBorders>
              <w:top w:val="nil"/>
              <w:left w:val="single" w:sz="4" w:space="0" w:color="auto"/>
              <w:bottom w:val="nil"/>
              <w:right w:val="single" w:sz="4" w:space="0" w:color="auto"/>
            </w:tcBorders>
            <w:noWrap/>
            <w:vAlign w:val="bottom"/>
            <w:hideMark/>
          </w:tcPr>
          <w:p w14:paraId="5E97EC54"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3.2</w:t>
            </w:r>
          </w:p>
        </w:tc>
        <w:tc>
          <w:tcPr>
            <w:tcW w:w="1060" w:type="dxa"/>
            <w:noWrap/>
            <w:vAlign w:val="bottom"/>
            <w:hideMark/>
          </w:tcPr>
          <w:p w14:paraId="05524D2D"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14</w:t>
            </w:r>
          </w:p>
        </w:tc>
        <w:tc>
          <w:tcPr>
            <w:tcW w:w="1060" w:type="dxa"/>
            <w:tcBorders>
              <w:top w:val="nil"/>
              <w:left w:val="nil"/>
              <w:bottom w:val="nil"/>
              <w:right w:val="single" w:sz="4" w:space="0" w:color="auto"/>
            </w:tcBorders>
            <w:noWrap/>
            <w:vAlign w:val="bottom"/>
            <w:hideMark/>
          </w:tcPr>
          <w:p w14:paraId="41677816"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9%</w:t>
            </w:r>
          </w:p>
        </w:tc>
        <w:tc>
          <w:tcPr>
            <w:tcW w:w="1060" w:type="dxa"/>
            <w:noWrap/>
            <w:vAlign w:val="bottom"/>
            <w:hideMark/>
          </w:tcPr>
          <w:p w14:paraId="3976BB6F"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11</w:t>
            </w:r>
          </w:p>
        </w:tc>
        <w:tc>
          <w:tcPr>
            <w:tcW w:w="1060" w:type="dxa"/>
            <w:tcBorders>
              <w:top w:val="nil"/>
              <w:left w:val="nil"/>
              <w:bottom w:val="nil"/>
              <w:right w:val="single" w:sz="4" w:space="0" w:color="auto"/>
            </w:tcBorders>
            <w:noWrap/>
            <w:vAlign w:val="bottom"/>
            <w:hideMark/>
          </w:tcPr>
          <w:p w14:paraId="1B016A31"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9%</w:t>
            </w:r>
          </w:p>
        </w:tc>
        <w:tc>
          <w:tcPr>
            <w:tcW w:w="1060" w:type="dxa"/>
            <w:noWrap/>
            <w:vAlign w:val="bottom"/>
            <w:hideMark/>
          </w:tcPr>
          <w:p w14:paraId="20539D9D"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6.9</w:t>
            </w:r>
          </w:p>
        </w:tc>
        <w:tc>
          <w:tcPr>
            <w:tcW w:w="1060" w:type="dxa"/>
            <w:tcBorders>
              <w:top w:val="nil"/>
              <w:left w:val="nil"/>
              <w:bottom w:val="nil"/>
              <w:right w:val="single" w:sz="4" w:space="0" w:color="auto"/>
            </w:tcBorders>
            <w:noWrap/>
            <w:vAlign w:val="bottom"/>
            <w:hideMark/>
          </w:tcPr>
          <w:p w14:paraId="42D25246"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15%</w:t>
            </w:r>
          </w:p>
        </w:tc>
      </w:tr>
      <w:tr w:rsidR="0014546C" w14:paraId="750C5477" w14:textId="77777777" w:rsidTr="0014546C">
        <w:trPr>
          <w:trHeight w:val="293"/>
        </w:trPr>
        <w:tc>
          <w:tcPr>
            <w:tcW w:w="1060" w:type="dxa"/>
            <w:tcBorders>
              <w:top w:val="nil"/>
              <w:left w:val="single" w:sz="4" w:space="0" w:color="auto"/>
              <w:bottom w:val="nil"/>
              <w:right w:val="single" w:sz="4" w:space="0" w:color="auto"/>
            </w:tcBorders>
            <w:noWrap/>
            <w:vAlign w:val="bottom"/>
            <w:hideMark/>
          </w:tcPr>
          <w:p w14:paraId="52AFC230"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3.5</w:t>
            </w:r>
          </w:p>
        </w:tc>
        <w:tc>
          <w:tcPr>
            <w:tcW w:w="1060" w:type="dxa"/>
            <w:noWrap/>
            <w:vAlign w:val="bottom"/>
            <w:hideMark/>
          </w:tcPr>
          <w:p w14:paraId="3BB99D1B"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7.9</w:t>
            </w:r>
          </w:p>
        </w:tc>
        <w:tc>
          <w:tcPr>
            <w:tcW w:w="1060" w:type="dxa"/>
            <w:tcBorders>
              <w:top w:val="nil"/>
              <w:left w:val="nil"/>
              <w:bottom w:val="nil"/>
              <w:right w:val="single" w:sz="4" w:space="0" w:color="auto"/>
            </w:tcBorders>
            <w:noWrap/>
            <w:vAlign w:val="bottom"/>
            <w:hideMark/>
          </w:tcPr>
          <w:p w14:paraId="5ACCDD56"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10%</w:t>
            </w:r>
          </w:p>
        </w:tc>
        <w:tc>
          <w:tcPr>
            <w:tcW w:w="1060" w:type="dxa"/>
            <w:noWrap/>
            <w:vAlign w:val="bottom"/>
            <w:hideMark/>
          </w:tcPr>
          <w:p w14:paraId="005425DB"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6.0</w:t>
            </w:r>
          </w:p>
        </w:tc>
        <w:tc>
          <w:tcPr>
            <w:tcW w:w="1060" w:type="dxa"/>
            <w:tcBorders>
              <w:top w:val="nil"/>
              <w:left w:val="nil"/>
              <w:bottom w:val="nil"/>
              <w:right w:val="single" w:sz="4" w:space="0" w:color="auto"/>
            </w:tcBorders>
            <w:noWrap/>
            <w:vAlign w:val="bottom"/>
            <w:hideMark/>
          </w:tcPr>
          <w:p w14:paraId="373CEE78"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10%</w:t>
            </w:r>
          </w:p>
        </w:tc>
        <w:tc>
          <w:tcPr>
            <w:tcW w:w="1060" w:type="dxa"/>
            <w:noWrap/>
            <w:vAlign w:val="bottom"/>
            <w:hideMark/>
          </w:tcPr>
          <w:p w14:paraId="37953601"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3.6</w:t>
            </w:r>
          </w:p>
        </w:tc>
        <w:tc>
          <w:tcPr>
            <w:tcW w:w="1060" w:type="dxa"/>
            <w:tcBorders>
              <w:top w:val="nil"/>
              <w:left w:val="nil"/>
              <w:bottom w:val="nil"/>
              <w:right w:val="single" w:sz="4" w:space="0" w:color="auto"/>
            </w:tcBorders>
            <w:noWrap/>
            <w:vAlign w:val="bottom"/>
            <w:hideMark/>
          </w:tcPr>
          <w:p w14:paraId="7245A65E"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17%</w:t>
            </w:r>
          </w:p>
        </w:tc>
      </w:tr>
      <w:tr w:rsidR="0014546C" w14:paraId="3100D45A" w14:textId="77777777" w:rsidTr="0014546C">
        <w:trPr>
          <w:trHeight w:val="293"/>
        </w:trPr>
        <w:tc>
          <w:tcPr>
            <w:tcW w:w="1060" w:type="dxa"/>
            <w:tcBorders>
              <w:top w:val="nil"/>
              <w:left w:val="single" w:sz="4" w:space="0" w:color="auto"/>
              <w:bottom w:val="nil"/>
              <w:right w:val="single" w:sz="4" w:space="0" w:color="auto"/>
            </w:tcBorders>
            <w:noWrap/>
            <w:vAlign w:val="bottom"/>
            <w:hideMark/>
          </w:tcPr>
          <w:p w14:paraId="75113DDB"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3.8</w:t>
            </w:r>
          </w:p>
        </w:tc>
        <w:tc>
          <w:tcPr>
            <w:tcW w:w="1060" w:type="dxa"/>
            <w:noWrap/>
            <w:vAlign w:val="bottom"/>
            <w:hideMark/>
          </w:tcPr>
          <w:p w14:paraId="317EF8AA"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4.4</w:t>
            </w:r>
          </w:p>
        </w:tc>
        <w:tc>
          <w:tcPr>
            <w:tcW w:w="1060" w:type="dxa"/>
            <w:tcBorders>
              <w:top w:val="nil"/>
              <w:left w:val="nil"/>
              <w:bottom w:val="nil"/>
              <w:right w:val="single" w:sz="4" w:space="0" w:color="auto"/>
            </w:tcBorders>
            <w:noWrap/>
            <w:vAlign w:val="bottom"/>
            <w:hideMark/>
          </w:tcPr>
          <w:p w14:paraId="6F166035"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11%</w:t>
            </w:r>
          </w:p>
        </w:tc>
        <w:tc>
          <w:tcPr>
            <w:tcW w:w="1060" w:type="dxa"/>
            <w:noWrap/>
            <w:vAlign w:val="bottom"/>
            <w:hideMark/>
          </w:tcPr>
          <w:p w14:paraId="4875B1E9"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3.3</w:t>
            </w:r>
          </w:p>
        </w:tc>
        <w:tc>
          <w:tcPr>
            <w:tcW w:w="1060" w:type="dxa"/>
            <w:tcBorders>
              <w:top w:val="nil"/>
              <w:left w:val="nil"/>
              <w:bottom w:val="nil"/>
              <w:right w:val="single" w:sz="4" w:space="0" w:color="auto"/>
            </w:tcBorders>
            <w:noWrap/>
            <w:vAlign w:val="bottom"/>
            <w:hideMark/>
          </w:tcPr>
          <w:p w14:paraId="66371DC5"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11%</w:t>
            </w:r>
          </w:p>
        </w:tc>
        <w:tc>
          <w:tcPr>
            <w:tcW w:w="1060" w:type="dxa"/>
            <w:noWrap/>
            <w:vAlign w:val="bottom"/>
            <w:hideMark/>
          </w:tcPr>
          <w:p w14:paraId="6B7DFE82"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1.9</w:t>
            </w:r>
          </w:p>
        </w:tc>
        <w:tc>
          <w:tcPr>
            <w:tcW w:w="1060" w:type="dxa"/>
            <w:tcBorders>
              <w:top w:val="nil"/>
              <w:left w:val="nil"/>
              <w:bottom w:val="nil"/>
              <w:right w:val="single" w:sz="4" w:space="0" w:color="auto"/>
            </w:tcBorders>
            <w:noWrap/>
            <w:vAlign w:val="bottom"/>
            <w:hideMark/>
          </w:tcPr>
          <w:p w14:paraId="5B99A94D"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19%</w:t>
            </w:r>
          </w:p>
        </w:tc>
      </w:tr>
      <w:tr w:rsidR="0014546C" w14:paraId="112ACC1B" w14:textId="77777777" w:rsidTr="0014546C">
        <w:trPr>
          <w:trHeight w:val="293"/>
        </w:trPr>
        <w:tc>
          <w:tcPr>
            <w:tcW w:w="1060" w:type="dxa"/>
            <w:tcBorders>
              <w:top w:val="nil"/>
              <w:left w:val="single" w:sz="4" w:space="0" w:color="auto"/>
              <w:bottom w:val="nil"/>
              <w:right w:val="single" w:sz="4" w:space="0" w:color="auto"/>
            </w:tcBorders>
            <w:noWrap/>
            <w:vAlign w:val="bottom"/>
            <w:hideMark/>
          </w:tcPr>
          <w:p w14:paraId="07DF5152"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4.0</w:t>
            </w:r>
          </w:p>
        </w:tc>
        <w:tc>
          <w:tcPr>
            <w:tcW w:w="1060" w:type="dxa"/>
            <w:noWrap/>
            <w:vAlign w:val="bottom"/>
            <w:hideMark/>
          </w:tcPr>
          <w:p w14:paraId="1D3F7B5A"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3.0</w:t>
            </w:r>
          </w:p>
        </w:tc>
        <w:tc>
          <w:tcPr>
            <w:tcW w:w="1060" w:type="dxa"/>
            <w:tcBorders>
              <w:top w:val="nil"/>
              <w:left w:val="nil"/>
              <w:bottom w:val="nil"/>
              <w:right w:val="single" w:sz="4" w:space="0" w:color="auto"/>
            </w:tcBorders>
            <w:noWrap/>
            <w:vAlign w:val="bottom"/>
            <w:hideMark/>
          </w:tcPr>
          <w:p w14:paraId="276BE6E4"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12%</w:t>
            </w:r>
          </w:p>
        </w:tc>
        <w:tc>
          <w:tcPr>
            <w:tcW w:w="1060" w:type="dxa"/>
            <w:noWrap/>
            <w:vAlign w:val="bottom"/>
            <w:hideMark/>
          </w:tcPr>
          <w:p w14:paraId="71857F55"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2.2</w:t>
            </w:r>
          </w:p>
        </w:tc>
        <w:tc>
          <w:tcPr>
            <w:tcW w:w="1060" w:type="dxa"/>
            <w:tcBorders>
              <w:top w:val="nil"/>
              <w:left w:val="nil"/>
              <w:bottom w:val="nil"/>
              <w:right w:val="single" w:sz="4" w:space="0" w:color="auto"/>
            </w:tcBorders>
            <w:noWrap/>
            <w:vAlign w:val="bottom"/>
            <w:hideMark/>
          </w:tcPr>
          <w:p w14:paraId="2972DD29"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12%</w:t>
            </w:r>
          </w:p>
        </w:tc>
        <w:tc>
          <w:tcPr>
            <w:tcW w:w="1060" w:type="dxa"/>
            <w:noWrap/>
            <w:vAlign w:val="bottom"/>
            <w:hideMark/>
          </w:tcPr>
          <w:p w14:paraId="369B3C58"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1.2</w:t>
            </w:r>
          </w:p>
        </w:tc>
        <w:tc>
          <w:tcPr>
            <w:tcW w:w="1060" w:type="dxa"/>
            <w:tcBorders>
              <w:top w:val="nil"/>
              <w:left w:val="nil"/>
              <w:bottom w:val="nil"/>
              <w:right w:val="single" w:sz="4" w:space="0" w:color="auto"/>
            </w:tcBorders>
            <w:noWrap/>
            <w:vAlign w:val="bottom"/>
            <w:hideMark/>
          </w:tcPr>
          <w:p w14:paraId="7C66DC9F"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21%</w:t>
            </w:r>
          </w:p>
        </w:tc>
      </w:tr>
      <w:tr w:rsidR="0014546C" w14:paraId="279DFEF0" w14:textId="77777777" w:rsidTr="0014546C">
        <w:trPr>
          <w:trHeight w:val="293"/>
        </w:trPr>
        <w:tc>
          <w:tcPr>
            <w:tcW w:w="1060" w:type="dxa"/>
            <w:tcBorders>
              <w:top w:val="nil"/>
              <w:left w:val="single" w:sz="4" w:space="0" w:color="auto"/>
              <w:bottom w:val="nil"/>
              <w:right w:val="single" w:sz="4" w:space="0" w:color="auto"/>
            </w:tcBorders>
            <w:noWrap/>
            <w:vAlign w:val="bottom"/>
            <w:hideMark/>
          </w:tcPr>
          <w:p w14:paraId="31E4E387"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4.2</w:t>
            </w:r>
          </w:p>
        </w:tc>
        <w:tc>
          <w:tcPr>
            <w:tcW w:w="1060" w:type="dxa"/>
            <w:noWrap/>
            <w:vAlign w:val="bottom"/>
            <w:hideMark/>
          </w:tcPr>
          <w:p w14:paraId="34F982F7"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2.1</w:t>
            </w:r>
          </w:p>
        </w:tc>
        <w:tc>
          <w:tcPr>
            <w:tcW w:w="1060" w:type="dxa"/>
            <w:tcBorders>
              <w:top w:val="nil"/>
              <w:left w:val="nil"/>
              <w:bottom w:val="nil"/>
              <w:right w:val="single" w:sz="4" w:space="0" w:color="auto"/>
            </w:tcBorders>
            <w:noWrap/>
            <w:vAlign w:val="bottom"/>
            <w:hideMark/>
          </w:tcPr>
          <w:p w14:paraId="63221E29"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12%</w:t>
            </w:r>
          </w:p>
        </w:tc>
        <w:tc>
          <w:tcPr>
            <w:tcW w:w="1060" w:type="dxa"/>
            <w:noWrap/>
            <w:vAlign w:val="bottom"/>
            <w:hideMark/>
          </w:tcPr>
          <w:p w14:paraId="2EEC0255"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1.5</w:t>
            </w:r>
          </w:p>
        </w:tc>
        <w:tc>
          <w:tcPr>
            <w:tcW w:w="1060" w:type="dxa"/>
            <w:tcBorders>
              <w:top w:val="nil"/>
              <w:left w:val="nil"/>
              <w:bottom w:val="nil"/>
              <w:right w:val="single" w:sz="4" w:space="0" w:color="auto"/>
            </w:tcBorders>
            <w:noWrap/>
            <w:vAlign w:val="bottom"/>
            <w:hideMark/>
          </w:tcPr>
          <w:p w14:paraId="2F223EE3"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12%</w:t>
            </w:r>
          </w:p>
        </w:tc>
        <w:tc>
          <w:tcPr>
            <w:tcW w:w="1060" w:type="dxa"/>
            <w:noWrap/>
            <w:vAlign w:val="bottom"/>
            <w:hideMark/>
          </w:tcPr>
          <w:p w14:paraId="4FD3534B"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0.78</w:t>
            </w:r>
          </w:p>
        </w:tc>
        <w:tc>
          <w:tcPr>
            <w:tcW w:w="1060" w:type="dxa"/>
            <w:tcBorders>
              <w:top w:val="nil"/>
              <w:left w:val="nil"/>
              <w:bottom w:val="nil"/>
              <w:right w:val="single" w:sz="4" w:space="0" w:color="auto"/>
            </w:tcBorders>
            <w:noWrap/>
            <w:vAlign w:val="bottom"/>
            <w:hideMark/>
          </w:tcPr>
          <w:p w14:paraId="792F535D" w14:textId="77777777" w:rsidR="0014546C" w:rsidRDefault="0014546C">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22%</w:t>
            </w:r>
          </w:p>
        </w:tc>
      </w:tr>
      <w:tr w:rsidR="0014546C" w14:paraId="7DE24376" w14:textId="77777777" w:rsidTr="0014546C">
        <w:trPr>
          <w:trHeight w:val="293"/>
        </w:trPr>
        <w:tc>
          <w:tcPr>
            <w:tcW w:w="1060" w:type="dxa"/>
            <w:tcBorders>
              <w:top w:val="single" w:sz="4" w:space="0" w:color="auto"/>
              <w:left w:val="single" w:sz="4" w:space="0" w:color="auto"/>
              <w:bottom w:val="nil"/>
              <w:right w:val="single" w:sz="4" w:space="0" w:color="auto"/>
            </w:tcBorders>
            <w:noWrap/>
            <w:vAlign w:val="bottom"/>
            <w:hideMark/>
          </w:tcPr>
          <w:p w14:paraId="734A033E" w14:textId="77777777" w:rsidR="0014546C" w:rsidRDefault="0014546C">
            <w:pPr>
              <w:jc w:val="center"/>
              <w:rPr>
                <w:rFonts w:ascii="Calibri" w:eastAsia="Times New Roman" w:hAnsi="Calibri" w:cs="Calibri"/>
                <w:color w:val="FF0000"/>
                <w:sz w:val="22"/>
                <w:szCs w:val="22"/>
                <w:lang w:val="en-US"/>
              </w:rPr>
            </w:pPr>
            <w:r>
              <w:rPr>
                <w:rFonts w:ascii="Calibri" w:eastAsia="Times New Roman" w:hAnsi="Calibri" w:cs="Calibri"/>
                <w:color w:val="FF0000"/>
                <w:sz w:val="22"/>
                <w:szCs w:val="22"/>
                <w:lang w:val="en-US"/>
              </w:rPr>
              <w:t>4.5</w:t>
            </w:r>
          </w:p>
        </w:tc>
        <w:tc>
          <w:tcPr>
            <w:tcW w:w="1060" w:type="dxa"/>
            <w:tcBorders>
              <w:top w:val="single" w:sz="4" w:space="0" w:color="auto"/>
              <w:left w:val="nil"/>
              <w:bottom w:val="nil"/>
              <w:right w:val="nil"/>
            </w:tcBorders>
            <w:noWrap/>
            <w:vAlign w:val="bottom"/>
            <w:hideMark/>
          </w:tcPr>
          <w:p w14:paraId="796B5B5B" w14:textId="77777777" w:rsidR="0014546C" w:rsidRDefault="0014546C">
            <w:pPr>
              <w:jc w:val="center"/>
              <w:rPr>
                <w:rFonts w:ascii="Calibri" w:eastAsia="Times New Roman" w:hAnsi="Calibri" w:cs="Calibri"/>
                <w:color w:val="FF0000"/>
                <w:sz w:val="22"/>
                <w:szCs w:val="22"/>
                <w:lang w:val="en-US"/>
              </w:rPr>
            </w:pPr>
            <w:r>
              <w:rPr>
                <w:rFonts w:ascii="Calibri" w:eastAsia="Times New Roman" w:hAnsi="Calibri" w:cs="Calibri"/>
                <w:color w:val="FF0000"/>
                <w:sz w:val="22"/>
                <w:szCs w:val="22"/>
                <w:lang w:val="en-US"/>
              </w:rPr>
              <w:t>1.2</w:t>
            </w:r>
          </w:p>
        </w:tc>
        <w:tc>
          <w:tcPr>
            <w:tcW w:w="1060" w:type="dxa"/>
            <w:tcBorders>
              <w:top w:val="single" w:sz="4" w:space="0" w:color="auto"/>
              <w:left w:val="nil"/>
              <w:bottom w:val="nil"/>
              <w:right w:val="single" w:sz="4" w:space="0" w:color="auto"/>
            </w:tcBorders>
            <w:noWrap/>
            <w:vAlign w:val="bottom"/>
            <w:hideMark/>
          </w:tcPr>
          <w:p w14:paraId="269C9963" w14:textId="77777777" w:rsidR="0014546C" w:rsidRDefault="0014546C">
            <w:pPr>
              <w:jc w:val="center"/>
              <w:rPr>
                <w:rFonts w:ascii="Calibri" w:eastAsia="Times New Roman" w:hAnsi="Calibri" w:cs="Calibri"/>
                <w:color w:val="FF0000"/>
                <w:sz w:val="22"/>
                <w:szCs w:val="22"/>
                <w:lang w:val="en-US"/>
              </w:rPr>
            </w:pPr>
            <w:r>
              <w:rPr>
                <w:rFonts w:ascii="Calibri" w:eastAsia="Times New Roman" w:hAnsi="Calibri" w:cs="Calibri"/>
                <w:color w:val="FF0000"/>
                <w:sz w:val="22"/>
                <w:szCs w:val="22"/>
                <w:lang w:val="en-US"/>
              </w:rPr>
              <w:t>13%</w:t>
            </w:r>
          </w:p>
        </w:tc>
        <w:tc>
          <w:tcPr>
            <w:tcW w:w="1060" w:type="dxa"/>
            <w:tcBorders>
              <w:top w:val="single" w:sz="4" w:space="0" w:color="auto"/>
              <w:left w:val="nil"/>
              <w:bottom w:val="nil"/>
              <w:right w:val="nil"/>
            </w:tcBorders>
            <w:noWrap/>
            <w:vAlign w:val="bottom"/>
            <w:hideMark/>
          </w:tcPr>
          <w:p w14:paraId="60B53105" w14:textId="77777777" w:rsidR="0014546C" w:rsidRDefault="0014546C">
            <w:pPr>
              <w:jc w:val="center"/>
              <w:rPr>
                <w:rFonts w:ascii="Calibri" w:eastAsia="Times New Roman" w:hAnsi="Calibri" w:cs="Calibri"/>
                <w:color w:val="FF0000"/>
                <w:sz w:val="22"/>
                <w:szCs w:val="22"/>
                <w:lang w:val="en-US"/>
              </w:rPr>
            </w:pPr>
            <w:r>
              <w:rPr>
                <w:rFonts w:ascii="Calibri" w:eastAsia="Times New Roman" w:hAnsi="Calibri" w:cs="Calibri"/>
                <w:color w:val="FF0000"/>
                <w:sz w:val="22"/>
                <w:szCs w:val="22"/>
                <w:lang w:val="en-US"/>
              </w:rPr>
              <w:t>0.82</w:t>
            </w:r>
          </w:p>
        </w:tc>
        <w:tc>
          <w:tcPr>
            <w:tcW w:w="1060" w:type="dxa"/>
            <w:tcBorders>
              <w:top w:val="single" w:sz="4" w:space="0" w:color="auto"/>
              <w:left w:val="nil"/>
              <w:bottom w:val="nil"/>
              <w:right w:val="single" w:sz="4" w:space="0" w:color="auto"/>
            </w:tcBorders>
            <w:noWrap/>
            <w:vAlign w:val="bottom"/>
            <w:hideMark/>
          </w:tcPr>
          <w:p w14:paraId="222686A7" w14:textId="77777777" w:rsidR="0014546C" w:rsidRDefault="0014546C">
            <w:pPr>
              <w:jc w:val="center"/>
              <w:rPr>
                <w:rFonts w:ascii="Calibri" w:eastAsia="Times New Roman" w:hAnsi="Calibri" w:cs="Calibri"/>
                <w:color w:val="FF0000"/>
                <w:sz w:val="22"/>
                <w:szCs w:val="22"/>
                <w:lang w:val="en-US"/>
              </w:rPr>
            </w:pPr>
            <w:r>
              <w:rPr>
                <w:rFonts w:ascii="Calibri" w:eastAsia="Times New Roman" w:hAnsi="Calibri" w:cs="Calibri"/>
                <w:color w:val="FF0000"/>
                <w:sz w:val="22"/>
                <w:szCs w:val="22"/>
                <w:lang w:val="en-US"/>
              </w:rPr>
              <w:t>13%</w:t>
            </w:r>
          </w:p>
        </w:tc>
        <w:tc>
          <w:tcPr>
            <w:tcW w:w="1060" w:type="dxa"/>
            <w:tcBorders>
              <w:top w:val="single" w:sz="4" w:space="0" w:color="auto"/>
              <w:left w:val="nil"/>
              <w:bottom w:val="nil"/>
              <w:right w:val="nil"/>
            </w:tcBorders>
            <w:noWrap/>
            <w:vAlign w:val="bottom"/>
            <w:hideMark/>
          </w:tcPr>
          <w:p w14:paraId="3B08757B" w14:textId="77777777" w:rsidR="0014546C" w:rsidRDefault="0014546C">
            <w:pPr>
              <w:jc w:val="center"/>
              <w:rPr>
                <w:rFonts w:ascii="Calibri" w:eastAsia="Times New Roman" w:hAnsi="Calibri" w:cs="Calibri"/>
                <w:color w:val="FF0000"/>
                <w:sz w:val="22"/>
                <w:szCs w:val="22"/>
                <w:lang w:val="en-US"/>
              </w:rPr>
            </w:pPr>
            <w:r>
              <w:rPr>
                <w:rFonts w:ascii="Calibri" w:eastAsia="Times New Roman" w:hAnsi="Calibri" w:cs="Calibri"/>
                <w:color w:val="FF0000"/>
                <w:sz w:val="22"/>
                <w:szCs w:val="22"/>
                <w:lang w:val="en-US"/>
              </w:rPr>
              <w:t>0.41</w:t>
            </w:r>
          </w:p>
        </w:tc>
        <w:tc>
          <w:tcPr>
            <w:tcW w:w="1060" w:type="dxa"/>
            <w:tcBorders>
              <w:top w:val="single" w:sz="4" w:space="0" w:color="auto"/>
              <w:left w:val="nil"/>
              <w:bottom w:val="nil"/>
              <w:right w:val="single" w:sz="4" w:space="0" w:color="auto"/>
            </w:tcBorders>
            <w:noWrap/>
            <w:vAlign w:val="bottom"/>
            <w:hideMark/>
          </w:tcPr>
          <w:p w14:paraId="4E8FCE18" w14:textId="77777777" w:rsidR="0014546C" w:rsidRDefault="0014546C">
            <w:pPr>
              <w:jc w:val="center"/>
              <w:rPr>
                <w:rFonts w:ascii="Calibri" w:eastAsia="Times New Roman" w:hAnsi="Calibri" w:cs="Calibri"/>
                <w:color w:val="FF0000"/>
                <w:sz w:val="22"/>
                <w:szCs w:val="22"/>
                <w:lang w:val="en-US"/>
              </w:rPr>
            </w:pPr>
            <w:r>
              <w:rPr>
                <w:rFonts w:ascii="Calibri" w:eastAsia="Times New Roman" w:hAnsi="Calibri" w:cs="Calibri"/>
                <w:color w:val="FF0000"/>
                <w:sz w:val="22"/>
                <w:szCs w:val="22"/>
                <w:lang w:val="en-US"/>
              </w:rPr>
              <w:t>24%</w:t>
            </w:r>
          </w:p>
        </w:tc>
      </w:tr>
      <w:tr w:rsidR="0014546C" w14:paraId="572CC752" w14:textId="77777777" w:rsidTr="0014546C">
        <w:trPr>
          <w:trHeight w:val="293"/>
        </w:trPr>
        <w:tc>
          <w:tcPr>
            <w:tcW w:w="1060" w:type="dxa"/>
            <w:tcBorders>
              <w:top w:val="nil"/>
              <w:left w:val="single" w:sz="4" w:space="0" w:color="auto"/>
              <w:bottom w:val="nil"/>
              <w:right w:val="single" w:sz="4" w:space="0" w:color="auto"/>
            </w:tcBorders>
            <w:noWrap/>
            <w:vAlign w:val="bottom"/>
            <w:hideMark/>
          </w:tcPr>
          <w:p w14:paraId="6C42F06A" w14:textId="77777777" w:rsidR="0014546C" w:rsidRDefault="0014546C">
            <w:pPr>
              <w:jc w:val="center"/>
              <w:rPr>
                <w:rFonts w:ascii="Calibri" w:eastAsia="Times New Roman" w:hAnsi="Calibri" w:cs="Calibri"/>
                <w:color w:val="FF0000"/>
                <w:sz w:val="22"/>
                <w:szCs w:val="22"/>
                <w:lang w:val="en-US"/>
              </w:rPr>
            </w:pPr>
            <w:r>
              <w:rPr>
                <w:rFonts w:ascii="Calibri" w:eastAsia="Times New Roman" w:hAnsi="Calibri" w:cs="Calibri"/>
                <w:color w:val="FF0000"/>
                <w:sz w:val="22"/>
                <w:szCs w:val="22"/>
                <w:lang w:val="en-US"/>
              </w:rPr>
              <w:t>4.8</w:t>
            </w:r>
          </w:p>
        </w:tc>
        <w:tc>
          <w:tcPr>
            <w:tcW w:w="1060" w:type="dxa"/>
            <w:noWrap/>
            <w:vAlign w:val="bottom"/>
            <w:hideMark/>
          </w:tcPr>
          <w:p w14:paraId="5F0DF7BC" w14:textId="77777777" w:rsidR="0014546C" w:rsidRDefault="0014546C">
            <w:pPr>
              <w:jc w:val="center"/>
              <w:rPr>
                <w:rFonts w:ascii="Calibri" w:eastAsia="Times New Roman" w:hAnsi="Calibri" w:cs="Calibri"/>
                <w:color w:val="FF0000"/>
                <w:sz w:val="22"/>
                <w:szCs w:val="22"/>
                <w:lang w:val="en-US"/>
              </w:rPr>
            </w:pPr>
            <w:r>
              <w:rPr>
                <w:rFonts w:ascii="Calibri" w:eastAsia="Times New Roman" w:hAnsi="Calibri" w:cs="Calibri"/>
                <w:color w:val="FF0000"/>
                <w:sz w:val="22"/>
                <w:szCs w:val="22"/>
                <w:lang w:val="en-US"/>
              </w:rPr>
              <w:t>0.66</w:t>
            </w:r>
          </w:p>
        </w:tc>
        <w:tc>
          <w:tcPr>
            <w:tcW w:w="1060" w:type="dxa"/>
            <w:tcBorders>
              <w:top w:val="nil"/>
              <w:left w:val="nil"/>
              <w:bottom w:val="nil"/>
              <w:right w:val="single" w:sz="4" w:space="0" w:color="auto"/>
            </w:tcBorders>
            <w:noWrap/>
            <w:vAlign w:val="bottom"/>
            <w:hideMark/>
          </w:tcPr>
          <w:p w14:paraId="35E5D06C" w14:textId="77777777" w:rsidR="0014546C" w:rsidRDefault="0014546C">
            <w:pPr>
              <w:jc w:val="center"/>
              <w:rPr>
                <w:rFonts w:ascii="Calibri" w:eastAsia="Times New Roman" w:hAnsi="Calibri" w:cs="Calibri"/>
                <w:color w:val="FF0000"/>
                <w:sz w:val="22"/>
                <w:szCs w:val="22"/>
                <w:lang w:val="en-US"/>
              </w:rPr>
            </w:pPr>
            <w:r>
              <w:rPr>
                <w:rFonts w:ascii="Calibri" w:eastAsia="Times New Roman" w:hAnsi="Calibri" w:cs="Calibri"/>
                <w:color w:val="FF0000"/>
                <w:sz w:val="22"/>
                <w:szCs w:val="22"/>
                <w:lang w:val="en-US"/>
              </w:rPr>
              <w:t>14%</w:t>
            </w:r>
          </w:p>
        </w:tc>
        <w:tc>
          <w:tcPr>
            <w:tcW w:w="1060" w:type="dxa"/>
            <w:noWrap/>
            <w:vAlign w:val="bottom"/>
            <w:hideMark/>
          </w:tcPr>
          <w:p w14:paraId="4C799301" w14:textId="77777777" w:rsidR="0014546C" w:rsidRDefault="0014546C">
            <w:pPr>
              <w:jc w:val="center"/>
              <w:rPr>
                <w:rFonts w:ascii="Calibri" w:eastAsia="Times New Roman" w:hAnsi="Calibri" w:cs="Calibri"/>
                <w:color w:val="FF0000"/>
                <w:sz w:val="22"/>
                <w:szCs w:val="22"/>
                <w:lang w:val="en-US"/>
              </w:rPr>
            </w:pPr>
            <w:r>
              <w:rPr>
                <w:rFonts w:ascii="Calibri" w:eastAsia="Times New Roman" w:hAnsi="Calibri" w:cs="Calibri"/>
                <w:color w:val="FF0000"/>
                <w:sz w:val="22"/>
                <w:szCs w:val="22"/>
                <w:lang w:val="en-US"/>
              </w:rPr>
              <w:t>0.45</w:t>
            </w:r>
          </w:p>
        </w:tc>
        <w:tc>
          <w:tcPr>
            <w:tcW w:w="1060" w:type="dxa"/>
            <w:tcBorders>
              <w:top w:val="nil"/>
              <w:left w:val="nil"/>
              <w:bottom w:val="nil"/>
              <w:right w:val="single" w:sz="4" w:space="0" w:color="auto"/>
            </w:tcBorders>
            <w:noWrap/>
            <w:vAlign w:val="bottom"/>
            <w:hideMark/>
          </w:tcPr>
          <w:p w14:paraId="6F096A0C" w14:textId="77777777" w:rsidR="0014546C" w:rsidRDefault="0014546C">
            <w:pPr>
              <w:jc w:val="center"/>
              <w:rPr>
                <w:rFonts w:ascii="Calibri" w:eastAsia="Times New Roman" w:hAnsi="Calibri" w:cs="Calibri"/>
                <w:color w:val="FF0000"/>
                <w:sz w:val="22"/>
                <w:szCs w:val="22"/>
                <w:lang w:val="en-US"/>
              </w:rPr>
            </w:pPr>
            <w:r>
              <w:rPr>
                <w:rFonts w:ascii="Calibri" w:eastAsia="Times New Roman" w:hAnsi="Calibri" w:cs="Calibri"/>
                <w:color w:val="FF0000"/>
                <w:sz w:val="22"/>
                <w:szCs w:val="22"/>
                <w:lang w:val="en-US"/>
              </w:rPr>
              <w:t>14%</w:t>
            </w:r>
          </w:p>
        </w:tc>
        <w:tc>
          <w:tcPr>
            <w:tcW w:w="1060" w:type="dxa"/>
            <w:noWrap/>
            <w:vAlign w:val="bottom"/>
            <w:hideMark/>
          </w:tcPr>
          <w:p w14:paraId="573642A6" w14:textId="77777777" w:rsidR="0014546C" w:rsidRDefault="0014546C">
            <w:pPr>
              <w:jc w:val="center"/>
              <w:rPr>
                <w:rFonts w:ascii="Calibri" w:eastAsia="Times New Roman" w:hAnsi="Calibri" w:cs="Calibri"/>
                <w:color w:val="FF0000"/>
                <w:sz w:val="22"/>
                <w:szCs w:val="22"/>
                <w:lang w:val="en-US"/>
              </w:rPr>
            </w:pPr>
            <w:r>
              <w:rPr>
                <w:rFonts w:ascii="Calibri" w:eastAsia="Times New Roman" w:hAnsi="Calibri" w:cs="Calibri"/>
                <w:color w:val="FF0000"/>
                <w:sz w:val="22"/>
                <w:szCs w:val="22"/>
                <w:lang w:val="en-US"/>
              </w:rPr>
              <w:t>0.21</w:t>
            </w:r>
          </w:p>
        </w:tc>
        <w:tc>
          <w:tcPr>
            <w:tcW w:w="1060" w:type="dxa"/>
            <w:tcBorders>
              <w:top w:val="nil"/>
              <w:left w:val="nil"/>
              <w:bottom w:val="nil"/>
              <w:right w:val="single" w:sz="4" w:space="0" w:color="auto"/>
            </w:tcBorders>
            <w:noWrap/>
            <w:vAlign w:val="bottom"/>
            <w:hideMark/>
          </w:tcPr>
          <w:p w14:paraId="57A7B08C" w14:textId="77777777" w:rsidR="0014546C" w:rsidRDefault="0014546C">
            <w:pPr>
              <w:jc w:val="center"/>
              <w:rPr>
                <w:rFonts w:ascii="Calibri" w:eastAsia="Times New Roman" w:hAnsi="Calibri" w:cs="Calibri"/>
                <w:color w:val="FF0000"/>
                <w:sz w:val="22"/>
                <w:szCs w:val="22"/>
                <w:lang w:val="en-US"/>
              </w:rPr>
            </w:pPr>
            <w:r>
              <w:rPr>
                <w:rFonts w:ascii="Calibri" w:eastAsia="Times New Roman" w:hAnsi="Calibri" w:cs="Calibri"/>
                <w:color w:val="FF0000"/>
                <w:sz w:val="22"/>
                <w:szCs w:val="22"/>
                <w:lang w:val="en-US"/>
              </w:rPr>
              <w:t>26%</w:t>
            </w:r>
          </w:p>
        </w:tc>
      </w:tr>
      <w:tr w:rsidR="0014546C" w14:paraId="5FF9D616" w14:textId="77777777" w:rsidTr="0014546C">
        <w:trPr>
          <w:trHeight w:val="293"/>
        </w:trPr>
        <w:tc>
          <w:tcPr>
            <w:tcW w:w="1060" w:type="dxa"/>
            <w:tcBorders>
              <w:top w:val="nil"/>
              <w:left w:val="single" w:sz="4" w:space="0" w:color="auto"/>
              <w:bottom w:val="single" w:sz="4" w:space="0" w:color="auto"/>
              <w:right w:val="single" w:sz="4" w:space="0" w:color="auto"/>
            </w:tcBorders>
            <w:noWrap/>
            <w:vAlign w:val="bottom"/>
            <w:hideMark/>
          </w:tcPr>
          <w:p w14:paraId="6BE7742C" w14:textId="77777777" w:rsidR="0014546C" w:rsidRDefault="0014546C">
            <w:pPr>
              <w:jc w:val="center"/>
              <w:rPr>
                <w:rFonts w:ascii="Calibri" w:eastAsia="Times New Roman" w:hAnsi="Calibri" w:cs="Calibri"/>
                <w:color w:val="FF0000"/>
                <w:sz w:val="22"/>
                <w:szCs w:val="22"/>
                <w:lang w:val="en-US"/>
              </w:rPr>
            </w:pPr>
            <w:r>
              <w:rPr>
                <w:rFonts w:ascii="Calibri" w:eastAsia="Times New Roman" w:hAnsi="Calibri" w:cs="Calibri"/>
                <w:color w:val="FF0000"/>
                <w:sz w:val="22"/>
                <w:szCs w:val="22"/>
                <w:lang w:val="en-US"/>
              </w:rPr>
              <w:t>5.0</w:t>
            </w:r>
          </w:p>
        </w:tc>
        <w:tc>
          <w:tcPr>
            <w:tcW w:w="1060" w:type="dxa"/>
            <w:tcBorders>
              <w:top w:val="nil"/>
              <w:left w:val="nil"/>
              <w:bottom w:val="single" w:sz="4" w:space="0" w:color="auto"/>
              <w:right w:val="nil"/>
            </w:tcBorders>
            <w:noWrap/>
            <w:vAlign w:val="bottom"/>
            <w:hideMark/>
          </w:tcPr>
          <w:p w14:paraId="29609E97" w14:textId="77777777" w:rsidR="0014546C" w:rsidRDefault="0014546C">
            <w:pPr>
              <w:jc w:val="center"/>
              <w:rPr>
                <w:rFonts w:ascii="Calibri" w:eastAsia="Times New Roman" w:hAnsi="Calibri" w:cs="Calibri"/>
                <w:color w:val="FF0000"/>
                <w:sz w:val="22"/>
                <w:szCs w:val="22"/>
                <w:lang w:val="en-US"/>
              </w:rPr>
            </w:pPr>
            <w:r>
              <w:rPr>
                <w:rFonts w:ascii="Calibri" w:eastAsia="Times New Roman" w:hAnsi="Calibri" w:cs="Calibri"/>
                <w:color w:val="FF0000"/>
                <w:sz w:val="22"/>
                <w:szCs w:val="22"/>
                <w:lang w:val="en-US"/>
              </w:rPr>
              <w:t>0.45</w:t>
            </w:r>
          </w:p>
        </w:tc>
        <w:tc>
          <w:tcPr>
            <w:tcW w:w="1060" w:type="dxa"/>
            <w:tcBorders>
              <w:top w:val="nil"/>
              <w:left w:val="nil"/>
              <w:bottom w:val="single" w:sz="4" w:space="0" w:color="auto"/>
              <w:right w:val="single" w:sz="4" w:space="0" w:color="auto"/>
            </w:tcBorders>
            <w:noWrap/>
            <w:vAlign w:val="bottom"/>
            <w:hideMark/>
          </w:tcPr>
          <w:p w14:paraId="7AB0E231" w14:textId="77777777" w:rsidR="0014546C" w:rsidRDefault="0014546C">
            <w:pPr>
              <w:jc w:val="center"/>
              <w:rPr>
                <w:rFonts w:ascii="Calibri" w:eastAsia="Times New Roman" w:hAnsi="Calibri" w:cs="Calibri"/>
                <w:color w:val="FF0000"/>
                <w:sz w:val="22"/>
                <w:szCs w:val="22"/>
                <w:lang w:val="en-US"/>
              </w:rPr>
            </w:pPr>
            <w:r>
              <w:rPr>
                <w:rFonts w:ascii="Calibri" w:eastAsia="Times New Roman" w:hAnsi="Calibri" w:cs="Calibri"/>
                <w:color w:val="FF0000"/>
                <w:sz w:val="22"/>
                <w:szCs w:val="22"/>
                <w:lang w:val="en-US"/>
              </w:rPr>
              <w:t>15%</w:t>
            </w:r>
          </w:p>
        </w:tc>
        <w:tc>
          <w:tcPr>
            <w:tcW w:w="1060" w:type="dxa"/>
            <w:tcBorders>
              <w:top w:val="nil"/>
              <w:left w:val="nil"/>
              <w:bottom w:val="single" w:sz="4" w:space="0" w:color="auto"/>
              <w:right w:val="nil"/>
            </w:tcBorders>
            <w:noWrap/>
            <w:vAlign w:val="bottom"/>
            <w:hideMark/>
          </w:tcPr>
          <w:p w14:paraId="6EE25BBF" w14:textId="77777777" w:rsidR="0014546C" w:rsidRDefault="0014546C">
            <w:pPr>
              <w:jc w:val="center"/>
              <w:rPr>
                <w:rFonts w:ascii="Calibri" w:eastAsia="Times New Roman" w:hAnsi="Calibri" w:cs="Calibri"/>
                <w:color w:val="FF0000"/>
                <w:sz w:val="22"/>
                <w:szCs w:val="22"/>
                <w:lang w:val="en-US"/>
              </w:rPr>
            </w:pPr>
            <w:r>
              <w:rPr>
                <w:rFonts w:ascii="Calibri" w:eastAsia="Times New Roman" w:hAnsi="Calibri" w:cs="Calibri"/>
                <w:color w:val="FF0000"/>
                <w:sz w:val="22"/>
                <w:szCs w:val="22"/>
                <w:lang w:val="en-US"/>
              </w:rPr>
              <w:t>0.30</w:t>
            </w:r>
          </w:p>
        </w:tc>
        <w:tc>
          <w:tcPr>
            <w:tcW w:w="1060" w:type="dxa"/>
            <w:tcBorders>
              <w:top w:val="nil"/>
              <w:left w:val="nil"/>
              <w:bottom w:val="single" w:sz="4" w:space="0" w:color="auto"/>
              <w:right w:val="single" w:sz="4" w:space="0" w:color="auto"/>
            </w:tcBorders>
            <w:noWrap/>
            <w:vAlign w:val="bottom"/>
            <w:hideMark/>
          </w:tcPr>
          <w:p w14:paraId="7CE6A897" w14:textId="77777777" w:rsidR="0014546C" w:rsidRDefault="0014546C">
            <w:pPr>
              <w:jc w:val="center"/>
              <w:rPr>
                <w:rFonts w:ascii="Calibri" w:eastAsia="Times New Roman" w:hAnsi="Calibri" w:cs="Calibri"/>
                <w:color w:val="FF0000"/>
                <w:sz w:val="22"/>
                <w:szCs w:val="22"/>
                <w:lang w:val="en-US"/>
              </w:rPr>
            </w:pPr>
            <w:r>
              <w:rPr>
                <w:rFonts w:ascii="Calibri" w:eastAsia="Times New Roman" w:hAnsi="Calibri" w:cs="Calibri"/>
                <w:color w:val="FF0000"/>
                <w:sz w:val="22"/>
                <w:szCs w:val="22"/>
                <w:lang w:val="en-US"/>
              </w:rPr>
              <w:t>15%</w:t>
            </w:r>
          </w:p>
        </w:tc>
        <w:tc>
          <w:tcPr>
            <w:tcW w:w="1060" w:type="dxa"/>
            <w:tcBorders>
              <w:top w:val="nil"/>
              <w:left w:val="nil"/>
              <w:bottom w:val="single" w:sz="4" w:space="0" w:color="auto"/>
              <w:right w:val="nil"/>
            </w:tcBorders>
            <w:noWrap/>
            <w:vAlign w:val="bottom"/>
            <w:hideMark/>
          </w:tcPr>
          <w:p w14:paraId="37DEB2F3" w14:textId="77777777" w:rsidR="0014546C" w:rsidRDefault="0014546C">
            <w:pPr>
              <w:jc w:val="center"/>
              <w:rPr>
                <w:rFonts w:ascii="Calibri" w:eastAsia="Times New Roman" w:hAnsi="Calibri" w:cs="Calibri"/>
                <w:color w:val="FF0000"/>
                <w:sz w:val="22"/>
                <w:szCs w:val="22"/>
                <w:lang w:val="en-US"/>
              </w:rPr>
            </w:pPr>
            <w:r>
              <w:rPr>
                <w:rFonts w:ascii="Calibri" w:eastAsia="Times New Roman" w:hAnsi="Calibri" w:cs="Calibri"/>
                <w:color w:val="FF0000"/>
                <w:sz w:val="22"/>
                <w:szCs w:val="22"/>
                <w:lang w:val="en-US"/>
              </w:rPr>
              <w:t>0.14</w:t>
            </w:r>
          </w:p>
        </w:tc>
        <w:tc>
          <w:tcPr>
            <w:tcW w:w="1060" w:type="dxa"/>
            <w:tcBorders>
              <w:top w:val="nil"/>
              <w:left w:val="nil"/>
              <w:bottom w:val="single" w:sz="4" w:space="0" w:color="auto"/>
              <w:right w:val="single" w:sz="4" w:space="0" w:color="auto"/>
            </w:tcBorders>
            <w:noWrap/>
            <w:vAlign w:val="bottom"/>
            <w:hideMark/>
          </w:tcPr>
          <w:p w14:paraId="7583E51F" w14:textId="77777777" w:rsidR="0014546C" w:rsidRDefault="0014546C">
            <w:pPr>
              <w:jc w:val="center"/>
              <w:rPr>
                <w:rFonts w:ascii="Calibri" w:eastAsia="Times New Roman" w:hAnsi="Calibri" w:cs="Calibri"/>
                <w:color w:val="FF0000"/>
                <w:sz w:val="22"/>
                <w:szCs w:val="22"/>
                <w:lang w:val="en-US"/>
              </w:rPr>
            </w:pPr>
            <w:r>
              <w:rPr>
                <w:rFonts w:ascii="Calibri" w:eastAsia="Times New Roman" w:hAnsi="Calibri" w:cs="Calibri"/>
                <w:color w:val="FF0000"/>
                <w:sz w:val="22"/>
                <w:szCs w:val="22"/>
                <w:lang w:val="en-US"/>
              </w:rPr>
              <w:t>28%</w:t>
            </w:r>
          </w:p>
        </w:tc>
      </w:tr>
    </w:tbl>
    <w:p w14:paraId="0E9705B4" w14:textId="77777777" w:rsidR="0014546C" w:rsidRDefault="0014546C" w:rsidP="0014546C">
      <w:pPr>
        <w:jc w:val="center"/>
        <w:rPr>
          <w:rFonts w:cstheme="minorHAnsi"/>
          <w:sz w:val="22"/>
          <w:szCs w:val="22"/>
          <w:lang w:val="en-US"/>
        </w:rPr>
      </w:pPr>
    </w:p>
    <w:p w14:paraId="52C27998" w14:textId="77777777" w:rsidR="0014546C" w:rsidRDefault="0014546C" w:rsidP="0014546C">
      <w:pPr>
        <w:jc w:val="center"/>
        <w:rPr>
          <w:rFonts w:cstheme="minorHAnsi"/>
          <w:sz w:val="22"/>
          <w:szCs w:val="22"/>
          <w:lang w:val="en-US"/>
        </w:rPr>
      </w:pPr>
    </w:p>
    <w:p w14:paraId="09BFA6B2" w14:textId="77777777" w:rsidR="0014546C" w:rsidRDefault="0014546C" w:rsidP="0014546C"/>
    <w:p w14:paraId="186AB26A" w14:textId="77777777" w:rsidR="0014546C" w:rsidRDefault="0014546C" w:rsidP="0014546C">
      <w:pPr>
        <w:autoSpaceDE w:val="0"/>
        <w:autoSpaceDN w:val="0"/>
        <w:adjustRightInd w:val="0"/>
        <w:rPr>
          <w:rFonts w:cstheme="minorHAnsi"/>
          <w:color w:val="000000"/>
          <w:lang w:val="en-US"/>
        </w:rPr>
      </w:pPr>
    </w:p>
    <w:p w14:paraId="4C7890E9" w14:textId="77777777" w:rsidR="008B2388" w:rsidRDefault="008B2388"/>
    <w:sectPr w:rsidR="008B23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546C"/>
    <w:rsid w:val="0014546C"/>
    <w:rsid w:val="004A2D59"/>
    <w:rsid w:val="008B2388"/>
    <w:rsid w:val="008F49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435CCA"/>
  <w15:chartTrackingRefBased/>
  <w15:docId w15:val="{E044E86C-DA5B-49E2-899A-D43E8B1E2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546C"/>
    <w:pPr>
      <w:spacing w:after="0" w:line="240" w:lineRule="auto"/>
    </w:pPr>
    <w:rPr>
      <w:kern w:val="0"/>
      <w:sz w:val="24"/>
      <w:szCs w:val="24"/>
      <w:lang w:val="it-IT"/>
      <w14:ligatures w14:val="none"/>
    </w:rPr>
  </w:style>
  <w:style w:type="paragraph" w:styleId="Heading1">
    <w:name w:val="heading 1"/>
    <w:basedOn w:val="Normal"/>
    <w:next w:val="Normal"/>
    <w:link w:val="Heading1Char"/>
    <w:uiPriority w:val="9"/>
    <w:qFormat/>
    <w:rsid w:val="0014546C"/>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14546C"/>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14546C"/>
    <w:pPr>
      <w:keepNext/>
      <w:keepLines/>
      <w:spacing w:before="160" w:after="80" w:line="259" w:lineRule="auto"/>
      <w:outlineLvl w:val="2"/>
    </w:pPr>
    <w:rPr>
      <w:rFonts w:eastAsiaTheme="majorEastAsia"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14546C"/>
    <w:pPr>
      <w:keepNext/>
      <w:keepLines/>
      <w:spacing w:before="80" w:after="40" w:line="259" w:lineRule="auto"/>
      <w:outlineLvl w:val="3"/>
    </w:pPr>
    <w:rPr>
      <w:rFonts w:eastAsiaTheme="majorEastAsia" w:cstheme="majorBidi"/>
      <w:i/>
      <w:iCs/>
      <w:color w:val="0F4761" w:themeColor="accent1" w:themeShade="BF"/>
      <w:kern w:val="2"/>
      <w:sz w:val="22"/>
      <w:szCs w:val="22"/>
      <w:lang w:val="en-US"/>
      <w14:ligatures w14:val="standardContextual"/>
    </w:rPr>
  </w:style>
  <w:style w:type="paragraph" w:styleId="Heading5">
    <w:name w:val="heading 5"/>
    <w:basedOn w:val="Normal"/>
    <w:next w:val="Normal"/>
    <w:link w:val="Heading5Char"/>
    <w:uiPriority w:val="9"/>
    <w:semiHidden/>
    <w:unhideWhenUsed/>
    <w:qFormat/>
    <w:rsid w:val="0014546C"/>
    <w:pPr>
      <w:keepNext/>
      <w:keepLines/>
      <w:spacing w:before="80" w:after="40" w:line="259" w:lineRule="auto"/>
      <w:outlineLvl w:val="4"/>
    </w:pPr>
    <w:rPr>
      <w:rFonts w:eastAsiaTheme="majorEastAsia" w:cstheme="majorBidi"/>
      <w:color w:val="0F4761" w:themeColor="accent1" w:themeShade="BF"/>
      <w:kern w:val="2"/>
      <w:sz w:val="22"/>
      <w:szCs w:val="22"/>
      <w:lang w:val="en-US"/>
      <w14:ligatures w14:val="standardContextual"/>
    </w:rPr>
  </w:style>
  <w:style w:type="paragraph" w:styleId="Heading6">
    <w:name w:val="heading 6"/>
    <w:basedOn w:val="Normal"/>
    <w:next w:val="Normal"/>
    <w:link w:val="Heading6Char"/>
    <w:uiPriority w:val="9"/>
    <w:semiHidden/>
    <w:unhideWhenUsed/>
    <w:qFormat/>
    <w:rsid w:val="0014546C"/>
    <w:pPr>
      <w:keepNext/>
      <w:keepLines/>
      <w:spacing w:before="40" w:line="259" w:lineRule="auto"/>
      <w:outlineLvl w:val="5"/>
    </w:pPr>
    <w:rPr>
      <w:rFonts w:eastAsiaTheme="majorEastAsia" w:cstheme="majorBidi"/>
      <w:i/>
      <w:iCs/>
      <w:color w:val="595959" w:themeColor="text1" w:themeTint="A6"/>
      <w:kern w:val="2"/>
      <w:sz w:val="22"/>
      <w:szCs w:val="22"/>
      <w:lang w:val="en-US"/>
      <w14:ligatures w14:val="standardContextual"/>
    </w:rPr>
  </w:style>
  <w:style w:type="paragraph" w:styleId="Heading7">
    <w:name w:val="heading 7"/>
    <w:basedOn w:val="Normal"/>
    <w:next w:val="Normal"/>
    <w:link w:val="Heading7Char"/>
    <w:uiPriority w:val="9"/>
    <w:semiHidden/>
    <w:unhideWhenUsed/>
    <w:qFormat/>
    <w:rsid w:val="0014546C"/>
    <w:pPr>
      <w:keepNext/>
      <w:keepLines/>
      <w:spacing w:before="40" w:line="259" w:lineRule="auto"/>
      <w:outlineLvl w:val="6"/>
    </w:pPr>
    <w:rPr>
      <w:rFonts w:eastAsiaTheme="majorEastAsia" w:cstheme="majorBidi"/>
      <w:color w:val="595959" w:themeColor="text1" w:themeTint="A6"/>
      <w:kern w:val="2"/>
      <w:sz w:val="22"/>
      <w:szCs w:val="22"/>
      <w:lang w:val="en-US"/>
      <w14:ligatures w14:val="standardContextual"/>
    </w:rPr>
  </w:style>
  <w:style w:type="paragraph" w:styleId="Heading8">
    <w:name w:val="heading 8"/>
    <w:basedOn w:val="Normal"/>
    <w:next w:val="Normal"/>
    <w:link w:val="Heading8Char"/>
    <w:uiPriority w:val="9"/>
    <w:semiHidden/>
    <w:unhideWhenUsed/>
    <w:qFormat/>
    <w:rsid w:val="0014546C"/>
    <w:pPr>
      <w:keepNext/>
      <w:keepLines/>
      <w:spacing w:line="259" w:lineRule="auto"/>
      <w:outlineLvl w:val="7"/>
    </w:pPr>
    <w:rPr>
      <w:rFonts w:eastAsiaTheme="majorEastAsia" w:cstheme="majorBidi"/>
      <w:i/>
      <w:iCs/>
      <w:color w:val="272727" w:themeColor="text1" w:themeTint="D8"/>
      <w:kern w:val="2"/>
      <w:sz w:val="22"/>
      <w:szCs w:val="22"/>
      <w:lang w:val="en-US"/>
      <w14:ligatures w14:val="standardContextual"/>
    </w:rPr>
  </w:style>
  <w:style w:type="paragraph" w:styleId="Heading9">
    <w:name w:val="heading 9"/>
    <w:basedOn w:val="Normal"/>
    <w:next w:val="Normal"/>
    <w:link w:val="Heading9Char"/>
    <w:uiPriority w:val="9"/>
    <w:semiHidden/>
    <w:unhideWhenUsed/>
    <w:qFormat/>
    <w:rsid w:val="0014546C"/>
    <w:pPr>
      <w:keepNext/>
      <w:keepLines/>
      <w:spacing w:line="259" w:lineRule="auto"/>
      <w:outlineLvl w:val="8"/>
    </w:pPr>
    <w:rPr>
      <w:rFonts w:eastAsiaTheme="majorEastAsia" w:cstheme="majorBidi"/>
      <w:color w:val="272727" w:themeColor="text1" w:themeTint="D8"/>
      <w:kern w:val="2"/>
      <w:sz w:val="22"/>
      <w:szCs w:val="2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546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4546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4546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4546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4546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4546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4546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4546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4546C"/>
    <w:rPr>
      <w:rFonts w:eastAsiaTheme="majorEastAsia" w:cstheme="majorBidi"/>
      <w:color w:val="272727" w:themeColor="text1" w:themeTint="D8"/>
    </w:rPr>
  </w:style>
  <w:style w:type="paragraph" w:styleId="Title">
    <w:name w:val="Title"/>
    <w:basedOn w:val="Normal"/>
    <w:next w:val="Normal"/>
    <w:link w:val="TitleChar"/>
    <w:uiPriority w:val="10"/>
    <w:qFormat/>
    <w:rsid w:val="0014546C"/>
    <w:pPr>
      <w:spacing w:after="80"/>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14546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4546C"/>
    <w:pPr>
      <w:numPr>
        <w:ilvl w:val="1"/>
      </w:numPr>
      <w:spacing w:after="160" w:line="259" w:lineRule="auto"/>
    </w:pPr>
    <w:rPr>
      <w:rFonts w:eastAsiaTheme="majorEastAsia"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14546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4546C"/>
    <w:pPr>
      <w:spacing w:before="160" w:after="160" w:line="259" w:lineRule="auto"/>
      <w:jc w:val="center"/>
    </w:pPr>
    <w:rPr>
      <w:i/>
      <w:iCs/>
      <w:color w:val="404040" w:themeColor="text1" w:themeTint="BF"/>
      <w:kern w:val="2"/>
      <w:sz w:val="22"/>
      <w:szCs w:val="22"/>
      <w:lang w:val="en-US"/>
      <w14:ligatures w14:val="standardContextual"/>
    </w:rPr>
  </w:style>
  <w:style w:type="character" w:customStyle="1" w:styleId="QuoteChar">
    <w:name w:val="Quote Char"/>
    <w:basedOn w:val="DefaultParagraphFont"/>
    <w:link w:val="Quote"/>
    <w:uiPriority w:val="29"/>
    <w:rsid w:val="0014546C"/>
    <w:rPr>
      <w:i/>
      <w:iCs/>
      <w:color w:val="404040" w:themeColor="text1" w:themeTint="BF"/>
    </w:rPr>
  </w:style>
  <w:style w:type="paragraph" w:styleId="ListParagraph">
    <w:name w:val="List Paragraph"/>
    <w:basedOn w:val="Normal"/>
    <w:uiPriority w:val="34"/>
    <w:qFormat/>
    <w:rsid w:val="0014546C"/>
    <w:pPr>
      <w:spacing w:after="160" w:line="259" w:lineRule="auto"/>
      <w:ind w:left="720"/>
      <w:contextualSpacing/>
    </w:pPr>
    <w:rPr>
      <w:kern w:val="2"/>
      <w:sz w:val="22"/>
      <w:szCs w:val="22"/>
      <w:lang w:val="en-US"/>
      <w14:ligatures w14:val="standardContextual"/>
    </w:rPr>
  </w:style>
  <w:style w:type="character" w:styleId="IntenseEmphasis">
    <w:name w:val="Intense Emphasis"/>
    <w:basedOn w:val="DefaultParagraphFont"/>
    <w:uiPriority w:val="21"/>
    <w:qFormat/>
    <w:rsid w:val="0014546C"/>
    <w:rPr>
      <w:i/>
      <w:iCs/>
      <w:color w:val="0F4761" w:themeColor="accent1" w:themeShade="BF"/>
    </w:rPr>
  </w:style>
  <w:style w:type="paragraph" w:styleId="IntenseQuote">
    <w:name w:val="Intense Quote"/>
    <w:basedOn w:val="Normal"/>
    <w:next w:val="Normal"/>
    <w:link w:val="IntenseQuoteChar"/>
    <w:uiPriority w:val="30"/>
    <w:qFormat/>
    <w:rsid w:val="0014546C"/>
    <w:pPr>
      <w:pBdr>
        <w:top w:val="single" w:sz="4" w:space="10" w:color="0F4761" w:themeColor="accent1" w:themeShade="BF"/>
        <w:bottom w:val="single" w:sz="4" w:space="10" w:color="0F4761" w:themeColor="accent1" w:themeShade="BF"/>
      </w:pBdr>
      <w:spacing w:before="360" w:after="360" w:line="259" w:lineRule="auto"/>
      <w:ind w:left="864" w:right="864"/>
      <w:jc w:val="center"/>
    </w:pPr>
    <w:rPr>
      <w:i/>
      <w:iCs/>
      <w:color w:val="0F4761" w:themeColor="accent1" w:themeShade="BF"/>
      <w:kern w:val="2"/>
      <w:sz w:val="22"/>
      <w:szCs w:val="22"/>
      <w:lang w:val="en-US"/>
      <w14:ligatures w14:val="standardContextual"/>
    </w:rPr>
  </w:style>
  <w:style w:type="character" w:customStyle="1" w:styleId="IntenseQuoteChar">
    <w:name w:val="Intense Quote Char"/>
    <w:basedOn w:val="DefaultParagraphFont"/>
    <w:link w:val="IntenseQuote"/>
    <w:uiPriority w:val="30"/>
    <w:rsid w:val="0014546C"/>
    <w:rPr>
      <w:i/>
      <w:iCs/>
      <w:color w:val="0F4761" w:themeColor="accent1" w:themeShade="BF"/>
    </w:rPr>
  </w:style>
  <w:style w:type="character" w:styleId="IntenseReference">
    <w:name w:val="Intense Reference"/>
    <w:basedOn w:val="DefaultParagraphFont"/>
    <w:uiPriority w:val="32"/>
    <w:qFormat/>
    <w:rsid w:val="0014546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76680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780</Words>
  <Characters>4450</Characters>
  <Application>Microsoft Office Word</Application>
  <DocSecurity>0</DocSecurity>
  <Lines>37</Lines>
  <Paragraphs>10</Paragraphs>
  <ScaleCrop>false</ScaleCrop>
  <Company>Springer Nature</Company>
  <LinksUpToDate>false</LinksUpToDate>
  <CharactersWithSpaces>5220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2024-06-27T15:17:00Z</dcterms:created>
  <dcterms:modified xsi:type="dcterms:W3CDTF">2024-06-27T15:19:00Z</dcterms:modified>
</cp:coreProperties>
</file>