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3C49" w14:textId="77777777" w:rsidR="00E500D7" w:rsidRPr="00D82AAE" w:rsidRDefault="00E500D7" w:rsidP="00E500D7">
      <w:pPr>
        <w:spacing w:line="360" w:lineRule="auto"/>
        <w:jc w:val="both"/>
        <w:rPr>
          <w:rFonts w:ascii="Arial" w:hAnsi="Arial" w:cs="Arial"/>
          <w:b/>
          <w:lang w:val="en-GB"/>
        </w:rPr>
      </w:pPr>
      <w:r w:rsidRPr="00D82AAE">
        <w:rPr>
          <w:rFonts w:ascii="Arial" w:hAnsi="Arial" w:cs="Arial"/>
          <w:b/>
          <w:lang w:val="en-GB"/>
        </w:rPr>
        <w:t>Supplemental material</w:t>
      </w:r>
    </w:p>
    <w:p w14:paraId="1B27AC2A" w14:textId="77777777" w:rsidR="00E500D7" w:rsidRDefault="00E500D7" w:rsidP="00E500D7">
      <w:pPr>
        <w:spacing w:line="360" w:lineRule="auto"/>
        <w:jc w:val="both"/>
        <w:rPr>
          <w:rFonts w:ascii="Arial" w:hAnsi="Arial" w:cs="Arial"/>
          <w:lang w:val="en-GB"/>
        </w:rPr>
      </w:pPr>
      <w:r w:rsidRPr="003E2A4D">
        <w:rPr>
          <w:rFonts w:ascii="Arial" w:hAnsi="Arial" w:cs="Arial"/>
          <w:noProof/>
          <w:lang w:eastAsia="de-DE"/>
        </w:rPr>
        <w:drawing>
          <wp:inline distT="0" distB="0" distL="0" distR="0" wp14:anchorId="14EB83BA" wp14:editId="2A292A92">
            <wp:extent cx="5599503" cy="7539877"/>
            <wp:effectExtent l="0" t="0" r="1270" b="4445"/>
            <wp:docPr id="18" name="Grafik 18" descr="Y:\Unterlagen Physiologie Tina\Organisation\Paper\LPS-HOX\Abbildungen 02.2024\Supplements_paper 02.2024HIFs_Paper 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:\Unterlagen Physiologie Tina\Organisation\Paper\LPS-HOX\Abbildungen 02.2024\Supplements_paper 02.2024HIFs_Paper 02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38" cy="754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A4D" w:rsidDel="003E2A4D">
        <w:rPr>
          <w:rFonts w:ascii="Arial" w:hAnsi="Arial" w:cs="Arial"/>
          <w:lang w:val="en-GB"/>
        </w:rPr>
        <w:t xml:space="preserve"> </w:t>
      </w:r>
    </w:p>
    <w:p w14:paraId="5C04939C" w14:textId="77777777" w:rsidR="00E500D7" w:rsidRPr="00C91FA4" w:rsidRDefault="00E500D7" w:rsidP="00E500D7">
      <w:pPr>
        <w:spacing w:line="360" w:lineRule="auto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Supplemental </w:t>
      </w:r>
      <w:r w:rsidRPr="00C91FA4">
        <w:rPr>
          <w:rFonts w:ascii="Arial" w:hAnsi="Arial" w:cs="Arial"/>
          <w:sz w:val="20"/>
          <w:lang w:val="en-GB"/>
        </w:rPr>
        <w:t xml:space="preserve">Figure: Effects of hypoxia and LPS on </w:t>
      </w:r>
      <w:r>
        <w:rPr>
          <w:rFonts w:ascii="Arial" w:hAnsi="Arial" w:cs="Arial"/>
          <w:sz w:val="20"/>
          <w:lang w:val="en-GB"/>
        </w:rPr>
        <w:t xml:space="preserve">HIF2A and HIF-related </w:t>
      </w:r>
      <w:r w:rsidRPr="00C91FA4">
        <w:rPr>
          <w:rFonts w:ascii="Arial" w:hAnsi="Arial" w:cs="Arial"/>
          <w:sz w:val="20"/>
          <w:lang w:val="en-GB"/>
        </w:rPr>
        <w:t xml:space="preserve">gene expression of whole blood cells </w:t>
      </w:r>
    </w:p>
    <w:p w14:paraId="369FA509" w14:textId="77777777" w:rsidR="00E500D7" w:rsidRDefault="00E500D7" w:rsidP="00E500D7">
      <w:pPr>
        <w:spacing w:line="360" w:lineRule="auto"/>
        <w:jc w:val="both"/>
        <w:rPr>
          <w:rFonts w:ascii="Arial" w:hAnsi="Arial" w:cs="Arial"/>
          <w:sz w:val="20"/>
          <w:lang w:val="en-GB"/>
        </w:rPr>
      </w:pPr>
      <w:r w:rsidRPr="00C91FA4">
        <w:rPr>
          <w:rFonts w:ascii="Arial" w:hAnsi="Arial" w:cs="Arial"/>
          <w:sz w:val="20"/>
          <w:lang w:val="en-GB"/>
        </w:rPr>
        <w:t xml:space="preserve">Relative </w:t>
      </w:r>
      <w:r>
        <w:rPr>
          <w:rFonts w:ascii="Arial" w:hAnsi="Arial" w:cs="Arial"/>
          <w:sz w:val="20"/>
          <w:lang w:val="en-GB"/>
        </w:rPr>
        <w:t>g</w:t>
      </w:r>
      <w:r w:rsidRPr="00C91FA4">
        <w:rPr>
          <w:rFonts w:ascii="Arial" w:hAnsi="Arial" w:cs="Arial"/>
          <w:sz w:val="20"/>
          <w:lang w:val="en-GB"/>
        </w:rPr>
        <w:t xml:space="preserve">ene expression of whole blood cells, from blood samples of human subjects that were treated with a single </w:t>
      </w:r>
      <w:r w:rsidRPr="00C91FA4">
        <w:rPr>
          <w:rFonts w:ascii="Arial" w:hAnsi="Arial" w:cs="Arial"/>
          <w:i/>
          <w:sz w:val="20"/>
          <w:lang w:val="en-GB"/>
        </w:rPr>
        <w:t>E. coli</w:t>
      </w:r>
      <w:r w:rsidRPr="00C91FA4">
        <w:rPr>
          <w:rFonts w:ascii="Arial" w:hAnsi="Arial" w:cs="Arial"/>
          <w:sz w:val="20"/>
          <w:lang w:val="en-GB"/>
        </w:rPr>
        <w:t xml:space="preserve"> lipopolysaccharide (LPS) injection (0.4 ng/kg) </w:t>
      </w:r>
      <w:r>
        <w:rPr>
          <w:rFonts w:ascii="Arial" w:hAnsi="Arial" w:cs="Arial"/>
          <w:sz w:val="20"/>
          <w:lang w:val="en-GB"/>
        </w:rPr>
        <w:t xml:space="preserve">and </w:t>
      </w:r>
      <w:r w:rsidRPr="00C91FA4">
        <w:rPr>
          <w:rFonts w:ascii="Arial" w:hAnsi="Arial" w:cs="Arial"/>
          <w:sz w:val="20"/>
          <w:lang w:val="en-GB"/>
        </w:rPr>
        <w:t xml:space="preserve">a 4-hour phase of exposure to </w:t>
      </w:r>
      <w:r w:rsidRPr="00C91FA4">
        <w:rPr>
          <w:rFonts w:ascii="Arial" w:hAnsi="Arial" w:cs="Arial"/>
          <w:sz w:val="20"/>
          <w:lang w:val="en-GB"/>
        </w:rPr>
        <w:lastRenderedPageBreak/>
        <w:t xml:space="preserve">hypoxia (normobaric, 10.5 % O2) prior or after LPS injection. Shown are mRNA expression fold changes from </w:t>
      </w:r>
      <w:r>
        <w:rPr>
          <w:rFonts w:ascii="Arial" w:hAnsi="Arial" w:cs="Arial"/>
          <w:sz w:val="20"/>
          <w:lang w:val="en-GB"/>
        </w:rPr>
        <w:t>hypoxia-inducible factor 2α (</w:t>
      </w:r>
      <w:r w:rsidRPr="00311441">
        <w:rPr>
          <w:rFonts w:ascii="Arial" w:hAnsi="Arial" w:cs="Arial"/>
          <w:i/>
          <w:sz w:val="20"/>
          <w:lang w:val="en-GB"/>
        </w:rPr>
        <w:t>HIF2A</w:t>
      </w:r>
      <w:r>
        <w:rPr>
          <w:rFonts w:ascii="Arial" w:hAnsi="Arial" w:cs="Arial"/>
          <w:sz w:val="20"/>
          <w:lang w:val="en-GB"/>
        </w:rPr>
        <w:t>), vascular endothelial factor (</w:t>
      </w:r>
      <w:r w:rsidRPr="00311441">
        <w:rPr>
          <w:rFonts w:ascii="Arial" w:hAnsi="Arial" w:cs="Arial"/>
          <w:i/>
          <w:sz w:val="20"/>
          <w:lang w:val="en-GB"/>
        </w:rPr>
        <w:t>VEGF</w:t>
      </w:r>
      <w:r>
        <w:rPr>
          <w:rFonts w:ascii="Arial" w:hAnsi="Arial" w:cs="Arial"/>
          <w:sz w:val="20"/>
          <w:lang w:val="en-GB"/>
        </w:rPr>
        <w:t>) and pyruvate dehydrogenase kinase 1 (</w:t>
      </w:r>
      <w:r w:rsidRPr="00311441">
        <w:rPr>
          <w:rFonts w:ascii="Arial" w:hAnsi="Arial" w:cs="Arial"/>
          <w:i/>
          <w:sz w:val="20"/>
          <w:lang w:val="en-GB"/>
        </w:rPr>
        <w:t>PDK1</w:t>
      </w:r>
      <w:r>
        <w:rPr>
          <w:rFonts w:ascii="Arial" w:hAnsi="Arial" w:cs="Arial"/>
          <w:sz w:val="20"/>
          <w:lang w:val="en-GB"/>
        </w:rPr>
        <w:t xml:space="preserve">). </w:t>
      </w:r>
      <w:r w:rsidRPr="00C91FA4">
        <w:rPr>
          <w:rFonts w:ascii="Arial" w:hAnsi="Arial" w:cs="Arial"/>
          <w:sz w:val="20"/>
          <w:lang w:val="en-GB"/>
        </w:rPr>
        <w:t xml:space="preserve">Expression levels of mRNA were normalised to </w:t>
      </w:r>
      <w:r w:rsidRPr="00C91FA4">
        <w:rPr>
          <w:rFonts w:ascii="Arial" w:hAnsi="Arial" w:cs="Arial"/>
          <w:i/>
          <w:sz w:val="20"/>
          <w:lang w:val="en-GB"/>
        </w:rPr>
        <w:t>ACTB</w:t>
      </w:r>
      <w:r w:rsidRPr="00C91FA4">
        <w:rPr>
          <w:rFonts w:ascii="Arial" w:hAnsi="Arial" w:cs="Arial"/>
          <w:sz w:val="20"/>
          <w:lang w:val="en-GB"/>
        </w:rPr>
        <w:t xml:space="preserve"> and are presented as 2-(ΔΔCT) values (mean ± SD, mixed-effects analysis with repeated measures and Tukey´s or Sidak</w:t>
      </w:r>
      <w:r>
        <w:rPr>
          <w:rFonts w:ascii="Arial" w:hAnsi="Arial" w:cs="Arial"/>
          <w:sz w:val="20"/>
          <w:lang w:val="en-GB"/>
        </w:rPr>
        <w:t>´</w:t>
      </w:r>
      <w:r w:rsidRPr="00C91FA4">
        <w:rPr>
          <w:rFonts w:ascii="Arial" w:hAnsi="Arial" w:cs="Arial"/>
          <w:sz w:val="20"/>
          <w:lang w:val="en-GB"/>
        </w:rPr>
        <w:t xml:space="preserve">s multiple comparisons test; * = p &lt; 0.05, </w:t>
      </w:r>
      <w:r>
        <w:rPr>
          <w:rFonts w:ascii="Arial" w:hAnsi="Arial" w:cs="Arial"/>
          <w:sz w:val="20"/>
          <w:lang w:val="en-GB"/>
        </w:rPr>
        <w:t>** = p &lt; 0.01</w:t>
      </w:r>
      <w:r w:rsidRPr="00C91FA4">
        <w:rPr>
          <w:rFonts w:ascii="Arial" w:hAnsi="Arial" w:cs="Arial"/>
          <w:sz w:val="20"/>
          <w:lang w:val="en-GB"/>
        </w:rPr>
        <w:t xml:space="preserve">, n = </w:t>
      </w:r>
      <w:r>
        <w:rPr>
          <w:rFonts w:ascii="Arial" w:hAnsi="Arial" w:cs="Arial"/>
          <w:sz w:val="20"/>
          <w:lang w:val="en-GB"/>
        </w:rPr>
        <w:t>8</w:t>
      </w:r>
      <w:r w:rsidRPr="00C91FA4">
        <w:rPr>
          <w:rFonts w:ascii="Arial" w:hAnsi="Arial" w:cs="Arial"/>
          <w:sz w:val="20"/>
          <w:lang w:val="en-GB"/>
        </w:rPr>
        <w:t xml:space="preserve"> - 13).</w:t>
      </w:r>
    </w:p>
    <w:p w14:paraId="258B0A2F" w14:textId="77777777" w:rsidR="00E500D7" w:rsidRDefault="00E500D7" w:rsidP="00E500D7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62128497" w14:textId="77777777" w:rsidR="00E500D7" w:rsidRPr="007C0B70" w:rsidRDefault="00E500D7" w:rsidP="00E500D7">
      <w:pPr>
        <w:jc w:val="both"/>
        <w:rPr>
          <w:rFonts w:ascii="Arial" w:hAnsi="Arial" w:cs="Arial"/>
          <w:lang w:val="en-GB"/>
        </w:rPr>
      </w:pPr>
      <w:r>
        <w:rPr>
          <w:rFonts w:ascii="Arial" w:eastAsia="Times New Roman" w:hAnsi="Arial" w:cs="Arial"/>
          <w:snapToGrid w:val="0"/>
          <w:color w:val="000000"/>
          <w:lang w:val="en-GB" w:eastAsia="de-DE" w:bidi="en-US"/>
        </w:rPr>
        <w:t xml:space="preserve">Supplementary Table: </w:t>
      </w:r>
      <w:r w:rsidRPr="00656C2A">
        <w:rPr>
          <w:rFonts w:ascii="Arial" w:hAnsi="Arial" w:cs="Arial"/>
          <w:lang w:val="en-GB"/>
        </w:rPr>
        <w:t xml:space="preserve">Primer sequences of specific PCR products used for RNA quantifications of </w:t>
      </w:r>
      <w:r>
        <w:rPr>
          <w:rFonts w:ascii="Arial" w:hAnsi="Arial" w:cs="Arial"/>
          <w:lang w:val="en-GB"/>
        </w:rPr>
        <w:t>blood samples via RT-PCR.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350"/>
        <w:gridCol w:w="850"/>
        <w:gridCol w:w="3884"/>
      </w:tblGrid>
      <w:tr w:rsidR="00E500D7" w:rsidRPr="00656C2A" w14:paraId="1A88450B" w14:textId="77777777" w:rsidTr="00801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7574AF" w14:textId="77777777" w:rsidR="00E500D7" w:rsidRPr="00656C2A" w:rsidRDefault="00E500D7" w:rsidP="0080159C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Target gene</w:t>
            </w:r>
          </w:p>
        </w:tc>
        <w:tc>
          <w:tcPr>
            <w:tcW w:w="0" w:type="auto"/>
            <w:noWrap/>
            <w:hideMark/>
          </w:tcPr>
          <w:p w14:paraId="640A69FD" w14:textId="77777777" w:rsidR="00E500D7" w:rsidRPr="00C16C97" w:rsidRDefault="00E500D7" w:rsidP="008015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C16C97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Primer</w:t>
            </w:r>
          </w:p>
        </w:tc>
        <w:tc>
          <w:tcPr>
            <w:tcW w:w="0" w:type="auto"/>
            <w:noWrap/>
            <w:hideMark/>
          </w:tcPr>
          <w:p w14:paraId="7E90F808" w14:textId="77777777" w:rsidR="00E500D7" w:rsidRPr="00656C2A" w:rsidRDefault="00E500D7" w:rsidP="0080159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sequence</w:t>
            </w:r>
          </w:p>
        </w:tc>
      </w:tr>
      <w:tr w:rsidR="00E500D7" w:rsidRPr="00656C2A" w14:paraId="1F0C1FE5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8CD6D77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ACTB</w:t>
            </w:r>
          </w:p>
        </w:tc>
        <w:tc>
          <w:tcPr>
            <w:tcW w:w="0" w:type="auto"/>
            <w:noWrap/>
            <w:hideMark/>
          </w:tcPr>
          <w:p w14:paraId="7BED7074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3´</w:t>
            </w:r>
            <w:r w:rsidRPr="00656C2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5F0006A7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CAGCGGAACCGCTCATTGCCAATGG</w:t>
            </w:r>
          </w:p>
        </w:tc>
      </w:tr>
      <w:tr w:rsidR="00E500D7" w:rsidRPr="00656C2A" w14:paraId="1605A271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3044E5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9CFE193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5´</w:t>
            </w:r>
          </w:p>
        </w:tc>
        <w:tc>
          <w:tcPr>
            <w:tcW w:w="0" w:type="auto"/>
            <w:noWrap/>
            <w:hideMark/>
          </w:tcPr>
          <w:p w14:paraId="670DC32E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TCACCCACACTGTGCCCATCTACGA</w:t>
            </w:r>
          </w:p>
        </w:tc>
      </w:tr>
      <w:tr w:rsidR="00E500D7" w:rsidRPr="00656C2A" w14:paraId="7E42B525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1357DA6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HIF1A</w:t>
            </w:r>
          </w:p>
        </w:tc>
        <w:tc>
          <w:tcPr>
            <w:tcW w:w="0" w:type="auto"/>
            <w:noWrap/>
            <w:hideMark/>
          </w:tcPr>
          <w:p w14:paraId="2C2236C7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3´</w:t>
            </w:r>
          </w:p>
        </w:tc>
        <w:tc>
          <w:tcPr>
            <w:tcW w:w="0" w:type="auto"/>
            <w:noWrap/>
            <w:hideMark/>
          </w:tcPr>
          <w:p w14:paraId="379C324E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CTCCATTACCCACCGCTGAA</w:t>
            </w:r>
          </w:p>
        </w:tc>
      </w:tr>
      <w:tr w:rsidR="00E500D7" w:rsidRPr="00656C2A" w14:paraId="23D8DC20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02C5256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F5F9DDD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5´</w:t>
            </w:r>
          </w:p>
        </w:tc>
        <w:tc>
          <w:tcPr>
            <w:tcW w:w="0" w:type="auto"/>
            <w:noWrap/>
            <w:hideMark/>
          </w:tcPr>
          <w:p w14:paraId="3237DAFD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TCACTGGGACTATTAGGCTCAGGT</w:t>
            </w:r>
          </w:p>
        </w:tc>
      </w:tr>
      <w:tr w:rsidR="00E500D7" w:rsidRPr="00656C2A" w14:paraId="6C757866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18184A7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HIF2A</w:t>
            </w:r>
          </w:p>
        </w:tc>
        <w:tc>
          <w:tcPr>
            <w:tcW w:w="0" w:type="auto"/>
            <w:noWrap/>
            <w:hideMark/>
          </w:tcPr>
          <w:p w14:paraId="70CACA04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3´ </w:t>
            </w:r>
          </w:p>
        </w:tc>
        <w:tc>
          <w:tcPr>
            <w:tcW w:w="0" w:type="auto"/>
            <w:noWrap/>
            <w:hideMark/>
          </w:tcPr>
          <w:p w14:paraId="2EB4E301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CGGAGGTGTTCTATGAGCTGG</w:t>
            </w:r>
          </w:p>
        </w:tc>
      </w:tr>
      <w:tr w:rsidR="00E500D7" w:rsidRPr="00656C2A" w14:paraId="164DB5B6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198D57E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F43271B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5´ </w:t>
            </w:r>
          </w:p>
        </w:tc>
        <w:tc>
          <w:tcPr>
            <w:tcW w:w="0" w:type="auto"/>
            <w:noWrap/>
            <w:hideMark/>
          </w:tcPr>
          <w:p w14:paraId="1E3FF2AE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AGCTTGTGTGTTCGCAGGAA</w:t>
            </w:r>
          </w:p>
        </w:tc>
      </w:tr>
      <w:tr w:rsidR="00E500D7" w:rsidRPr="00656C2A" w14:paraId="41F0BC1C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E40B8F2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GLUT-1</w:t>
            </w:r>
          </w:p>
        </w:tc>
        <w:tc>
          <w:tcPr>
            <w:tcW w:w="0" w:type="auto"/>
            <w:noWrap/>
            <w:hideMark/>
          </w:tcPr>
          <w:p w14:paraId="5403EDBC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3´</w:t>
            </w:r>
            <w:r w:rsidRPr="00656C2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35C42CA0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CTAGCGCGATGGTCATGAGT</w:t>
            </w:r>
          </w:p>
        </w:tc>
      </w:tr>
      <w:tr w:rsidR="00E500D7" w:rsidRPr="00656C2A" w14:paraId="1F7B8792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B6D4AAC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AD693C8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5´ </w:t>
            </w:r>
          </w:p>
        </w:tc>
        <w:tc>
          <w:tcPr>
            <w:tcW w:w="0" w:type="auto"/>
            <w:noWrap/>
            <w:hideMark/>
          </w:tcPr>
          <w:p w14:paraId="54F03DB1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TCTGGCATCAACGCTGTCTT</w:t>
            </w:r>
          </w:p>
        </w:tc>
      </w:tr>
      <w:tr w:rsidR="00E500D7" w:rsidRPr="00656C2A" w14:paraId="13AB1658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10C9E77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ADM</w:t>
            </w:r>
          </w:p>
        </w:tc>
        <w:tc>
          <w:tcPr>
            <w:tcW w:w="0" w:type="auto"/>
            <w:noWrap/>
            <w:hideMark/>
          </w:tcPr>
          <w:p w14:paraId="3C281E70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3´ </w:t>
            </w:r>
          </w:p>
        </w:tc>
        <w:tc>
          <w:tcPr>
            <w:tcW w:w="0" w:type="auto"/>
            <w:noWrap/>
            <w:hideMark/>
          </w:tcPr>
          <w:p w14:paraId="6A24750B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AGTCGTGGGAAGAGGGAACT</w:t>
            </w:r>
          </w:p>
        </w:tc>
      </w:tr>
      <w:tr w:rsidR="00E500D7" w:rsidRPr="00656C2A" w14:paraId="00578A64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84DE4D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550E984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5´ </w:t>
            </w:r>
          </w:p>
        </w:tc>
        <w:tc>
          <w:tcPr>
            <w:tcW w:w="0" w:type="auto"/>
            <w:noWrap/>
            <w:hideMark/>
          </w:tcPr>
          <w:p w14:paraId="3C1B59F9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ATCCGGACTGCTGTCTTCGG</w:t>
            </w:r>
          </w:p>
        </w:tc>
      </w:tr>
      <w:tr w:rsidR="00E500D7" w:rsidRPr="00656C2A" w14:paraId="229F3987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964C524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PDK1</w:t>
            </w:r>
          </w:p>
        </w:tc>
        <w:tc>
          <w:tcPr>
            <w:tcW w:w="0" w:type="auto"/>
            <w:noWrap/>
          </w:tcPr>
          <w:p w14:paraId="69EBD35D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3´ </w:t>
            </w:r>
          </w:p>
        </w:tc>
        <w:tc>
          <w:tcPr>
            <w:tcW w:w="0" w:type="auto"/>
            <w:noWrap/>
          </w:tcPr>
          <w:p w14:paraId="1718847C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TGAACGGATGGTGTCCTGAG</w:t>
            </w:r>
          </w:p>
        </w:tc>
      </w:tr>
      <w:tr w:rsidR="00E500D7" w:rsidRPr="00656C2A" w14:paraId="504CFB56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16EB786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</w:tcPr>
          <w:p w14:paraId="1F837476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5´ </w:t>
            </w:r>
          </w:p>
        </w:tc>
        <w:tc>
          <w:tcPr>
            <w:tcW w:w="0" w:type="auto"/>
            <w:noWrap/>
          </w:tcPr>
          <w:p w14:paraId="1117921C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GGCCAGGTGGACTTCTACG</w:t>
            </w:r>
          </w:p>
        </w:tc>
      </w:tr>
      <w:tr w:rsidR="00E500D7" w:rsidRPr="00656C2A" w14:paraId="0552FCCA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452F0CD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VEGF-A</w:t>
            </w:r>
          </w:p>
        </w:tc>
        <w:tc>
          <w:tcPr>
            <w:tcW w:w="0" w:type="auto"/>
            <w:noWrap/>
          </w:tcPr>
          <w:p w14:paraId="6CECCB27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3´ </w:t>
            </w:r>
          </w:p>
        </w:tc>
        <w:tc>
          <w:tcPr>
            <w:tcW w:w="0" w:type="auto"/>
            <w:noWrap/>
          </w:tcPr>
          <w:p w14:paraId="533A7979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CCGCCTCGGCTTGTCACA</w:t>
            </w:r>
          </w:p>
        </w:tc>
      </w:tr>
      <w:tr w:rsidR="00E500D7" w:rsidRPr="00656C2A" w14:paraId="1BF39449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BB87F16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</w:tcPr>
          <w:p w14:paraId="4FF0678D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5´ </w:t>
            </w:r>
          </w:p>
        </w:tc>
        <w:tc>
          <w:tcPr>
            <w:tcW w:w="0" w:type="auto"/>
            <w:noWrap/>
          </w:tcPr>
          <w:p w14:paraId="54C17007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GCAAGACAAGAAAATCCCTGTGGGCC</w:t>
            </w:r>
          </w:p>
        </w:tc>
      </w:tr>
      <w:tr w:rsidR="00E500D7" w:rsidRPr="00656C2A" w14:paraId="675BF45F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A8C82E4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PHD1</w:t>
            </w:r>
          </w:p>
        </w:tc>
        <w:tc>
          <w:tcPr>
            <w:tcW w:w="0" w:type="auto"/>
            <w:noWrap/>
          </w:tcPr>
          <w:p w14:paraId="2B8664E2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3´ </w:t>
            </w:r>
          </w:p>
        </w:tc>
        <w:tc>
          <w:tcPr>
            <w:tcW w:w="0" w:type="auto"/>
            <w:noWrap/>
          </w:tcPr>
          <w:p w14:paraId="5DD8F5D6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TGGCCCTGGACTATATCGTG</w:t>
            </w:r>
          </w:p>
        </w:tc>
      </w:tr>
      <w:tr w:rsidR="00E500D7" w:rsidRPr="00656C2A" w14:paraId="0507E5B9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DBAD45A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</w:tcPr>
          <w:p w14:paraId="1371537E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5´</w:t>
            </w:r>
          </w:p>
        </w:tc>
        <w:tc>
          <w:tcPr>
            <w:tcW w:w="0" w:type="auto"/>
            <w:noWrap/>
          </w:tcPr>
          <w:p w14:paraId="7D9CD798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GGCACCAATGCTTCGACAG</w:t>
            </w:r>
          </w:p>
        </w:tc>
      </w:tr>
      <w:tr w:rsidR="00E500D7" w:rsidRPr="00656C2A" w14:paraId="324EF14F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B04954B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PHD2</w:t>
            </w:r>
          </w:p>
        </w:tc>
        <w:tc>
          <w:tcPr>
            <w:tcW w:w="0" w:type="auto"/>
            <w:noWrap/>
          </w:tcPr>
          <w:p w14:paraId="19E022BC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3´ </w:t>
            </w:r>
          </w:p>
        </w:tc>
        <w:tc>
          <w:tcPr>
            <w:tcW w:w="0" w:type="auto"/>
            <w:noWrap/>
          </w:tcPr>
          <w:p w14:paraId="46A13A86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GCACGACACCGGGAAGTT</w:t>
            </w:r>
          </w:p>
        </w:tc>
      </w:tr>
      <w:tr w:rsidR="00E500D7" w:rsidRPr="00656C2A" w14:paraId="059E7661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98C3A3E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</w:tcPr>
          <w:p w14:paraId="33A32E7F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5´</w:t>
            </w:r>
            <w:r w:rsidRPr="00656C2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0" w:type="auto"/>
            <w:noWrap/>
          </w:tcPr>
          <w:p w14:paraId="163B8D0A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CCAGCTTCCCGTTACAGT</w:t>
            </w:r>
          </w:p>
        </w:tc>
      </w:tr>
      <w:tr w:rsidR="00E500D7" w:rsidRPr="00656C2A" w14:paraId="31BD1730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B300E21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PHD3</w:t>
            </w:r>
          </w:p>
        </w:tc>
        <w:tc>
          <w:tcPr>
            <w:tcW w:w="0" w:type="auto"/>
            <w:noWrap/>
          </w:tcPr>
          <w:p w14:paraId="6D9AC5E0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3´ </w:t>
            </w:r>
          </w:p>
        </w:tc>
        <w:tc>
          <w:tcPr>
            <w:tcW w:w="0" w:type="auto"/>
            <w:noWrap/>
          </w:tcPr>
          <w:p w14:paraId="65A623ED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CACAGCGAGGGAATGAACCT</w:t>
            </w:r>
          </w:p>
        </w:tc>
      </w:tr>
      <w:tr w:rsidR="00E500D7" w:rsidRPr="00656C2A" w14:paraId="2BF833B5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E2F48FB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</w:tcPr>
          <w:p w14:paraId="370F9608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5´</w:t>
            </w:r>
          </w:p>
        </w:tc>
        <w:tc>
          <w:tcPr>
            <w:tcW w:w="0" w:type="auto"/>
            <w:noWrap/>
          </w:tcPr>
          <w:p w14:paraId="6BFB8A5E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TCCTGCTGTTAAGGCTTCCG</w:t>
            </w:r>
          </w:p>
        </w:tc>
      </w:tr>
      <w:tr w:rsidR="00E500D7" w:rsidRPr="00656C2A" w14:paraId="753EAD7F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BE46E75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IL6</w:t>
            </w:r>
          </w:p>
        </w:tc>
        <w:tc>
          <w:tcPr>
            <w:tcW w:w="0" w:type="auto"/>
            <w:noWrap/>
          </w:tcPr>
          <w:p w14:paraId="356E7830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3´</w:t>
            </w:r>
            <w:r w:rsidRPr="00656C2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0" w:type="auto"/>
            <w:noWrap/>
          </w:tcPr>
          <w:p w14:paraId="6A05A2AD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CCACTCACCTCTTCAGAACGAA</w:t>
            </w:r>
          </w:p>
        </w:tc>
      </w:tr>
      <w:tr w:rsidR="00E500D7" w:rsidRPr="00656C2A" w14:paraId="54D29FE0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092DB80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</w:tcPr>
          <w:p w14:paraId="1CFB6271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5´</w:t>
            </w:r>
          </w:p>
        </w:tc>
        <w:tc>
          <w:tcPr>
            <w:tcW w:w="0" w:type="auto"/>
            <w:noWrap/>
          </w:tcPr>
          <w:p w14:paraId="72FC5194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TGCATCTAGATTCTTTGCCTTTTT</w:t>
            </w:r>
          </w:p>
        </w:tc>
      </w:tr>
      <w:tr w:rsidR="00E500D7" w:rsidRPr="00656C2A" w14:paraId="2EB82E24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F4C3569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TNFA</w:t>
            </w:r>
          </w:p>
        </w:tc>
        <w:tc>
          <w:tcPr>
            <w:tcW w:w="0" w:type="auto"/>
            <w:noWrap/>
          </w:tcPr>
          <w:p w14:paraId="19A9B93D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 xml:space="preserve">3´ </w:t>
            </w:r>
          </w:p>
        </w:tc>
        <w:tc>
          <w:tcPr>
            <w:tcW w:w="0" w:type="auto"/>
            <w:noWrap/>
          </w:tcPr>
          <w:p w14:paraId="1F342690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CTCAGCTTGAGGGTTTGCTAC</w:t>
            </w:r>
          </w:p>
        </w:tc>
      </w:tr>
      <w:tr w:rsidR="00E500D7" w:rsidRPr="00656C2A" w14:paraId="4DD98947" w14:textId="77777777" w:rsidTr="0080159C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ACEEE05" w14:textId="77777777" w:rsidR="00E500D7" w:rsidRPr="00656C2A" w:rsidRDefault="00E500D7" w:rsidP="0080159C">
            <w:pPr>
              <w:spacing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noWrap/>
          </w:tcPr>
          <w:p w14:paraId="1F8E38F1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5´</w:t>
            </w:r>
          </w:p>
        </w:tc>
        <w:tc>
          <w:tcPr>
            <w:tcW w:w="0" w:type="auto"/>
            <w:noWrap/>
          </w:tcPr>
          <w:p w14:paraId="2E2B4A99" w14:textId="77777777" w:rsidR="00E500D7" w:rsidRPr="00656C2A" w:rsidRDefault="00E500D7" w:rsidP="0080159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C2A">
              <w:rPr>
                <w:rFonts w:ascii="Arial" w:hAnsi="Arial" w:cs="Arial"/>
                <w:sz w:val="20"/>
                <w:szCs w:val="20"/>
                <w:lang w:val="en-GB"/>
              </w:rPr>
              <w:t>TGCACTTTGGAGTGATCGGC</w:t>
            </w:r>
          </w:p>
        </w:tc>
      </w:tr>
    </w:tbl>
    <w:p w14:paraId="2D743D63" w14:textId="77777777" w:rsidR="00E500D7" w:rsidRDefault="00E500D7" w:rsidP="00E500D7">
      <w:pPr>
        <w:spacing w:line="360" w:lineRule="auto"/>
        <w:jc w:val="both"/>
        <w:rPr>
          <w:rFonts w:ascii="Arial" w:hAnsi="Arial" w:cs="Arial"/>
          <w:sz w:val="20"/>
          <w:lang w:val="en-GB"/>
        </w:rPr>
      </w:pPr>
    </w:p>
    <w:p w14:paraId="5F63DB93" w14:textId="77777777" w:rsidR="00E500D7" w:rsidRPr="007C0858" w:rsidRDefault="00E500D7" w:rsidP="00E500D7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5C4162DE" w14:textId="77777777" w:rsidR="001C76BA" w:rsidRDefault="001C76BA"/>
    <w:sectPr w:rsidR="001C76BA" w:rsidSect="001406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D7"/>
    <w:rsid w:val="00140604"/>
    <w:rsid w:val="001C76BA"/>
    <w:rsid w:val="00E5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53D63"/>
  <w15:chartTrackingRefBased/>
  <w15:docId w15:val="{487AD8EC-B154-403A-9C8D-A1BB636D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0D7"/>
    <w:rPr>
      <w:kern w:val="0"/>
      <w:lang w:val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E500D7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1419</Characters>
  <Application>Microsoft Office Word</Application>
  <DocSecurity>0</DocSecurity>
  <Lines>11</Lines>
  <Paragraphs>3</Paragraphs>
  <ScaleCrop>false</ScaleCrop>
  <Company>SpringerNature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2024-04-02T08:58:00Z</dcterms:created>
  <dcterms:modified xsi:type="dcterms:W3CDTF">2024-04-02T08:58:00Z</dcterms:modified>
</cp:coreProperties>
</file>