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cs="Times New Roman"/>
          <w:color w:val="auto"/>
          <w:sz w:val="21"/>
          <w:szCs w:val="21"/>
        </w:rPr>
      </w:pPr>
      <w:r>
        <w:rPr>
          <w:rFonts w:hint="default" w:ascii="Times New Roman" w:hAnsi="Times New Roman" w:cs="Times New Roman"/>
          <w:b/>
          <w:color w:val="auto"/>
          <w:sz w:val="21"/>
          <w:szCs w:val="21"/>
        </w:rPr>
        <w:t>Table S</w:t>
      </w:r>
      <w:r>
        <w:rPr>
          <w:rFonts w:hint="eastAsia" w:ascii="Times New Roman" w:hAnsi="Times New Roman" w:cs="Times New Roman"/>
          <w:b/>
          <w:color w:val="auto"/>
          <w:sz w:val="21"/>
          <w:szCs w:val="21"/>
          <w:lang w:val="en-US" w:eastAsia="zh-CN"/>
        </w:rPr>
        <w:t>1</w:t>
      </w:r>
      <w:r>
        <w:rPr>
          <w:rFonts w:hint="default" w:ascii="Times New Roman" w:hAnsi="Times New Roman" w:cs="Times New Roman"/>
          <w:color w:val="auto"/>
          <w:sz w:val="21"/>
          <w:szCs w:val="21"/>
        </w:rPr>
        <w:t xml:space="preserve"> Primer sequences of </w:t>
      </w:r>
      <w:r>
        <w:rPr>
          <w:rStyle w:val="6"/>
          <w:rFonts w:hint="default" w:ascii="Times New Roman" w:hAnsi="Times New Roman" w:cs="Times New Roman"/>
          <w:b w:val="0"/>
          <w:i/>
          <w:color w:val="auto"/>
          <w:sz w:val="21"/>
          <w:szCs w:val="21"/>
        </w:rPr>
        <w:t>BmaTCP29</w:t>
      </w:r>
      <w:r>
        <w:rPr>
          <w:rFonts w:hint="default" w:ascii="Times New Roman" w:hAnsi="Times New Roman" w:cs="Times New Roman"/>
          <w:color w:val="auto"/>
          <w:sz w:val="21"/>
          <w:szCs w:val="21"/>
        </w:rPr>
        <w:t>used in subcellular localization</w:t>
      </w:r>
    </w:p>
    <w:tbl>
      <w:tblPr>
        <w:tblStyle w:val="2"/>
        <w:tblW w:w="0" w:type="auto"/>
        <w:tblInd w:w="0" w:type="dxa"/>
        <w:tblBorders>
          <w:top w:val="single" w:color="008000" w:sz="12" w:space="0"/>
          <w:left w:val="none" w:color="auto" w:sz="0" w:space="0"/>
          <w:bottom w:val="single" w:color="008000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"/>
        <w:gridCol w:w="3883"/>
        <w:gridCol w:w="3693"/>
      </w:tblGrid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tcBorders>
              <w:bottom w:val="single" w:color="008000" w:sz="6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Gene</w:t>
            </w:r>
          </w:p>
        </w:tc>
        <w:tc>
          <w:tcPr>
            <w:tcW w:w="3883" w:type="dxa"/>
            <w:tcBorders>
              <w:bottom w:val="single" w:color="008000" w:sz="6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Forward primer (5′→3′)</w:t>
            </w:r>
          </w:p>
        </w:tc>
        <w:tc>
          <w:tcPr>
            <w:tcW w:w="3693" w:type="dxa"/>
            <w:tcBorders>
              <w:bottom w:val="single" w:color="008000" w:sz="6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Reverse primer (5′→3′)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noWrap w:val="0"/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i/>
                <w:i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21"/>
                <w:szCs w:val="21"/>
              </w:rPr>
              <w:t>BmaTCP29</w:t>
            </w:r>
          </w:p>
        </w:tc>
        <w:tc>
          <w:tcPr>
            <w:tcW w:w="3883" w:type="dxa"/>
            <w:noWrap w:val="0"/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1"/>
                <w:szCs w:val="21"/>
              </w:rPr>
              <w:t>ACCATTTACGAACGATAGCCATGGTGATGGAGGTGGTAGATATTCAACAG</w:t>
            </w:r>
          </w:p>
        </w:tc>
        <w:tc>
          <w:tcPr>
            <w:tcW w:w="3693" w:type="dxa"/>
            <w:noWrap w:val="0"/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lang w:eastAsia="zh-CN"/>
              </w:rPr>
              <w:t>CTCCTCGCCCTTGCTCACCATGGCGTTCTTTCCTTTTCCCTTCTGGT</w:t>
            </w:r>
          </w:p>
        </w:tc>
      </w:tr>
    </w:tbl>
    <w:p>
      <w:pPr>
        <w:spacing w:line="360" w:lineRule="auto"/>
        <w:jc w:val="center"/>
        <w:rPr>
          <w:rFonts w:hint="default" w:ascii="Times New Roman" w:hAnsi="Times New Roman" w:cs="Times New Roman"/>
          <w:b/>
          <w:color w:val="auto"/>
          <w:sz w:val="21"/>
          <w:szCs w:val="21"/>
        </w:rPr>
      </w:pPr>
    </w:p>
    <w:p>
      <w:pPr>
        <w:spacing w:line="360" w:lineRule="auto"/>
        <w:jc w:val="center"/>
        <w:rPr>
          <w:rFonts w:hint="default" w:ascii="Times New Roman" w:hAnsi="Times New Roman" w:cs="Times New Roman"/>
          <w:b/>
          <w:color w:val="auto"/>
          <w:sz w:val="21"/>
          <w:szCs w:val="21"/>
        </w:rPr>
      </w:pPr>
      <w:bookmarkStart w:id="0" w:name="_GoBack"/>
      <w:bookmarkEnd w:id="0"/>
    </w:p>
    <w:p>
      <w:pPr>
        <w:spacing w:line="360" w:lineRule="auto"/>
        <w:jc w:val="center"/>
        <w:rPr>
          <w:rFonts w:hint="default" w:ascii="Times New Roman" w:hAnsi="Times New Roman" w:cs="Times New Roman"/>
          <w:b/>
          <w:color w:val="auto"/>
          <w:sz w:val="21"/>
          <w:szCs w:val="21"/>
        </w:rPr>
      </w:pPr>
    </w:p>
    <w:p>
      <w:pPr>
        <w:spacing w:line="360" w:lineRule="auto"/>
        <w:jc w:val="center"/>
        <w:rPr>
          <w:rFonts w:hint="default" w:ascii="Times New Roman" w:hAnsi="Times New Roman" w:cs="Times New Roman"/>
          <w:b/>
          <w:color w:val="auto"/>
          <w:sz w:val="21"/>
          <w:szCs w:val="21"/>
        </w:rPr>
      </w:pPr>
    </w:p>
    <w:p>
      <w:pPr>
        <w:spacing w:line="360" w:lineRule="auto"/>
        <w:jc w:val="center"/>
        <w:rPr>
          <w:rFonts w:hint="default" w:ascii="Times New Roman" w:hAnsi="Times New Roman" w:cs="Times New Roman"/>
          <w:b/>
          <w:color w:val="auto"/>
          <w:sz w:val="21"/>
          <w:szCs w:val="21"/>
        </w:rPr>
      </w:pPr>
    </w:p>
    <w:p>
      <w:pPr>
        <w:spacing w:line="360" w:lineRule="auto"/>
        <w:jc w:val="center"/>
        <w:rPr>
          <w:rFonts w:hint="default" w:ascii="Times New Roman" w:hAnsi="Times New Roman" w:cs="Times New Roman"/>
          <w:b/>
          <w:color w:val="auto"/>
          <w:sz w:val="21"/>
          <w:szCs w:val="21"/>
        </w:rPr>
      </w:pPr>
    </w:p>
    <w:p>
      <w:pPr>
        <w:jc w:val="center"/>
        <w:rPr>
          <w:rFonts w:hint="default" w:ascii="Times New Roman" w:hAnsi="Times New Roman" w:cs="Times New Roman"/>
          <w:color w:val="auto"/>
          <w:sz w:val="21"/>
          <w:szCs w:val="21"/>
        </w:rPr>
      </w:pPr>
      <w:r>
        <w:rPr>
          <w:rFonts w:hint="default" w:ascii="Times New Roman" w:hAnsi="Times New Roman" w:cs="Times New Roman"/>
          <w:b/>
          <w:color w:val="auto"/>
          <w:sz w:val="21"/>
          <w:szCs w:val="21"/>
        </w:rPr>
        <w:t xml:space="preserve">Table </w:t>
      </w:r>
      <w:r>
        <w:rPr>
          <w:rFonts w:hint="eastAsia" w:ascii="Times New Roman" w:hAnsi="Times New Roman" w:cs="Times New Roman"/>
          <w:b/>
          <w:color w:val="auto"/>
          <w:sz w:val="21"/>
          <w:szCs w:val="21"/>
          <w:lang w:val="en-US" w:eastAsia="zh-CN"/>
        </w:rPr>
        <w:t>S2</w:t>
      </w:r>
      <w:r>
        <w:rPr>
          <w:rFonts w:hint="default" w:ascii="Times New Roman" w:hAnsi="Times New Roman" w:cs="Times New Roman"/>
          <w:b/>
          <w:color w:val="auto"/>
          <w:sz w:val="21"/>
          <w:szCs w:val="21"/>
        </w:rPr>
        <w:t xml:space="preserve"> </w:t>
      </w:r>
      <w:r>
        <w:rPr>
          <w:rFonts w:hint="default" w:ascii="Times New Roman" w:hAnsi="Times New Roman" w:cs="Times New Roman"/>
          <w:color w:val="auto"/>
          <w:sz w:val="21"/>
          <w:szCs w:val="21"/>
        </w:rPr>
        <w:t xml:space="preserve">Primer sequences of </w:t>
      </w:r>
      <w:r>
        <w:rPr>
          <w:rStyle w:val="6"/>
          <w:rFonts w:hint="default" w:ascii="Times New Roman" w:hAnsi="Times New Roman" w:cs="Times New Roman"/>
          <w:b w:val="0"/>
          <w:i/>
          <w:color w:val="auto"/>
          <w:sz w:val="21"/>
          <w:szCs w:val="21"/>
        </w:rPr>
        <w:t>Ph</w:t>
      </w:r>
      <w:r>
        <w:rPr>
          <w:rStyle w:val="6"/>
          <w:rFonts w:hint="default" w:ascii="Times New Roman" w:hAnsi="Times New Roman" w:cs="Times New Roman"/>
          <w:b w:val="0"/>
          <w:i/>
          <w:color w:val="auto"/>
          <w:sz w:val="21"/>
          <w:szCs w:val="21"/>
          <w:lang w:val="en-US" w:eastAsia="zh-CN"/>
        </w:rPr>
        <w:t>CS</w:t>
      </w:r>
      <w:r>
        <w:rPr>
          <w:rStyle w:val="6"/>
          <w:rFonts w:hint="default" w:ascii="Times New Roman" w:hAnsi="Times New Roman" w:cs="Times New Roman"/>
          <w:b w:val="0"/>
          <w:i/>
          <w:color w:val="auto"/>
          <w:sz w:val="21"/>
          <w:szCs w:val="21"/>
        </w:rPr>
        <w:t xml:space="preserve"> </w:t>
      </w:r>
      <w:r>
        <w:rPr>
          <w:rStyle w:val="6"/>
          <w:rFonts w:hint="default" w:ascii="Times New Roman" w:hAnsi="Times New Roman" w:cs="Times New Roman"/>
          <w:b w:val="0"/>
          <w:color w:val="auto"/>
          <w:sz w:val="21"/>
          <w:szCs w:val="21"/>
        </w:rPr>
        <w:t xml:space="preserve">and </w:t>
      </w:r>
      <w:r>
        <w:rPr>
          <w:rFonts w:hint="default" w:ascii="Times New Roman" w:hAnsi="Times New Roman" w:cs="Times New Roman"/>
          <w:i/>
          <w:iCs/>
          <w:color w:val="auto"/>
          <w:sz w:val="21"/>
          <w:szCs w:val="21"/>
        </w:rPr>
        <w:t>Ph</w:t>
      </w:r>
      <w:r>
        <w:rPr>
          <w:rFonts w:hint="default" w:ascii="Times New Roman" w:hAnsi="Times New Roman" w:cs="Times New Roman"/>
          <w:i/>
          <w:iCs/>
          <w:color w:val="auto"/>
          <w:sz w:val="21"/>
          <w:szCs w:val="21"/>
          <w:lang w:val="en-US" w:eastAsia="zh-CN"/>
        </w:rPr>
        <w:t>CYP</w:t>
      </w:r>
      <w:r>
        <w:rPr>
          <w:rStyle w:val="6"/>
          <w:rFonts w:hint="default" w:ascii="Times New Roman" w:hAnsi="Times New Roman" w:cs="Times New Roman"/>
          <w:i/>
          <w:color w:val="auto"/>
          <w:sz w:val="21"/>
          <w:szCs w:val="21"/>
        </w:rPr>
        <w:t xml:space="preserve"> </w:t>
      </w:r>
      <w:r>
        <w:rPr>
          <w:rFonts w:hint="default" w:ascii="Times New Roman" w:hAnsi="Times New Roman" w:cs="Times New Roman"/>
          <w:color w:val="auto"/>
          <w:sz w:val="21"/>
          <w:szCs w:val="21"/>
        </w:rPr>
        <w:t>used in quantitative real-time PCR</w:t>
      </w:r>
    </w:p>
    <w:tbl>
      <w:tblPr>
        <w:tblStyle w:val="2"/>
        <w:tblW w:w="0" w:type="auto"/>
        <w:tblInd w:w="0" w:type="dxa"/>
        <w:tblBorders>
          <w:top w:val="single" w:color="008000" w:sz="12" w:space="0"/>
          <w:left w:val="none" w:color="auto" w:sz="0" w:space="0"/>
          <w:bottom w:val="single" w:color="008000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6"/>
        <w:gridCol w:w="117"/>
        <w:gridCol w:w="3507"/>
        <w:gridCol w:w="3702"/>
      </w:tblGrid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  <w:tcBorders>
              <w:bottom w:val="single" w:color="008000" w:sz="6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Gene</w:t>
            </w:r>
          </w:p>
        </w:tc>
        <w:tc>
          <w:tcPr>
            <w:tcW w:w="3624" w:type="dxa"/>
            <w:gridSpan w:val="2"/>
            <w:tcBorders>
              <w:bottom w:val="single" w:color="008000" w:sz="6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Forward primer (5′→3′)</w:t>
            </w:r>
          </w:p>
        </w:tc>
        <w:tc>
          <w:tcPr>
            <w:tcW w:w="3702" w:type="dxa"/>
            <w:tcBorders>
              <w:bottom w:val="single" w:color="008000" w:sz="6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Reverse primer (5′→3′)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3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/>
                <w:i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BmaTCP1</w:t>
            </w:r>
          </w:p>
        </w:tc>
        <w:tc>
          <w:tcPr>
            <w:tcW w:w="3507" w:type="dxa"/>
            <w:noWrap w:val="0"/>
            <w:vAlign w:val="top"/>
          </w:tcPr>
          <w:p>
            <w:pPr>
              <w:widowControl/>
              <w:jc w:val="both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CGAGACAAGCGAACCATTTAC</w:t>
            </w:r>
          </w:p>
        </w:tc>
        <w:tc>
          <w:tcPr>
            <w:tcW w:w="3702" w:type="dxa"/>
            <w:noWrap w:val="0"/>
            <w:vAlign w:val="top"/>
          </w:tcPr>
          <w:p>
            <w:pPr>
              <w:widowControl/>
              <w:jc w:val="both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CTGAAAGGGAAGGGTCTGATA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3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/>
                <w:i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BmaTCP2</w:t>
            </w:r>
          </w:p>
        </w:tc>
        <w:tc>
          <w:tcPr>
            <w:tcW w:w="350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GAGCGGAGAAAGAAGAGAATCAG </w:t>
            </w:r>
          </w:p>
        </w:tc>
        <w:tc>
          <w:tcPr>
            <w:tcW w:w="3702" w:type="dxa"/>
            <w:noWrap w:val="0"/>
            <w:vAlign w:val="top"/>
          </w:tcPr>
          <w:p>
            <w:pPr>
              <w:widowControl/>
              <w:jc w:val="both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CAGAATTAAGTGGCGCGGAG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3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BmaTCP3</w:t>
            </w:r>
          </w:p>
        </w:tc>
        <w:tc>
          <w:tcPr>
            <w:tcW w:w="350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TTCCCGGAGATACCATCGTC </w:t>
            </w:r>
          </w:p>
        </w:tc>
        <w:tc>
          <w:tcPr>
            <w:tcW w:w="3702" w:type="dxa"/>
            <w:noWrap w:val="0"/>
            <w:vAlign w:val="top"/>
          </w:tcPr>
          <w:p>
            <w:pPr>
              <w:widowControl/>
              <w:jc w:val="both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GTGGCTGAGATTGATGATGATG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3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/>
                <w:i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BmaTCP6</w:t>
            </w:r>
          </w:p>
        </w:tc>
        <w:tc>
          <w:tcPr>
            <w:tcW w:w="350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CGAAGGAGAAGGAGAGAGAAC </w:t>
            </w:r>
          </w:p>
        </w:tc>
        <w:tc>
          <w:tcPr>
            <w:tcW w:w="3702" w:type="dxa"/>
            <w:noWrap w:val="0"/>
            <w:vAlign w:val="top"/>
          </w:tcPr>
          <w:p>
            <w:pPr>
              <w:widowControl/>
              <w:jc w:val="both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CGAAGCGAAGTAATCCAAAGGA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3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/>
                <w:i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BmaTCP12</w:t>
            </w:r>
          </w:p>
        </w:tc>
        <w:tc>
          <w:tcPr>
            <w:tcW w:w="35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TCGACGATTCAGTTTCAGAGC 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both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GCTTGATGATGGTGGAGTGA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3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BmaTCP24</w:t>
            </w:r>
          </w:p>
        </w:tc>
        <w:tc>
          <w:tcPr>
            <w:tcW w:w="35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AATAGAGGCGCAGAACAAGG 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both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GAACTGACACAGAAGGCGAG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3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BmaTCP29</w:t>
            </w:r>
          </w:p>
        </w:tc>
        <w:tc>
          <w:tcPr>
            <w:tcW w:w="35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CTCCATTACCCAAAACGCCT 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both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GGACTGGTTGCAGTAGTAACA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i/>
                <w:i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Bma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2"/>
                <w:sz w:val="21"/>
                <w:szCs w:val="21"/>
                <w:lang w:val="en-US" w:eastAsia="zh-CN" w:bidi="ar-SA"/>
              </w:rPr>
              <w:t>A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2"/>
                <w:sz w:val="21"/>
                <w:szCs w:val="21"/>
                <w:lang w:val="en-US" w:eastAsia="zh-CN" w:bidi="ar-SA"/>
              </w:rPr>
              <w:t>ctin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2"/>
                <w:sz w:val="21"/>
                <w:szCs w:val="21"/>
                <w:lang w:val="en-US" w:eastAsia="zh-CN" w:bidi="ar-SA"/>
              </w:rPr>
              <w:t>7</w:t>
            </w:r>
          </w:p>
        </w:tc>
        <w:tc>
          <w:tcPr>
            <w:tcW w:w="3624" w:type="dxa"/>
            <w:gridSpan w:val="2"/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TCGTGCTTGGAGGTTCGGCT A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both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CCAGCCTTCACCATTCCAGTTCC</w:t>
            </w:r>
          </w:p>
        </w:tc>
      </w:tr>
    </w:tbl>
    <w:p>
      <w:pPr>
        <w:rPr>
          <w:rFonts w:hint="default" w:ascii="Times New Roman" w:hAnsi="Times New Roman" w:cs="Times New Roman"/>
          <w:color w:val="auto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NjMTVhNzkwNjAyZTcxODMyNDk1MTA1YWRmMTIwNjIifQ=="/>
  </w:docVars>
  <w:rsids>
    <w:rsidRoot w:val="44E003B8"/>
    <w:rsid w:val="06672275"/>
    <w:rsid w:val="0B1629CB"/>
    <w:rsid w:val="17CD1C16"/>
    <w:rsid w:val="17D11419"/>
    <w:rsid w:val="1D182127"/>
    <w:rsid w:val="24095F99"/>
    <w:rsid w:val="2437550C"/>
    <w:rsid w:val="2E901BA6"/>
    <w:rsid w:val="321F6C4E"/>
    <w:rsid w:val="36F55A81"/>
    <w:rsid w:val="41F6449F"/>
    <w:rsid w:val="44E003B8"/>
    <w:rsid w:val="494D48CF"/>
    <w:rsid w:val="577D2C27"/>
    <w:rsid w:val="587D5BB0"/>
    <w:rsid w:val="6E1610E3"/>
    <w:rsid w:val="6FFF35EA"/>
    <w:rsid w:val="777B2C2F"/>
    <w:rsid w:val="782D669D"/>
    <w:rsid w:val="7E067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qFormat="1"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link w:val="5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Simple 1"/>
    <w:basedOn w:val="2"/>
    <w:qFormat/>
    <w:uiPriority w:val="0"/>
    <w:pPr>
      <w:widowControl w:val="0"/>
      <w:jc w:val="both"/>
    </w:pPr>
    <w:tblPr>
      <w:tblBorders>
        <w:top w:val="single" w:color="008000" w:sz="12" w:space="0"/>
        <w:bottom w:val="single" w:color="008000" w:sz="12" w:space="0"/>
      </w:tblBorders>
    </w:tblPr>
    <w:tcPr>
      <w:shd w:val="clear" w:color="auto" w:fill="auto"/>
    </w:tcPr>
    <w:tblStylePr w:type="firstRow">
      <w:tblPr/>
      <w:tcPr>
        <w:tcBorders>
          <w:left w:val="single" w:color="008000" w:sz="6" w:space="0"/>
          <w:tl2br w:val="nil"/>
          <w:tr2bl w:val="nil"/>
        </w:tcBorders>
      </w:tcPr>
    </w:tblStylePr>
    <w:tblStylePr w:type="lastRow">
      <w:tblPr/>
      <w:tcPr>
        <w:tcBorders>
          <w:top w:val="single" w:color="008000" w:sz="6" w:space="0"/>
          <w:tl2br w:val="nil"/>
          <w:tr2bl w:val="nil"/>
        </w:tcBorders>
      </w:tcPr>
    </w:tblStylePr>
  </w:style>
  <w:style w:type="paragraph" w:customStyle="1" w:styleId="5">
    <w:name w:val="_Style 3"/>
    <w:basedOn w:val="1"/>
    <w:next w:val="1"/>
    <w:link w:val="4"/>
    <w:autoRedefine/>
    <w:qFormat/>
    <w:uiPriority w:val="0"/>
    <w:pPr>
      <w:spacing w:after="0" w:afterLines="0" w:line="240" w:lineRule="atLeast"/>
      <w:ind w:left="420" w:firstLine="420"/>
      <w:jc w:val="left"/>
    </w:pPr>
  </w:style>
  <w:style w:type="character" w:styleId="6">
    <w:name w:val="Strong"/>
    <w:basedOn w:val="4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2020-01-22T06:11:00Z</dcterms:created>
  <dc:creator>admin</dc:creator>
  <cp:lastModifiedBy>WPS_1645581643</cp:lastModifiedBy>
  <dcterms:modified xsi:type="dcterms:W3CDTF">2024-03-27T02:23:49Z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7151A2053BE04A0FBC8315A8E046B4B8_13</vt:lpwstr>
  </property>
</Properties>
</file>