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DB5D" w14:textId="77777777" w:rsidR="00F948CD" w:rsidRDefault="00F948CD" w:rsidP="00F948CD">
      <w:pPr>
        <w:rPr>
          <w:lang w:val="en-GB"/>
        </w:rPr>
      </w:pPr>
      <w:bookmarkStart w:id="0" w:name="_GoBack"/>
      <w:bookmarkEnd w:id="0"/>
      <w:r>
        <w:rPr>
          <w:lang w:val="en-GB"/>
        </w:rPr>
        <w:t>Supplemental information</w:t>
      </w:r>
    </w:p>
    <w:tbl>
      <w:tblPr>
        <w:tblStyle w:val="Onopgemaaktetabel2"/>
        <w:tblpPr w:leftFromText="141" w:rightFromText="141" w:vertAnchor="page" w:horzAnchor="margin" w:tblpY="305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984"/>
        <w:gridCol w:w="993"/>
        <w:gridCol w:w="2018"/>
        <w:gridCol w:w="1559"/>
      </w:tblGrid>
      <w:tr w:rsidR="00F948CD" w:rsidRPr="005A4C19" w14:paraId="672D6DB2" w14:textId="77777777" w:rsidTr="00CF5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tcBorders>
              <w:top w:val="nil"/>
              <w:bottom w:val="single" w:sz="4" w:space="0" w:color="auto"/>
            </w:tcBorders>
          </w:tcPr>
          <w:p w14:paraId="2CAC4059" w14:textId="77777777" w:rsidR="00F948CD" w:rsidRPr="00DB5A2B" w:rsidRDefault="00F948CD" w:rsidP="00CF5D8D">
            <w:pPr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 xml:space="preserve">Table S1.  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Changes in vascular function, cardiovascular risk factors, and glucose homeostasis: </w:t>
            </w:r>
            <w:proofErr w:type="spellStart"/>
            <w:r>
              <w:rPr>
                <w:b w:val="0"/>
                <w:bCs w:val="0"/>
                <w:sz w:val="18"/>
                <w:szCs w:val="18"/>
                <w:lang w:val="en-US"/>
              </w:rPr>
              <w:t>PhenoDiet</w:t>
            </w:r>
            <w:proofErr w:type="spellEnd"/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 group A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DB5A2B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versus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8"/>
                <w:szCs w:val="18"/>
                <w:lang w:val="en-US"/>
              </w:rPr>
              <w:t>PhenoDiet</w:t>
            </w:r>
            <w:proofErr w:type="spellEnd"/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 group B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>.</w:t>
            </w:r>
          </w:p>
        </w:tc>
      </w:tr>
      <w:tr w:rsidR="00F948CD" w:rsidRPr="00DB5A2B" w14:paraId="55867DD3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</w:tcBorders>
            <w:hideMark/>
          </w:tcPr>
          <w:p w14:paraId="54D63DEC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14:paraId="3A127508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Diet group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hideMark/>
          </w:tcPr>
          <w:p w14:paraId="712075C4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Model 3*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</w:tcBorders>
            <w:hideMark/>
          </w:tcPr>
          <w:p w14:paraId="0552D37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Model 4*</w:t>
            </w:r>
          </w:p>
        </w:tc>
      </w:tr>
      <w:tr w:rsidR="00F948CD" w:rsidRPr="00DB5A2B" w14:paraId="59E25ACE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12" w:space="0" w:color="auto"/>
            </w:tcBorders>
            <w:hideMark/>
          </w:tcPr>
          <w:p w14:paraId="2395F773" w14:textId="77777777" w:rsidR="00F948CD" w:rsidRPr="00DB5A2B" w:rsidRDefault="00F948CD" w:rsidP="00CF5D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hideMark/>
          </w:tcPr>
          <w:p w14:paraId="4B42AA8D" w14:textId="77777777" w:rsidR="00F948CD" w:rsidRPr="00DB5A2B" w:rsidRDefault="00F948CD" w:rsidP="00CF5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hideMark/>
          </w:tcPr>
          <w:p w14:paraId="5795D0C4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rFonts w:cstheme="minorHAnsi"/>
                <w:b/>
                <w:bCs/>
                <w:sz w:val="18"/>
                <w:szCs w:val="18"/>
                <w:lang w:val="en-US"/>
              </w:rPr>
              <w:t>β</w:t>
            </w:r>
            <w:r w:rsidRPr="00DB5A2B">
              <w:rPr>
                <w:b/>
                <w:bCs/>
                <w:sz w:val="18"/>
                <w:szCs w:val="18"/>
                <w:lang w:val="en-US"/>
              </w:rPr>
              <w:t xml:space="preserve"> [95% CI]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hideMark/>
          </w:tcPr>
          <w:p w14:paraId="2976DE7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2018" w:type="dxa"/>
            <w:tcBorders>
              <w:bottom w:val="single" w:sz="12" w:space="0" w:color="auto"/>
            </w:tcBorders>
            <w:hideMark/>
          </w:tcPr>
          <w:p w14:paraId="504197A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rFonts w:cstheme="minorHAnsi"/>
                <w:b/>
                <w:bCs/>
                <w:sz w:val="18"/>
                <w:szCs w:val="18"/>
                <w:lang w:val="en-US"/>
              </w:rPr>
              <w:t>β</w:t>
            </w:r>
            <w:r w:rsidRPr="00DB5A2B">
              <w:rPr>
                <w:b/>
                <w:bCs/>
                <w:sz w:val="18"/>
                <w:szCs w:val="18"/>
                <w:lang w:val="en-US"/>
              </w:rPr>
              <w:t xml:space="preserve"> [95% CI]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hideMark/>
          </w:tcPr>
          <w:p w14:paraId="7F64D23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F948CD" w:rsidRPr="00DB5A2B" w14:paraId="2616A11B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BC27936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CAR%, %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hideMark/>
          </w:tcPr>
          <w:p w14:paraId="4EB0E76E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hideMark/>
          </w:tcPr>
          <w:p w14:paraId="73AB467E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hideMark/>
          </w:tcPr>
          <w:p w14:paraId="0CBC405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hideMark/>
          </w:tcPr>
          <w:p w14:paraId="2CFC3686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hideMark/>
          </w:tcPr>
          <w:p w14:paraId="62C47703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074EBC19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4D2F5BAE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2CDCF801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34231761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0.06 [-0.80 –0.92]</w:t>
            </w:r>
          </w:p>
        </w:tc>
        <w:tc>
          <w:tcPr>
            <w:tcW w:w="993" w:type="dxa"/>
          </w:tcPr>
          <w:p w14:paraId="4144B5FC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0.891</w:t>
            </w:r>
          </w:p>
        </w:tc>
        <w:tc>
          <w:tcPr>
            <w:tcW w:w="2018" w:type="dxa"/>
          </w:tcPr>
          <w:p w14:paraId="040664E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0.01 [-0.89–0.92]</w:t>
            </w:r>
          </w:p>
        </w:tc>
        <w:tc>
          <w:tcPr>
            <w:tcW w:w="1559" w:type="dxa"/>
          </w:tcPr>
          <w:p w14:paraId="0459E264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0.977</w:t>
            </w:r>
          </w:p>
        </w:tc>
      </w:tr>
      <w:tr w:rsidR="00F948CD" w:rsidRPr="00DB5A2B" w14:paraId="668AD858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7292AD2C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CAR</w:t>
            </w:r>
            <w:r w:rsidRPr="00DB5A2B">
              <w:rPr>
                <w:sz w:val="18"/>
                <w:szCs w:val="18"/>
                <w:vertAlign w:val="subscript"/>
                <w:lang w:val="en-US"/>
              </w:rPr>
              <w:t>AUC</w:t>
            </w:r>
            <w:r w:rsidRPr="00DB5A2B">
              <w:rPr>
                <w:sz w:val="18"/>
                <w:szCs w:val="18"/>
                <w:lang w:val="en-US"/>
              </w:rPr>
              <w:t>, cm*s</w:t>
            </w:r>
          </w:p>
        </w:tc>
        <w:tc>
          <w:tcPr>
            <w:tcW w:w="851" w:type="dxa"/>
            <w:hideMark/>
          </w:tcPr>
          <w:p w14:paraId="000A63A1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299CC78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7E9EFD59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346A4A7A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6CB7E9A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0884324A" w14:textId="77777777" w:rsidTr="00CF5D8D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779AA8C4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hideMark/>
          </w:tcPr>
          <w:p w14:paraId="034970A0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372628C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-0.29 [-0.97–0.39]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63B661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0.393</w:t>
            </w:r>
          </w:p>
        </w:tc>
        <w:tc>
          <w:tcPr>
            <w:tcW w:w="2018" w:type="dxa"/>
            <w:tcBorders>
              <w:bottom w:val="single" w:sz="12" w:space="0" w:color="auto"/>
            </w:tcBorders>
          </w:tcPr>
          <w:p w14:paraId="6FC8209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-0.29 [-0.99–0.41]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B96854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0.416</w:t>
            </w:r>
          </w:p>
        </w:tc>
      </w:tr>
      <w:tr w:rsidR="00F948CD" w:rsidRPr="00DB5A2B" w14:paraId="6F094293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28A0298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SBP, mmHg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hideMark/>
          </w:tcPr>
          <w:p w14:paraId="13926686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273EC5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43E67EC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  <w:tcBorders>
              <w:top w:val="single" w:sz="12" w:space="0" w:color="auto"/>
            </w:tcBorders>
          </w:tcPr>
          <w:p w14:paraId="4925A9EB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4F46666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1DBB450C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514BF457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69E99FD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42A707E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2.34 [-1.12–5.79]</w:t>
            </w:r>
          </w:p>
        </w:tc>
        <w:tc>
          <w:tcPr>
            <w:tcW w:w="993" w:type="dxa"/>
          </w:tcPr>
          <w:p w14:paraId="1CE7E7B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0.182</w:t>
            </w:r>
          </w:p>
        </w:tc>
        <w:tc>
          <w:tcPr>
            <w:tcW w:w="2018" w:type="dxa"/>
          </w:tcPr>
          <w:p w14:paraId="07B212E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3.58 [-0.07–7.23]</w:t>
            </w:r>
          </w:p>
        </w:tc>
        <w:tc>
          <w:tcPr>
            <w:tcW w:w="1559" w:type="dxa"/>
            <w:shd w:val="clear" w:color="auto" w:fill="auto"/>
          </w:tcPr>
          <w:p w14:paraId="558D030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0.054</w:t>
            </w:r>
          </w:p>
        </w:tc>
      </w:tr>
      <w:tr w:rsidR="00F948CD" w:rsidRPr="00DB5A2B" w14:paraId="452820A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345494BC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DBP, mmHg</w:t>
            </w:r>
          </w:p>
        </w:tc>
        <w:tc>
          <w:tcPr>
            <w:tcW w:w="851" w:type="dxa"/>
            <w:hideMark/>
          </w:tcPr>
          <w:p w14:paraId="2BDAACB1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7F1FC53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00DD8A54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4E10669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663CCA4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033B9694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2F79052D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50C861C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325B94E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0.90 [-1.57–3.38]</w:t>
            </w:r>
          </w:p>
        </w:tc>
        <w:tc>
          <w:tcPr>
            <w:tcW w:w="993" w:type="dxa"/>
          </w:tcPr>
          <w:p w14:paraId="7E6CA06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0.471</w:t>
            </w:r>
          </w:p>
        </w:tc>
        <w:tc>
          <w:tcPr>
            <w:tcW w:w="2018" w:type="dxa"/>
          </w:tcPr>
          <w:p w14:paraId="2851C57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0.97 [-1.56–3.50]</w:t>
            </w:r>
          </w:p>
        </w:tc>
        <w:tc>
          <w:tcPr>
            <w:tcW w:w="1559" w:type="dxa"/>
          </w:tcPr>
          <w:p w14:paraId="6411356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0.449</w:t>
            </w:r>
          </w:p>
        </w:tc>
      </w:tr>
      <w:tr w:rsidR="00F948CD" w:rsidRPr="00DB5A2B" w14:paraId="4E900EBC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200C6889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TC, mmol/L</w:t>
            </w:r>
          </w:p>
        </w:tc>
        <w:tc>
          <w:tcPr>
            <w:tcW w:w="851" w:type="dxa"/>
            <w:hideMark/>
          </w:tcPr>
          <w:p w14:paraId="17130F2A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51397BFF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2556D941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0FD9508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1EF2400E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18683BFE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07921E3D" w14:textId="77777777" w:rsidR="00F948CD" w:rsidRPr="00DB5A2B" w:rsidRDefault="00F948CD" w:rsidP="00CF5D8D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808080" w:themeColor="background1" w:themeShade="80"/>
            </w:tcBorders>
            <w:hideMark/>
          </w:tcPr>
          <w:p w14:paraId="0B9EB8C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  <w:tcBorders>
              <w:bottom w:val="single" w:sz="4" w:space="0" w:color="808080" w:themeColor="background1" w:themeShade="80"/>
            </w:tcBorders>
          </w:tcPr>
          <w:p w14:paraId="6323104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0.14 [-0.05–0.32]</w:t>
            </w:r>
          </w:p>
        </w:tc>
        <w:tc>
          <w:tcPr>
            <w:tcW w:w="993" w:type="dxa"/>
            <w:tcBorders>
              <w:bottom w:val="single" w:sz="4" w:space="0" w:color="808080" w:themeColor="background1" w:themeShade="80"/>
            </w:tcBorders>
          </w:tcPr>
          <w:p w14:paraId="5334E5F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0.142</w:t>
            </w:r>
          </w:p>
        </w:tc>
        <w:tc>
          <w:tcPr>
            <w:tcW w:w="2018" w:type="dxa"/>
            <w:tcBorders>
              <w:bottom w:val="single" w:sz="4" w:space="0" w:color="808080" w:themeColor="background1" w:themeShade="80"/>
            </w:tcBorders>
          </w:tcPr>
          <w:p w14:paraId="2F66EA9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0.18 [-0.02–0.37]</w:t>
            </w:r>
          </w:p>
        </w:tc>
        <w:tc>
          <w:tcPr>
            <w:tcW w:w="1559" w:type="dxa"/>
            <w:tcBorders>
              <w:bottom w:val="single" w:sz="4" w:space="0" w:color="808080" w:themeColor="background1" w:themeShade="80"/>
            </w:tcBorders>
          </w:tcPr>
          <w:p w14:paraId="1A4306CA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0.079</w:t>
            </w:r>
          </w:p>
        </w:tc>
      </w:tr>
      <w:tr w:rsidR="00F948CD" w:rsidRPr="00DB5A2B" w14:paraId="5E5E9523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71D2331F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HDL, mmol/L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</w:tcBorders>
            <w:hideMark/>
          </w:tcPr>
          <w:p w14:paraId="280020C7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14:paraId="27F63727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</w:tcBorders>
          </w:tcPr>
          <w:p w14:paraId="2BAEAA3C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  <w:tcBorders>
              <w:top w:val="single" w:sz="4" w:space="0" w:color="808080" w:themeColor="background1" w:themeShade="80"/>
            </w:tcBorders>
          </w:tcPr>
          <w:p w14:paraId="66C59C2E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46058F7D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18E620CD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6D8C3AAD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37B3EC5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0C7DC7C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0.03 [-0.01–0.07]</w:t>
            </w:r>
          </w:p>
        </w:tc>
        <w:tc>
          <w:tcPr>
            <w:tcW w:w="993" w:type="dxa"/>
          </w:tcPr>
          <w:p w14:paraId="5066DE4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0.192</w:t>
            </w:r>
          </w:p>
        </w:tc>
        <w:tc>
          <w:tcPr>
            <w:tcW w:w="2018" w:type="dxa"/>
          </w:tcPr>
          <w:p w14:paraId="156A760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0.04 [-0.01–0.08]</w:t>
            </w:r>
          </w:p>
        </w:tc>
        <w:tc>
          <w:tcPr>
            <w:tcW w:w="1559" w:type="dxa"/>
          </w:tcPr>
          <w:p w14:paraId="303FC144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0.103</w:t>
            </w:r>
          </w:p>
        </w:tc>
      </w:tr>
      <w:tr w:rsidR="00F948CD" w:rsidRPr="00DB5A2B" w14:paraId="100285BB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4F851CCE" w14:textId="77777777" w:rsidR="00F948CD" w:rsidRPr="00DB5A2B" w:rsidRDefault="00F948CD" w:rsidP="00CF5D8D">
            <w:pPr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TC/HD, ratio</w:t>
            </w:r>
          </w:p>
        </w:tc>
        <w:tc>
          <w:tcPr>
            <w:tcW w:w="851" w:type="dxa"/>
            <w:hideMark/>
          </w:tcPr>
          <w:p w14:paraId="40AEFDDA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144D671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7877CCF7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26FF1F1C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245946EC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32BA0B26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4BD1210A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30ED48C3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1A0D294C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0.01 [-0.13–0.16]</w:t>
            </w:r>
          </w:p>
        </w:tc>
        <w:tc>
          <w:tcPr>
            <w:tcW w:w="993" w:type="dxa"/>
          </w:tcPr>
          <w:p w14:paraId="05F614E4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0.851</w:t>
            </w:r>
          </w:p>
        </w:tc>
        <w:tc>
          <w:tcPr>
            <w:tcW w:w="2018" w:type="dxa"/>
          </w:tcPr>
          <w:p w14:paraId="4C8C1ED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0.01 [-0.14–0.15]</w:t>
            </w:r>
          </w:p>
        </w:tc>
        <w:tc>
          <w:tcPr>
            <w:tcW w:w="1559" w:type="dxa"/>
          </w:tcPr>
          <w:p w14:paraId="3688A1F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0.922</w:t>
            </w:r>
          </w:p>
        </w:tc>
      </w:tr>
      <w:tr w:rsidR="00F948CD" w:rsidRPr="00DB5A2B" w14:paraId="6344A6E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264A6DCC" w14:textId="77777777" w:rsidR="00F948CD" w:rsidRPr="00DB5A2B" w:rsidRDefault="00F948CD" w:rsidP="00CF5D8D">
            <w:pPr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FRS</w:t>
            </w:r>
          </w:p>
        </w:tc>
        <w:tc>
          <w:tcPr>
            <w:tcW w:w="851" w:type="dxa"/>
            <w:hideMark/>
          </w:tcPr>
          <w:p w14:paraId="1062FF68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40ECF98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5E2D3AC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0833FD58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4D8ADCC7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72DF883F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5BC3688B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728E960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631E7C3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0.45 [-0.27–1.16]</w:t>
            </w:r>
          </w:p>
        </w:tc>
        <w:tc>
          <w:tcPr>
            <w:tcW w:w="993" w:type="dxa"/>
          </w:tcPr>
          <w:p w14:paraId="238FEC3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0.217</w:t>
            </w:r>
          </w:p>
        </w:tc>
        <w:tc>
          <w:tcPr>
            <w:tcW w:w="2018" w:type="dxa"/>
          </w:tcPr>
          <w:p w14:paraId="636620E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0.54 [-0.18–1.26]</w:t>
            </w:r>
          </w:p>
        </w:tc>
        <w:tc>
          <w:tcPr>
            <w:tcW w:w="1559" w:type="dxa"/>
          </w:tcPr>
          <w:p w14:paraId="6009CBE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0.140</w:t>
            </w:r>
          </w:p>
        </w:tc>
      </w:tr>
      <w:tr w:rsidR="00F948CD" w:rsidRPr="00DB5A2B" w14:paraId="3F4B0436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</w:tcPr>
          <w:p w14:paraId="047ACF5A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Weight, kg</w:t>
            </w:r>
          </w:p>
        </w:tc>
        <w:tc>
          <w:tcPr>
            <w:tcW w:w="851" w:type="dxa"/>
          </w:tcPr>
          <w:p w14:paraId="767169E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77F91504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993" w:type="dxa"/>
          </w:tcPr>
          <w:p w14:paraId="29A8209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2018" w:type="dxa"/>
          </w:tcPr>
          <w:p w14:paraId="31F6BDC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61DB90B3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681FA027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</w:tcPr>
          <w:p w14:paraId="3BED55A6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1AFB867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3E624FC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NA</w:t>
            </w:r>
          </w:p>
        </w:tc>
        <w:tc>
          <w:tcPr>
            <w:tcW w:w="993" w:type="dxa"/>
          </w:tcPr>
          <w:p w14:paraId="5C9C841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2018" w:type="dxa"/>
          </w:tcPr>
          <w:p w14:paraId="7B84B35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0.63 [-0.32–1.57]</w:t>
            </w:r>
          </w:p>
        </w:tc>
        <w:tc>
          <w:tcPr>
            <w:tcW w:w="1559" w:type="dxa"/>
          </w:tcPr>
          <w:p w14:paraId="2CE1A910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0.191</w:t>
            </w:r>
          </w:p>
        </w:tc>
      </w:tr>
      <w:tr w:rsidR="00F948CD" w:rsidRPr="00DB5A2B" w14:paraId="232BB0B9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204FF41A" w14:textId="77777777" w:rsidR="00F948CD" w:rsidRPr="00DB5A2B" w:rsidRDefault="00F948CD" w:rsidP="00CF5D8D">
            <w:pPr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WHR</w:t>
            </w:r>
          </w:p>
        </w:tc>
        <w:tc>
          <w:tcPr>
            <w:tcW w:w="851" w:type="dxa"/>
            <w:hideMark/>
          </w:tcPr>
          <w:p w14:paraId="36544D8E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5B301EB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601671E5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581C593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5297C349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38DD4731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5E275D95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hideMark/>
          </w:tcPr>
          <w:p w14:paraId="273DF5B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F077BF8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-0.01 [-0.02–0.01]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D2B8574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0.333</w:t>
            </w:r>
          </w:p>
        </w:tc>
        <w:tc>
          <w:tcPr>
            <w:tcW w:w="2018" w:type="dxa"/>
            <w:tcBorders>
              <w:bottom w:val="single" w:sz="12" w:space="0" w:color="auto"/>
            </w:tcBorders>
          </w:tcPr>
          <w:p w14:paraId="79AB7AF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-0.01 [-0.02–0.01]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29A69E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0.412</w:t>
            </w:r>
          </w:p>
        </w:tc>
      </w:tr>
      <w:tr w:rsidR="00F948CD" w:rsidRPr="00DB5A2B" w14:paraId="0290812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C00E3D7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Matsuda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hideMark/>
          </w:tcPr>
          <w:p w14:paraId="69317C0E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A7113D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F1297B0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  <w:tcBorders>
              <w:top w:val="single" w:sz="12" w:space="0" w:color="auto"/>
            </w:tcBorders>
          </w:tcPr>
          <w:p w14:paraId="17521574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30DC6CD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45514109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7CB6ED4F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10BAE87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6D75C65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-1.18 [-3.01–0.66]</w:t>
            </w:r>
          </w:p>
        </w:tc>
        <w:tc>
          <w:tcPr>
            <w:tcW w:w="993" w:type="dxa"/>
          </w:tcPr>
          <w:p w14:paraId="5A46197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0.205</w:t>
            </w:r>
          </w:p>
        </w:tc>
        <w:tc>
          <w:tcPr>
            <w:tcW w:w="2018" w:type="dxa"/>
          </w:tcPr>
          <w:p w14:paraId="4E4CF19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-1.55 [-3.56–0.46]</w:t>
            </w:r>
          </w:p>
        </w:tc>
        <w:tc>
          <w:tcPr>
            <w:tcW w:w="1559" w:type="dxa"/>
          </w:tcPr>
          <w:p w14:paraId="78DCAFC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0.130</w:t>
            </w:r>
          </w:p>
        </w:tc>
      </w:tr>
      <w:tr w:rsidR="00F948CD" w:rsidRPr="00DB5A2B" w14:paraId="0724EAF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5938CFF5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HOMA-IR</w:t>
            </w:r>
          </w:p>
        </w:tc>
        <w:tc>
          <w:tcPr>
            <w:tcW w:w="851" w:type="dxa"/>
            <w:hideMark/>
          </w:tcPr>
          <w:p w14:paraId="738ED41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496BCB14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475A8BD1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77B2AAB0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1C4B130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58A94096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2E564119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3E0C273C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734A09C0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0.03 [-0.20–0.26]</w:t>
            </w:r>
          </w:p>
        </w:tc>
        <w:tc>
          <w:tcPr>
            <w:tcW w:w="993" w:type="dxa"/>
          </w:tcPr>
          <w:p w14:paraId="7A650C9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0.805</w:t>
            </w:r>
          </w:p>
        </w:tc>
        <w:tc>
          <w:tcPr>
            <w:tcW w:w="2018" w:type="dxa"/>
          </w:tcPr>
          <w:p w14:paraId="11A1418C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0.06 [-0.18–0.30]</w:t>
            </w:r>
          </w:p>
        </w:tc>
        <w:tc>
          <w:tcPr>
            <w:tcW w:w="1559" w:type="dxa"/>
          </w:tcPr>
          <w:p w14:paraId="725C43F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0.608</w:t>
            </w:r>
          </w:p>
        </w:tc>
      </w:tr>
      <w:tr w:rsidR="00F948CD" w:rsidRPr="00DB5A2B" w14:paraId="00FCBD5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vAlign w:val="center"/>
            <w:hideMark/>
          </w:tcPr>
          <w:p w14:paraId="701FA81C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Disposition index</w:t>
            </w:r>
          </w:p>
        </w:tc>
        <w:tc>
          <w:tcPr>
            <w:tcW w:w="851" w:type="dxa"/>
            <w:hideMark/>
          </w:tcPr>
          <w:p w14:paraId="0981306A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984" w:type="dxa"/>
          </w:tcPr>
          <w:p w14:paraId="3C2AF7BF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3" w:type="dxa"/>
          </w:tcPr>
          <w:p w14:paraId="576F3ECA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18" w:type="dxa"/>
          </w:tcPr>
          <w:p w14:paraId="61C8B481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1559" w:type="dxa"/>
          </w:tcPr>
          <w:p w14:paraId="6BC1B2FE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4F611979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vAlign w:val="center"/>
            <w:hideMark/>
          </w:tcPr>
          <w:p w14:paraId="7AF7E726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hideMark/>
          </w:tcPr>
          <w:p w14:paraId="136BA06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984" w:type="dxa"/>
          </w:tcPr>
          <w:p w14:paraId="22F48D1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10.16 [-57.56–77.88]</w:t>
            </w:r>
          </w:p>
        </w:tc>
        <w:tc>
          <w:tcPr>
            <w:tcW w:w="993" w:type="dxa"/>
          </w:tcPr>
          <w:p w14:paraId="1AD6969C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0.766</w:t>
            </w:r>
          </w:p>
        </w:tc>
        <w:tc>
          <w:tcPr>
            <w:tcW w:w="2018" w:type="dxa"/>
          </w:tcPr>
          <w:p w14:paraId="355CA8ED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21.40 [-46.43–89.23]</w:t>
            </w:r>
          </w:p>
        </w:tc>
        <w:tc>
          <w:tcPr>
            <w:tcW w:w="1559" w:type="dxa"/>
          </w:tcPr>
          <w:p w14:paraId="3EC9662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0.532</w:t>
            </w:r>
          </w:p>
        </w:tc>
      </w:tr>
      <w:tr w:rsidR="00F948CD" w:rsidRPr="00B84F7C" w14:paraId="3674A9E6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tcBorders>
              <w:bottom w:val="nil"/>
            </w:tcBorders>
          </w:tcPr>
          <w:p w14:paraId="5B1B03FB" w14:textId="77777777" w:rsidR="00F948CD" w:rsidRPr="00DB5A2B" w:rsidRDefault="00F948CD" w:rsidP="00CF5D8D">
            <w:pPr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CAR, carotid artery reactivity; AUC, area under the curve; SBP, systolic blood pressure; DBP, diastolic blood pressure; TC, total cholesterol; HDL, high-density lipoprotein; FRS, Framingham risk score; WHR, waist-to-hip ratio; HOMA-IR, Homeostatic Model Assessment of Insulin Resistance. *Linear regression models testing differences in the change (week 12 minus baseline) in the </w:t>
            </w:r>
            <w:proofErr w:type="gramStart"/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>outcome  variable</w:t>
            </w:r>
            <w:proofErr w:type="gramEnd"/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between </w:t>
            </w:r>
            <w:proofErr w:type="spellStart"/>
            <w:r>
              <w:rPr>
                <w:b w:val="0"/>
                <w:bCs w:val="0"/>
                <w:sz w:val="18"/>
                <w:szCs w:val="18"/>
                <w:lang w:val="en-US"/>
              </w:rPr>
              <w:t>PhenoDiet</w:t>
            </w:r>
            <w:proofErr w:type="spellEnd"/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 group A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and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group B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. Model 3: corrected for baseline values, age, sex and weight change; Model 4: corrected for baseline values, age, sex and change in physical activity (% awake time), physical activity data were available for N=93. NA, not applicable. </w:t>
            </w:r>
          </w:p>
        </w:tc>
      </w:tr>
    </w:tbl>
    <w:p w14:paraId="34A69DBE" w14:textId="77777777" w:rsidR="00F948CD" w:rsidRDefault="00F948CD" w:rsidP="00F948CD">
      <w:pPr>
        <w:rPr>
          <w:lang w:val="en-GB"/>
        </w:rPr>
      </w:pPr>
    </w:p>
    <w:p w14:paraId="76FE5CE9" w14:textId="77777777" w:rsidR="00F948CD" w:rsidRDefault="00F948CD" w:rsidP="00F948CD">
      <w:pPr>
        <w:rPr>
          <w:lang w:val="en-GB"/>
        </w:rPr>
      </w:pPr>
    </w:p>
    <w:p w14:paraId="173F3D26" w14:textId="77777777" w:rsidR="00F948CD" w:rsidRDefault="00F948CD" w:rsidP="00F948CD">
      <w:pPr>
        <w:rPr>
          <w:lang w:val="en-GB"/>
        </w:rPr>
      </w:pPr>
    </w:p>
    <w:p w14:paraId="7019A0DC" w14:textId="77777777" w:rsidR="00F948CD" w:rsidRDefault="00F948CD" w:rsidP="00F948CD">
      <w:pPr>
        <w:rPr>
          <w:lang w:val="en-GB"/>
        </w:rPr>
      </w:pPr>
    </w:p>
    <w:p w14:paraId="223D11C2" w14:textId="77777777" w:rsidR="00F948CD" w:rsidRPr="00B75752" w:rsidRDefault="00F948CD" w:rsidP="00F948CD">
      <w:pPr>
        <w:rPr>
          <w:lang w:val="en-GB"/>
        </w:rPr>
      </w:pPr>
    </w:p>
    <w:p w14:paraId="1BDF004B" w14:textId="77777777" w:rsidR="00F948CD" w:rsidRPr="00B75752" w:rsidRDefault="00F948CD" w:rsidP="00F948CD">
      <w:pPr>
        <w:rPr>
          <w:lang w:val="en-GB"/>
        </w:rPr>
      </w:pPr>
    </w:p>
    <w:p w14:paraId="551AF54B" w14:textId="77777777" w:rsidR="00F948CD" w:rsidRPr="00B75752" w:rsidRDefault="00F948CD" w:rsidP="00F948CD">
      <w:pPr>
        <w:rPr>
          <w:lang w:val="en-GB"/>
        </w:rPr>
      </w:pPr>
    </w:p>
    <w:p w14:paraId="064112FE" w14:textId="77777777" w:rsidR="00F948CD" w:rsidRPr="00B75752" w:rsidRDefault="00F948CD" w:rsidP="00F948CD">
      <w:pPr>
        <w:rPr>
          <w:lang w:val="en-GB"/>
        </w:rPr>
      </w:pPr>
    </w:p>
    <w:tbl>
      <w:tblPr>
        <w:tblStyle w:val="Onopgemaaktetabel2"/>
        <w:tblpPr w:leftFromText="141" w:rightFromText="141" w:vertAnchor="page" w:horzAnchor="margin" w:tblpY="161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701"/>
        <w:gridCol w:w="992"/>
        <w:gridCol w:w="1843"/>
        <w:gridCol w:w="2018"/>
      </w:tblGrid>
      <w:tr w:rsidR="00F948CD" w:rsidRPr="005A4C19" w14:paraId="696E9394" w14:textId="77777777" w:rsidTr="00CF5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6"/>
            <w:tcBorders>
              <w:top w:val="nil"/>
              <w:bottom w:val="single" w:sz="4" w:space="0" w:color="auto"/>
            </w:tcBorders>
          </w:tcPr>
          <w:p w14:paraId="09825E76" w14:textId="77777777" w:rsidR="00F948CD" w:rsidRPr="00DB5A2B" w:rsidRDefault="00F948CD" w:rsidP="00CF5D8D">
            <w:pPr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lastRenderedPageBreak/>
              <w:t xml:space="preserve">Table S2.  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Changes in vascular function, cardiovascular risk factors, and glucose homeostasis: LFHP </w:t>
            </w:r>
            <w:r w:rsidRPr="00DB5A2B"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  <w:t>versus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HMUFA diet.</w:t>
            </w:r>
          </w:p>
        </w:tc>
      </w:tr>
      <w:tr w:rsidR="00F948CD" w:rsidRPr="00DB5A2B" w14:paraId="148C0271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</w:tcBorders>
            <w:hideMark/>
          </w:tcPr>
          <w:p w14:paraId="5220963E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47309D91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14:paraId="2F19A3BC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Model 3*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</w:tcBorders>
            <w:hideMark/>
          </w:tcPr>
          <w:p w14:paraId="05AB37E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Model 4*</w:t>
            </w:r>
          </w:p>
        </w:tc>
      </w:tr>
      <w:tr w:rsidR="00F948CD" w:rsidRPr="00DB5A2B" w14:paraId="4F160097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12" w:space="0" w:color="auto"/>
            </w:tcBorders>
            <w:hideMark/>
          </w:tcPr>
          <w:p w14:paraId="5A467002" w14:textId="77777777" w:rsidR="00F948CD" w:rsidRPr="00DB5A2B" w:rsidRDefault="00F948CD" w:rsidP="00CF5D8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5B43D717" w14:textId="77777777" w:rsidR="00F948CD" w:rsidRPr="00DB5A2B" w:rsidRDefault="00F948CD" w:rsidP="00CF5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hideMark/>
          </w:tcPr>
          <w:p w14:paraId="549F6971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rFonts w:cstheme="minorHAnsi"/>
                <w:b/>
                <w:bCs/>
                <w:sz w:val="18"/>
                <w:szCs w:val="18"/>
                <w:lang w:val="en-US"/>
              </w:rPr>
              <w:t>β</w:t>
            </w:r>
            <w:r w:rsidRPr="00DB5A2B">
              <w:rPr>
                <w:b/>
                <w:bCs/>
                <w:sz w:val="18"/>
                <w:szCs w:val="18"/>
                <w:lang w:val="en-US"/>
              </w:rPr>
              <w:t xml:space="preserve"> [95% CI]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hideMark/>
          </w:tcPr>
          <w:p w14:paraId="029CF6F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hideMark/>
          </w:tcPr>
          <w:p w14:paraId="5ABAE5D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rFonts w:cstheme="minorHAnsi"/>
                <w:b/>
                <w:bCs/>
                <w:sz w:val="18"/>
                <w:szCs w:val="18"/>
                <w:lang w:val="en-US"/>
              </w:rPr>
              <w:t>β</w:t>
            </w:r>
            <w:r w:rsidRPr="00DB5A2B">
              <w:rPr>
                <w:b/>
                <w:bCs/>
                <w:sz w:val="18"/>
                <w:szCs w:val="18"/>
                <w:lang w:val="en-US"/>
              </w:rPr>
              <w:t xml:space="preserve"> [95% CI]</w:t>
            </w:r>
          </w:p>
        </w:tc>
        <w:tc>
          <w:tcPr>
            <w:tcW w:w="2018" w:type="dxa"/>
            <w:tcBorders>
              <w:bottom w:val="single" w:sz="12" w:space="0" w:color="auto"/>
            </w:tcBorders>
            <w:hideMark/>
          </w:tcPr>
          <w:p w14:paraId="4F10B5A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DB5A2B">
              <w:rPr>
                <w:b/>
                <w:bCs/>
                <w:sz w:val="18"/>
                <w:szCs w:val="18"/>
                <w:lang w:val="en-US"/>
              </w:rPr>
              <w:t>P-value</w:t>
            </w:r>
          </w:p>
        </w:tc>
      </w:tr>
      <w:tr w:rsidR="00F948CD" w:rsidRPr="00DB5A2B" w14:paraId="2B41BA7D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A2185C9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CAR%, %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3163D33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hideMark/>
          </w:tcPr>
          <w:p w14:paraId="57368473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hideMark/>
          </w:tcPr>
          <w:p w14:paraId="61840F16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hideMark/>
          </w:tcPr>
          <w:p w14:paraId="22439AA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hideMark/>
          </w:tcPr>
          <w:p w14:paraId="168FF1F3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74A701FA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139C24A1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35F872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798923F3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0.51 [-0.35–1.37]</w:t>
            </w:r>
          </w:p>
        </w:tc>
        <w:tc>
          <w:tcPr>
            <w:tcW w:w="992" w:type="dxa"/>
          </w:tcPr>
          <w:p w14:paraId="1D3508C1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0.242</w:t>
            </w:r>
          </w:p>
        </w:tc>
        <w:tc>
          <w:tcPr>
            <w:tcW w:w="1843" w:type="dxa"/>
          </w:tcPr>
          <w:p w14:paraId="169DA81C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0.48 [-0.43–1.40]</w:t>
            </w:r>
          </w:p>
        </w:tc>
        <w:tc>
          <w:tcPr>
            <w:tcW w:w="2018" w:type="dxa"/>
          </w:tcPr>
          <w:p w14:paraId="39470567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0.293</w:t>
            </w:r>
          </w:p>
        </w:tc>
      </w:tr>
      <w:tr w:rsidR="00F948CD" w:rsidRPr="00DB5A2B" w14:paraId="2FE8D7BC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4603D18D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CAR</w:t>
            </w:r>
            <w:r w:rsidRPr="00DB5A2B">
              <w:rPr>
                <w:sz w:val="18"/>
                <w:szCs w:val="18"/>
                <w:vertAlign w:val="subscript"/>
                <w:lang w:val="en-US"/>
              </w:rPr>
              <w:t>AUC</w:t>
            </w:r>
            <w:r w:rsidRPr="00DB5A2B">
              <w:rPr>
                <w:sz w:val="18"/>
                <w:szCs w:val="18"/>
                <w:lang w:val="en-US"/>
              </w:rPr>
              <w:t>, cm*s</w:t>
            </w:r>
          </w:p>
        </w:tc>
        <w:tc>
          <w:tcPr>
            <w:tcW w:w="851" w:type="dxa"/>
            <w:vAlign w:val="center"/>
          </w:tcPr>
          <w:p w14:paraId="1B8AE01F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39C4CD3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4E00B907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0CC70E6C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2018" w:type="dxa"/>
          </w:tcPr>
          <w:p w14:paraId="4B8106A5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62586F60" w14:textId="77777777" w:rsidTr="00CF5D8D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12A92170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D748CDE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B4D0FEA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0.45 [-0.23–1.13]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6687A2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0.191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123AEB3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0.42 [-0.28–1.13]</w:t>
            </w:r>
          </w:p>
        </w:tc>
        <w:tc>
          <w:tcPr>
            <w:tcW w:w="2018" w:type="dxa"/>
            <w:tcBorders>
              <w:bottom w:val="single" w:sz="12" w:space="0" w:color="auto"/>
            </w:tcBorders>
          </w:tcPr>
          <w:p w14:paraId="50F1ABC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0.237</w:t>
            </w:r>
          </w:p>
        </w:tc>
      </w:tr>
      <w:tr w:rsidR="00F948CD" w:rsidRPr="00DB5A2B" w14:paraId="4EE54CA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5B59901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SBP, mmHg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2BBA11D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320C901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BCBDB5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6A995DB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2018" w:type="dxa"/>
            <w:tcBorders>
              <w:top w:val="single" w:sz="12" w:space="0" w:color="auto"/>
            </w:tcBorders>
          </w:tcPr>
          <w:p w14:paraId="62E6E4D3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</w:tr>
      <w:tr w:rsidR="00F948CD" w:rsidRPr="00DB5A2B" w14:paraId="06C2F95A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4DBA0F30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5E57595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7EDCCA7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3.02 [-0.40–6.44]</w:t>
            </w:r>
          </w:p>
        </w:tc>
        <w:tc>
          <w:tcPr>
            <w:tcW w:w="992" w:type="dxa"/>
          </w:tcPr>
          <w:p w14:paraId="7750224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0.083</w:t>
            </w:r>
          </w:p>
        </w:tc>
        <w:tc>
          <w:tcPr>
            <w:tcW w:w="1843" w:type="dxa"/>
          </w:tcPr>
          <w:p w14:paraId="5840D38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3.12 [-0.56–6.81]</w:t>
            </w:r>
          </w:p>
        </w:tc>
        <w:tc>
          <w:tcPr>
            <w:tcW w:w="2018" w:type="dxa"/>
          </w:tcPr>
          <w:p w14:paraId="4A0040C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0.096</w:t>
            </w:r>
          </w:p>
        </w:tc>
      </w:tr>
      <w:tr w:rsidR="00F948CD" w:rsidRPr="00DB5A2B" w14:paraId="289E43B1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00E4B55C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DBP, mmHg</w:t>
            </w:r>
          </w:p>
        </w:tc>
        <w:tc>
          <w:tcPr>
            <w:tcW w:w="851" w:type="dxa"/>
            <w:vAlign w:val="center"/>
          </w:tcPr>
          <w:p w14:paraId="610E3EB8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7A8910CD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77568CB8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4E615F9C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089DCBC0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45A5E945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5A97A6F4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6ECCDB0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459B93C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2.41 [-0.00–4.83]</w:t>
            </w:r>
          </w:p>
        </w:tc>
        <w:tc>
          <w:tcPr>
            <w:tcW w:w="992" w:type="dxa"/>
            <w:shd w:val="clear" w:color="auto" w:fill="auto"/>
          </w:tcPr>
          <w:p w14:paraId="7C804381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0.050</w:t>
            </w:r>
          </w:p>
        </w:tc>
        <w:tc>
          <w:tcPr>
            <w:tcW w:w="1843" w:type="dxa"/>
            <w:shd w:val="clear" w:color="auto" w:fill="auto"/>
          </w:tcPr>
          <w:p w14:paraId="5FAA9762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2.26 [-0.27–4.79]</w:t>
            </w:r>
          </w:p>
        </w:tc>
        <w:tc>
          <w:tcPr>
            <w:tcW w:w="2018" w:type="dxa"/>
            <w:shd w:val="clear" w:color="auto" w:fill="auto"/>
          </w:tcPr>
          <w:p w14:paraId="2E7E7D9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0.079</w:t>
            </w:r>
          </w:p>
        </w:tc>
      </w:tr>
      <w:tr w:rsidR="00F948CD" w:rsidRPr="00DB5A2B" w14:paraId="6635AFC6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08F2D1DD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TC, mmol/L</w:t>
            </w:r>
          </w:p>
        </w:tc>
        <w:tc>
          <w:tcPr>
            <w:tcW w:w="851" w:type="dxa"/>
            <w:vAlign w:val="center"/>
          </w:tcPr>
          <w:p w14:paraId="6669BDEF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01A871F0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3627BE2F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2DB7DB2E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01604B4E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004A90DB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34A520DD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DEA8CBC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6A25E8F4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0.22 [0.05–0.40]</w:t>
            </w:r>
          </w:p>
        </w:tc>
        <w:tc>
          <w:tcPr>
            <w:tcW w:w="992" w:type="dxa"/>
          </w:tcPr>
          <w:p w14:paraId="4B66BE9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0.014</w:t>
            </w:r>
          </w:p>
        </w:tc>
        <w:tc>
          <w:tcPr>
            <w:tcW w:w="1843" w:type="dxa"/>
          </w:tcPr>
          <w:p w14:paraId="3FAB9568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0.21 [0.01–0.40]</w:t>
            </w:r>
          </w:p>
        </w:tc>
        <w:tc>
          <w:tcPr>
            <w:tcW w:w="2018" w:type="dxa"/>
            <w:shd w:val="clear" w:color="auto" w:fill="auto"/>
          </w:tcPr>
          <w:p w14:paraId="348F80B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0.043</w:t>
            </w:r>
          </w:p>
        </w:tc>
      </w:tr>
      <w:tr w:rsidR="00F948CD" w:rsidRPr="00DB5A2B" w14:paraId="75A16A54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47A3CBE5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HDL, mmol/L</w:t>
            </w:r>
          </w:p>
        </w:tc>
        <w:tc>
          <w:tcPr>
            <w:tcW w:w="851" w:type="dxa"/>
            <w:vAlign w:val="center"/>
          </w:tcPr>
          <w:p w14:paraId="71D1DBB8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1AE70DAB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2D041B49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119781E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7C5F789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50D018B3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4C790AEE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AA53463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0ED7915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0.05 [0.01–0.09]</w:t>
            </w:r>
          </w:p>
        </w:tc>
        <w:tc>
          <w:tcPr>
            <w:tcW w:w="992" w:type="dxa"/>
          </w:tcPr>
          <w:p w14:paraId="7EEF3BC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0.014</w:t>
            </w:r>
          </w:p>
        </w:tc>
        <w:tc>
          <w:tcPr>
            <w:tcW w:w="1843" w:type="dxa"/>
          </w:tcPr>
          <w:p w14:paraId="3AD5093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0.06 [0.02–0.11]</w:t>
            </w:r>
          </w:p>
        </w:tc>
        <w:tc>
          <w:tcPr>
            <w:tcW w:w="2018" w:type="dxa"/>
          </w:tcPr>
          <w:p w14:paraId="19CFB7E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0.009</w:t>
            </w:r>
          </w:p>
        </w:tc>
      </w:tr>
      <w:tr w:rsidR="00F948CD" w:rsidRPr="00DB5A2B" w14:paraId="0C0ADEA8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5A5072CD" w14:textId="77777777" w:rsidR="00F948CD" w:rsidRPr="00DB5A2B" w:rsidRDefault="00F948CD" w:rsidP="00CF5D8D">
            <w:pPr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TC/HD, ratio</w:t>
            </w:r>
          </w:p>
        </w:tc>
        <w:tc>
          <w:tcPr>
            <w:tcW w:w="851" w:type="dxa"/>
            <w:vAlign w:val="center"/>
          </w:tcPr>
          <w:p w14:paraId="5B511244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503694D7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58F8E9A6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6028749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0B0CFB21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477E9B9A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180C9951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6627A70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7AFFF57F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-0.02 [-0.16–0.12]</w:t>
            </w:r>
          </w:p>
        </w:tc>
        <w:tc>
          <w:tcPr>
            <w:tcW w:w="992" w:type="dxa"/>
          </w:tcPr>
          <w:p w14:paraId="487A0F0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0.792</w:t>
            </w:r>
          </w:p>
        </w:tc>
        <w:tc>
          <w:tcPr>
            <w:tcW w:w="1843" w:type="dxa"/>
          </w:tcPr>
          <w:p w14:paraId="0D9F968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-0.07 [-0.22–0.08]</w:t>
            </w:r>
          </w:p>
        </w:tc>
        <w:tc>
          <w:tcPr>
            <w:tcW w:w="2018" w:type="dxa"/>
          </w:tcPr>
          <w:p w14:paraId="3E5E6CB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0.336</w:t>
            </w:r>
          </w:p>
        </w:tc>
      </w:tr>
      <w:tr w:rsidR="00F948CD" w:rsidRPr="00DB5A2B" w14:paraId="7150ED76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5F242FF8" w14:textId="77777777" w:rsidR="00F948CD" w:rsidRPr="00DB5A2B" w:rsidRDefault="00F948CD" w:rsidP="00CF5D8D">
            <w:pPr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FRS</w:t>
            </w:r>
          </w:p>
        </w:tc>
        <w:tc>
          <w:tcPr>
            <w:tcW w:w="851" w:type="dxa"/>
            <w:vAlign w:val="center"/>
          </w:tcPr>
          <w:p w14:paraId="0A5132CF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6816F06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5310E0DA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498EF1B2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0BDB2617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0484C154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48B2AF0B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9F2177C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277BA56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0.31 [-0.41–1.02]</w:t>
            </w:r>
          </w:p>
        </w:tc>
        <w:tc>
          <w:tcPr>
            <w:tcW w:w="992" w:type="dxa"/>
          </w:tcPr>
          <w:p w14:paraId="4D84FA1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0.395</w:t>
            </w:r>
          </w:p>
        </w:tc>
        <w:tc>
          <w:tcPr>
            <w:tcW w:w="1843" w:type="dxa"/>
          </w:tcPr>
          <w:p w14:paraId="017C365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0.16 [-0.58–0.90]</w:t>
            </w:r>
          </w:p>
        </w:tc>
        <w:tc>
          <w:tcPr>
            <w:tcW w:w="2018" w:type="dxa"/>
          </w:tcPr>
          <w:p w14:paraId="153DF24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0.667</w:t>
            </w:r>
          </w:p>
        </w:tc>
      </w:tr>
      <w:tr w:rsidR="00F948CD" w:rsidRPr="00DB5A2B" w14:paraId="2054DC0C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</w:tcPr>
          <w:p w14:paraId="73F95438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Weight, kg</w:t>
            </w:r>
          </w:p>
        </w:tc>
        <w:tc>
          <w:tcPr>
            <w:tcW w:w="851" w:type="dxa"/>
            <w:vAlign w:val="center"/>
          </w:tcPr>
          <w:p w14:paraId="3F20E057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6B4B52BA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992" w:type="dxa"/>
          </w:tcPr>
          <w:p w14:paraId="43B1A3B4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843" w:type="dxa"/>
          </w:tcPr>
          <w:p w14:paraId="10E20D1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4B1C8631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3B9A8CEB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</w:tcPr>
          <w:p w14:paraId="728A6E74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BC5DE3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2C6AB02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13F45DC0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843" w:type="dxa"/>
          </w:tcPr>
          <w:p w14:paraId="20BD4E3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0.44 [-0.52–1.40]</w:t>
            </w:r>
          </w:p>
        </w:tc>
        <w:tc>
          <w:tcPr>
            <w:tcW w:w="2018" w:type="dxa"/>
          </w:tcPr>
          <w:p w14:paraId="196E680D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0.367</w:t>
            </w:r>
          </w:p>
        </w:tc>
      </w:tr>
      <w:tr w:rsidR="00F948CD" w:rsidRPr="00DB5A2B" w14:paraId="6137E70F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331CF72D" w14:textId="77777777" w:rsidR="00F948CD" w:rsidRPr="00DB5A2B" w:rsidRDefault="00F948CD" w:rsidP="00CF5D8D">
            <w:pPr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WHR</w:t>
            </w:r>
          </w:p>
        </w:tc>
        <w:tc>
          <w:tcPr>
            <w:tcW w:w="851" w:type="dxa"/>
            <w:vAlign w:val="center"/>
          </w:tcPr>
          <w:p w14:paraId="79435116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268AADBB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3137B8A0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41B295DC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7B2BFA8D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620B5409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38A8239C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56AE680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1197347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0.00 [-0.01–0.02]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86815CE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0.884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C193D5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0.00 [-0.01–0.02]</w:t>
            </w:r>
          </w:p>
        </w:tc>
        <w:tc>
          <w:tcPr>
            <w:tcW w:w="2018" w:type="dxa"/>
            <w:tcBorders>
              <w:bottom w:val="single" w:sz="12" w:space="0" w:color="auto"/>
            </w:tcBorders>
          </w:tcPr>
          <w:p w14:paraId="1F538468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0.770</w:t>
            </w:r>
          </w:p>
        </w:tc>
      </w:tr>
      <w:tr w:rsidR="00F948CD" w:rsidRPr="00DB5A2B" w14:paraId="3260EA72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7A3B755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Matsuda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EBD1E76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8463B89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9669FC2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10B96AA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  <w:tcBorders>
              <w:top w:val="single" w:sz="12" w:space="0" w:color="auto"/>
            </w:tcBorders>
          </w:tcPr>
          <w:p w14:paraId="749FD2A5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59AF1EC3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4B0EDD79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4533E6E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588EC2C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-2.40 [-4.17</w:t>
            </w:r>
            <w:proofErr w:type="gramStart"/>
            <w:r w:rsidRPr="00DB5A2B">
              <w:rPr>
                <w:sz w:val="18"/>
                <w:szCs w:val="18"/>
                <w:lang w:val="en-US"/>
              </w:rPr>
              <w:t>–(</w:t>
            </w:r>
            <w:proofErr w:type="gramEnd"/>
            <w:r w:rsidRPr="00DB5A2B">
              <w:rPr>
                <w:sz w:val="18"/>
                <w:szCs w:val="18"/>
                <w:lang w:val="en-US"/>
              </w:rPr>
              <w:t>-0.63)]</w:t>
            </w:r>
          </w:p>
        </w:tc>
        <w:tc>
          <w:tcPr>
            <w:tcW w:w="992" w:type="dxa"/>
          </w:tcPr>
          <w:p w14:paraId="77D3045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0.008</w:t>
            </w:r>
          </w:p>
        </w:tc>
        <w:tc>
          <w:tcPr>
            <w:tcW w:w="1843" w:type="dxa"/>
          </w:tcPr>
          <w:p w14:paraId="755A5259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-2.95 [-4.92</w:t>
            </w:r>
            <w:proofErr w:type="gramStart"/>
            <w:r w:rsidRPr="00DB5A2B">
              <w:rPr>
                <w:sz w:val="18"/>
                <w:szCs w:val="18"/>
                <w:lang w:val="en-US"/>
              </w:rPr>
              <w:t>–(</w:t>
            </w:r>
            <w:proofErr w:type="gramEnd"/>
            <w:r w:rsidRPr="00DB5A2B">
              <w:rPr>
                <w:sz w:val="18"/>
                <w:szCs w:val="18"/>
                <w:lang w:val="en-US"/>
              </w:rPr>
              <w:t>-0.99)]</w:t>
            </w:r>
          </w:p>
        </w:tc>
        <w:tc>
          <w:tcPr>
            <w:tcW w:w="2018" w:type="dxa"/>
          </w:tcPr>
          <w:p w14:paraId="25160AF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0.004</w:t>
            </w:r>
          </w:p>
        </w:tc>
      </w:tr>
      <w:tr w:rsidR="00F948CD" w:rsidRPr="00DB5A2B" w14:paraId="3596F9BC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2E3BFCCD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HOMA-IR</w:t>
            </w:r>
          </w:p>
        </w:tc>
        <w:tc>
          <w:tcPr>
            <w:tcW w:w="851" w:type="dxa"/>
            <w:vAlign w:val="center"/>
          </w:tcPr>
          <w:p w14:paraId="4E5E15C5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0A76037B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6C704226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29A69C0D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77BD55F1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7E0E2C9A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7BF76C72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E0858BC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0140FFCA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0.23 [0.01–0.45]</w:t>
            </w:r>
          </w:p>
        </w:tc>
        <w:tc>
          <w:tcPr>
            <w:tcW w:w="992" w:type="dxa"/>
          </w:tcPr>
          <w:p w14:paraId="35A1938B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0.045</w:t>
            </w:r>
          </w:p>
        </w:tc>
        <w:tc>
          <w:tcPr>
            <w:tcW w:w="1843" w:type="dxa"/>
          </w:tcPr>
          <w:p w14:paraId="12A606F4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0.30 [0.06–0.53]</w:t>
            </w:r>
          </w:p>
        </w:tc>
        <w:tc>
          <w:tcPr>
            <w:tcW w:w="2018" w:type="dxa"/>
          </w:tcPr>
          <w:p w14:paraId="06657A3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0.014</w:t>
            </w:r>
          </w:p>
        </w:tc>
      </w:tr>
      <w:tr w:rsidR="00F948CD" w:rsidRPr="00DB5A2B" w14:paraId="2469956D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vAlign w:val="center"/>
            <w:hideMark/>
          </w:tcPr>
          <w:p w14:paraId="00D1F8A0" w14:textId="77777777" w:rsidR="00F948CD" w:rsidRPr="00DB5A2B" w:rsidRDefault="00F948CD" w:rsidP="00CF5D8D">
            <w:pPr>
              <w:contextualSpacing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Disposition index</w:t>
            </w:r>
          </w:p>
        </w:tc>
        <w:tc>
          <w:tcPr>
            <w:tcW w:w="851" w:type="dxa"/>
            <w:vAlign w:val="center"/>
          </w:tcPr>
          <w:p w14:paraId="123BBC2A" w14:textId="77777777" w:rsidR="00F948CD" w:rsidRPr="00DB5A2B" w:rsidRDefault="00F948CD" w:rsidP="00CF5D8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LFHP</w:t>
            </w:r>
          </w:p>
        </w:tc>
        <w:tc>
          <w:tcPr>
            <w:tcW w:w="1701" w:type="dxa"/>
          </w:tcPr>
          <w:p w14:paraId="18AE46EB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992" w:type="dxa"/>
          </w:tcPr>
          <w:p w14:paraId="70E35210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</w:tcPr>
          <w:p w14:paraId="5BD02A35" w14:textId="77777777" w:rsidR="00F948CD" w:rsidRPr="00DB5A2B" w:rsidRDefault="00F948CD" w:rsidP="00CF5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018" w:type="dxa"/>
          </w:tcPr>
          <w:p w14:paraId="5BF0152F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948CD" w:rsidRPr="00DB5A2B" w14:paraId="6E7A8B98" w14:textId="77777777" w:rsidTr="00CF5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vAlign w:val="center"/>
            <w:hideMark/>
          </w:tcPr>
          <w:p w14:paraId="019638EA" w14:textId="77777777" w:rsidR="00F948CD" w:rsidRPr="00DB5A2B" w:rsidRDefault="00F948CD" w:rsidP="00CF5D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B1212F7" w14:textId="77777777" w:rsidR="00F948CD" w:rsidRPr="00DB5A2B" w:rsidRDefault="00F948CD" w:rsidP="00CF5D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HMUFA</w:t>
            </w:r>
          </w:p>
        </w:tc>
        <w:tc>
          <w:tcPr>
            <w:tcW w:w="1701" w:type="dxa"/>
          </w:tcPr>
          <w:p w14:paraId="7F6E8324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5A2B">
              <w:rPr>
                <w:sz w:val="18"/>
                <w:szCs w:val="18"/>
              </w:rPr>
              <w:t>3.13 [-64.12–70.38]</w:t>
            </w:r>
          </w:p>
        </w:tc>
        <w:tc>
          <w:tcPr>
            <w:tcW w:w="992" w:type="dxa"/>
          </w:tcPr>
          <w:p w14:paraId="4DA9F995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0.927</w:t>
            </w:r>
          </w:p>
        </w:tc>
        <w:tc>
          <w:tcPr>
            <w:tcW w:w="1843" w:type="dxa"/>
          </w:tcPr>
          <w:p w14:paraId="0CD8AC90" w14:textId="77777777" w:rsidR="00F948CD" w:rsidRPr="00DB5A2B" w:rsidRDefault="00F948CD" w:rsidP="00CF5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-7.51 [-76.51–61.49]</w:t>
            </w:r>
          </w:p>
        </w:tc>
        <w:tc>
          <w:tcPr>
            <w:tcW w:w="2018" w:type="dxa"/>
          </w:tcPr>
          <w:p w14:paraId="6F60C536" w14:textId="77777777" w:rsidR="00F948CD" w:rsidRPr="00DB5A2B" w:rsidRDefault="00F948CD" w:rsidP="00CF5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B5A2B">
              <w:rPr>
                <w:sz w:val="18"/>
                <w:szCs w:val="18"/>
                <w:lang w:val="en-US"/>
              </w:rPr>
              <w:t>0.829</w:t>
            </w:r>
          </w:p>
        </w:tc>
      </w:tr>
      <w:tr w:rsidR="00F948CD" w:rsidRPr="00DB5A2B" w14:paraId="3231B258" w14:textId="77777777" w:rsidTr="00CF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6"/>
            <w:tcBorders>
              <w:bottom w:val="nil"/>
            </w:tcBorders>
          </w:tcPr>
          <w:p w14:paraId="6E4A4478" w14:textId="77777777" w:rsidR="00F948CD" w:rsidRPr="00DB5A2B" w:rsidRDefault="00F948CD" w:rsidP="00CF5D8D">
            <w:pPr>
              <w:jc w:val="both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lastRenderedPageBreak/>
              <w:t xml:space="preserve">LFHP, low-fat, high-protein diet; HMUFA, high-monounsaturated fatty acid diet; CAR, carotid artery reactivity; AUC, area under the curve; SBP, systolic blood pressure; DBP, diastolic blood pressure; TC, total cholesterol; HDL, high-density lipoprotein; FRS, Framingham risk score; HOMA-IR, Homeostatic Model Assessment of Insulin Resistance. *Linear regression models testing differences in the change (week 12 minus baseline) in the outcome variable between </w:t>
            </w:r>
            <w:proofErr w:type="spellStart"/>
            <w:r>
              <w:rPr>
                <w:b w:val="0"/>
                <w:bCs w:val="0"/>
                <w:sz w:val="18"/>
                <w:szCs w:val="18"/>
                <w:lang w:val="en-US"/>
              </w:rPr>
              <w:t>PhenoDiet</w:t>
            </w:r>
            <w:proofErr w:type="spellEnd"/>
            <w:r>
              <w:rPr>
                <w:b w:val="0"/>
                <w:bCs w:val="0"/>
                <w:sz w:val="18"/>
                <w:szCs w:val="18"/>
                <w:lang w:val="en-US"/>
              </w:rPr>
              <w:t xml:space="preserve"> group A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and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group B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. Model 3: corrected for baseline values, age, </w:t>
            </w:r>
            <w:proofErr w:type="gramStart"/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>sex</w:t>
            </w:r>
            <w:proofErr w:type="gramEnd"/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 xml:space="preserve"> and weight change; Model 4: corrected for baseline values, age, sex and change in physical activity (% awake time), physical activity data were available for N=93. </w:t>
            </w:r>
            <w:r w:rsidRPr="00DB5A2B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#</w:t>
            </w:r>
            <w:r w:rsidRPr="00DB5A2B">
              <w:rPr>
                <w:sz w:val="18"/>
                <w:szCs w:val="18"/>
                <w:vertAlign w:val="superscript"/>
                <w:lang w:val="en-US"/>
              </w:rPr>
              <w:t>#</w:t>
            </w:r>
            <w:r w:rsidRPr="00DB5A2B">
              <w:rPr>
                <w:b w:val="0"/>
                <w:bCs w:val="0"/>
                <w:sz w:val="18"/>
                <w:szCs w:val="18"/>
                <w:lang w:val="en-US"/>
              </w:rPr>
              <w:t>For HOMA-IR, significance was driven by two participants. Exclusion resulted in non-significant differences (Model 3: P=0.227, Model 4: P=0.084).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40123">
              <w:rPr>
                <w:b w:val="0"/>
                <w:bCs w:val="0"/>
                <w:sz w:val="18"/>
                <w:szCs w:val="18"/>
                <w:lang w:val="en-US"/>
              </w:rPr>
              <w:t>NA, not applicable.</w:t>
            </w:r>
          </w:p>
        </w:tc>
      </w:tr>
    </w:tbl>
    <w:p w14:paraId="3793B276" w14:textId="77777777" w:rsidR="00F948CD" w:rsidRPr="00B75752" w:rsidRDefault="00F948CD" w:rsidP="00F948CD">
      <w:pPr>
        <w:rPr>
          <w:lang w:val="en-GB"/>
        </w:rPr>
      </w:pPr>
    </w:p>
    <w:p w14:paraId="38322033" w14:textId="77777777" w:rsidR="00F948CD" w:rsidRPr="00B75752" w:rsidRDefault="00F948CD" w:rsidP="00F948CD">
      <w:pPr>
        <w:rPr>
          <w:lang w:val="en-GB"/>
        </w:rPr>
      </w:pPr>
    </w:p>
    <w:p w14:paraId="760A1B5E" w14:textId="77777777" w:rsidR="00F948CD" w:rsidRPr="00B75752" w:rsidRDefault="00F948CD" w:rsidP="00F948CD">
      <w:pPr>
        <w:rPr>
          <w:lang w:val="en-GB"/>
        </w:rPr>
      </w:pPr>
    </w:p>
    <w:p w14:paraId="7CC8D2FD" w14:textId="77777777" w:rsidR="00F948CD" w:rsidRPr="00B75752" w:rsidRDefault="00F948CD" w:rsidP="00F948CD">
      <w:pPr>
        <w:rPr>
          <w:lang w:val="en-GB"/>
        </w:rPr>
      </w:pPr>
    </w:p>
    <w:p w14:paraId="3F533F0D" w14:textId="77777777" w:rsidR="00F948CD" w:rsidRPr="00B75752" w:rsidRDefault="00F948CD" w:rsidP="00F948CD">
      <w:pPr>
        <w:rPr>
          <w:lang w:val="en-GB"/>
        </w:rPr>
      </w:pPr>
    </w:p>
    <w:p w14:paraId="77A6BB66" w14:textId="77777777" w:rsidR="00F948CD" w:rsidRPr="00B75752" w:rsidRDefault="00F948CD" w:rsidP="00F948CD">
      <w:pPr>
        <w:rPr>
          <w:lang w:val="en-GB"/>
        </w:rPr>
      </w:pPr>
    </w:p>
    <w:p w14:paraId="5270248D" w14:textId="77777777" w:rsidR="00F948CD" w:rsidRPr="00B75752" w:rsidRDefault="00F948CD" w:rsidP="00F948CD">
      <w:pPr>
        <w:rPr>
          <w:lang w:val="en-GB"/>
        </w:rPr>
      </w:pPr>
    </w:p>
    <w:p w14:paraId="33370FAA" w14:textId="77777777" w:rsidR="00F948CD" w:rsidRPr="00B75752" w:rsidRDefault="00F948CD" w:rsidP="00F948CD">
      <w:pPr>
        <w:rPr>
          <w:lang w:val="en-GB"/>
        </w:rPr>
      </w:pPr>
    </w:p>
    <w:p w14:paraId="6260A973" w14:textId="77777777" w:rsidR="00F948CD" w:rsidRPr="00846547" w:rsidRDefault="00F948CD" w:rsidP="00F948CD">
      <w:pPr>
        <w:pStyle w:val="Plattetekst"/>
        <w:spacing w:line="480" w:lineRule="auto"/>
        <w:rPr>
          <w:rFonts w:asciiTheme="minorHAnsi" w:hAnsiTheme="minorHAnsi" w:cstheme="minorHAnsi"/>
          <w:noProof w:val="0"/>
          <w:vanish w:val="0"/>
          <w:sz w:val="22"/>
          <w:szCs w:val="22"/>
          <w:lang w:val="en-US"/>
        </w:rPr>
      </w:pPr>
    </w:p>
    <w:p w14:paraId="31517F90" w14:textId="77777777" w:rsidR="006234BA" w:rsidRDefault="00000000"/>
    <w:sectPr w:rsidR="00623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CD"/>
    <w:rsid w:val="001431CC"/>
    <w:rsid w:val="004026C4"/>
    <w:rsid w:val="00924966"/>
    <w:rsid w:val="009806CD"/>
    <w:rsid w:val="00983403"/>
    <w:rsid w:val="009E50B3"/>
    <w:rsid w:val="00B03EB4"/>
    <w:rsid w:val="00BA4477"/>
    <w:rsid w:val="00BF3428"/>
    <w:rsid w:val="00F52507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D6087"/>
  <w15:chartTrackingRefBased/>
  <w15:docId w15:val="{20FC61DF-BE0E-9545-BDBF-989E9906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48CD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F948CD"/>
    <w:pPr>
      <w:widowControl w:val="0"/>
      <w:tabs>
        <w:tab w:val="left" w:pos="-566"/>
        <w:tab w:val="left" w:pos="583"/>
        <w:tab w:val="left" w:pos="1166"/>
        <w:tab w:val="left" w:pos="1750"/>
        <w:tab w:val="left" w:pos="2333"/>
        <w:tab w:val="left" w:pos="2819"/>
        <w:tab w:val="left" w:pos="3402"/>
        <w:tab w:val="left" w:pos="3985"/>
        <w:tab w:val="left" w:pos="4568"/>
        <w:tab w:val="left" w:pos="5152"/>
        <w:tab w:val="left" w:pos="5735"/>
        <w:tab w:val="left" w:pos="6221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vanish/>
      <w:sz w:val="24"/>
      <w:szCs w:val="20"/>
      <w:lang w:val="en-GB"/>
    </w:rPr>
  </w:style>
  <w:style w:type="character" w:customStyle="1" w:styleId="PlattetekstChar">
    <w:name w:val="Platte tekst Char"/>
    <w:basedOn w:val="Standaardalinea-lettertype"/>
    <w:link w:val="Plattetekst"/>
    <w:semiHidden/>
    <w:rsid w:val="00F948CD"/>
    <w:rPr>
      <w:rFonts w:ascii="Times New Roman" w:eastAsia="Times New Roman" w:hAnsi="Times New Roman" w:cs="Times New Roman"/>
      <w:noProof/>
      <w:vanish/>
      <w:kern w:val="0"/>
      <w:szCs w:val="20"/>
      <w:lang w:val="en-GB"/>
      <w14:ligatures w14:val="none"/>
    </w:rPr>
  </w:style>
  <w:style w:type="table" w:styleId="Onopgemaaktetabel2">
    <w:name w:val="Plain Table 2"/>
    <w:basedOn w:val="Standaardtabel"/>
    <w:uiPriority w:val="42"/>
    <w:rsid w:val="00F948CD"/>
    <w:rPr>
      <w:rFonts w:cs="Calibri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Thijssen, Dick</dc:creator>
  <cp:keywords/>
  <dc:description/>
  <cp:lastModifiedBy>Thijssen, Dick</cp:lastModifiedBy>
  <cp:revision>1</cp:revision>
  <dcterms:created xsi:type="dcterms:W3CDTF">2023-06-21T06:37:00Z</dcterms:created>
  <dcterms:modified xsi:type="dcterms:W3CDTF">2023-06-21T06:37:00Z</dcterms:modified>
</cp:coreProperties>
</file>