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12BE" w:rsidRDefault="007A12BE" w:rsidP="007A12BE">
      <w:pPr>
        <w:rPr>
          <w:rFonts w:cs="Times New Roman"/>
          <w:b/>
          <w:sz w:val="20"/>
          <w:szCs w:val="20"/>
        </w:rPr>
      </w:pPr>
      <w:r>
        <w:rPr>
          <w:rFonts w:cs="Times New Roman" w:hint="eastAsia"/>
          <w:b/>
          <w:sz w:val="20"/>
          <w:szCs w:val="20"/>
        </w:rPr>
        <w:t>Supplementary table</w:t>
      </w:r>
    </w:p>
    <w:p w:rsidR="007A12BE" w:rsidRPr="00FB4E62" w:rsidRDefault="007A12BE" w:rsidP="007A12BE">
      <w:pPr>
        <w:rPr>
          <w:rFonts w:cs="Times New Roman"/>
          <w:sz w:val="20"/>
          <w:szCs w:val="20"/>
        </w:rPr>
      </w:pPr>
      <w:r w:rsidRPr="00FB4E62">
        <w:rPr>
          <w:rFonts w:cs="Times New Roman"/>
          <w:sz w:val="20"/>
          <w:szCs w:val="20"/>
        </w:rPr>
        <w:t>Supplementary Table 1</w:t>
      </w:r>
    </w:p>
    <w:p w:rsidR="007A12BE" w:rsidRPr="00FB4E62" w:rsidRDefault="007A12BE" w:rsidP="007A12BE">
      <w:pPr>
        <w:rPr>
          <w:rFonts w:cs="Times New Roman"/>
          <w:sz w:val="20"/>
          <w:szCs w:val="20"/>
        </w:rPr>
      </w:pPr>
      <w:r w:rsidRPr="00FB4E62">
        <w:rPr>
          <w:rFonts w:cs="Times New Roman"/>
          <w:sz w:val="20"/>
          <w:szCs w:val="20"/>
        </w:rPr>
        <w:t>Tumor factors of stage III IMA-LN (+) and stage III IMA-LN (-) patients with more than or equal to four lymph node metastasis</w:t>
      </w:r>
    </w:p>
    <w:p w:rsidR="007A12BE" w:rsidRPr="00FB4E62" w:rsidRDefault="007A12BE" w:rsidP="007A12BE">
      <w:pPr>
        <w:rPr>
          <w:rFonts w:cs="Times New Roman"/>
          <w:sz w:val="24"/>
          <w:szCs w:val="24"/>
        </w:rPr>
      </w:pPr>
    </w:p>
    <w:tbl>
      <w:tblPr>
        <w:tblW w:w="834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127"/>
        <w:gridCol w:w="1842"/>
        <w:gridCol w:w="1704"/>
        <w:gridCol w:w="1509"/>
        <w:gridCol w:w="1158"/>
      </w:tblGrid>
      <w:tr w:rsidR="007A12BE" w:rsidRPr="00FB4E62" w:rsidTr="00AD65B1">
        <w:trPr>
          <w:trHeight w:val="271"/>
        </w:trPr>
        <w:tc>
          <w:tcPr>
            <w:tcW w:w="2127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b/>
                <w:sz w:val="16"/>
                <w:szCs w:val="16"/>
              </w:rPr>
            </w:pPr>
            <w:r w:rsidRPr="00FB4E62">
              <w:rPr>
                <w:rFonts w:cs="Times New Roman"/>
                <w:b/>
                <w:bCs/>
                <w:sz w:val="16"/>
                <w:szCs w:val="16"/>
              </w:rPr>
              <w:t>Factors</w:t>
            </w:r>
          </w:p>
        </w:tc>
        <w:tc>
          <w:tcPr>
            <w:tcW w:w="1842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b/>
                <w:sz w:val="16"/>
                <w:szCs w:val="16"/>
              </w:rPr>
            </w:pPr>
            <w:r w:rsidRPr="00FB4E62">
              <w:rPr>
                <w:rFonts w:cs="Times New Roman"/>
                <w:b/>
                <w:bCs/>
                <w:sz w:val="16"/>
                <w:szCs w:val="16"/>
              </w:rPr>
              <w:t>Group</w:t>
            </w:r>
          </w:p>
        </w:tc>
        <w:tc>
          <w:tcPr>
            <w:tcW w:w="1704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b/>
                <w:sz w:val="16"/>
                <w:szCs w:val="16"/>
              </w:rPr>
            </w:pPr>
            <w:r w:rsidRPr="00FB4E62">
              <w:rPr>
                <w:rFonts w:cs="Times New Roman"/>
                <w:b/>
                <w:bCs/>
                <w:sz w:val="16"/>
                <w:szCs w:val="16"/>
              </w:rPr>
              <w:t>IMA-LN (-)</w:t>
            </w:r>
          </w:p>
          <w:p w:rsidR="007A12BE" w:rsidRPr="00FB4E62" w:rsidRDefault="007A12BE" w:rsidP="00AD65B1">
            <w:pPr>
              <w:jc w:val="center"/>
              <w:rPr>
                <w:rFonts w:cs="Times New Roman"/>
                <w:b/>
                <w:sz w:val="16"/>
                <w:szCs w:val="16"/>
              </w:rPr>
            </w:pPr>
            <w:r w:rsidRPr="00FB4E62">
              <w:rPr>
                <w:rFonts w:cs="Times New Roman"/>
                <w:b/>
                <w:bCs/>
                <w:sz w:val="16"/>
                <w:szCs w:val="16"/>
              </w:rPr>
              <w:t>n= 61</w:t>
            </w:r>
          </w:p>
        </w:tc>
        <w:tc>
          <w:tcPr>
            <w:tcW w:w="1509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b/>
                <w:sz w:val="16"/>
                <w:szCs w:val="16"/>
              </w:rPr>
            </w:pPr>
            <w:r w:rsidRPr="00FB4E62">
              <w:rPr>
                <w:rFonts w:cs="Times New Roman"/>
                <w:b/>
                <w:bCs/>
                <w:sz w:val="16"/>
                <w:szCs w:val="16"/>
              </w:rPr>
              <w:t>IMA-LN (+)</w:t>
            </w:r>
          </w:p>
          <w:p w:rsidR="007A12BE" w:rsidRPr="00FB4E62" w:rsidRDefault="007A12BE" w:rsidP="00AD65B1">
            <w:pPr>
              <w:jc w:val="center"/>
              <w:rPr>
                <w:rFonts w:cs="Times New Roman"/>
                <w:b/>
                <w:sz w:val="16"/>
                <w:szCs w:val="16"/>
              </w:rPr>
            </w:pPr>
            <w:r w:rsidRPr="00FB4E62">
              <w:rPr>
                <w:rFonts w:cs="Times New Roman"/>
                <w:b/>
                <w:bCs/>
                <w:sz w:val="16"/>
                <w:szCs w:val="16"/>
              </w:rPr>
              <w:t>n = 7</w:t>
            </w:r>
          </w:p>
        </w:tc>
        <w:tc>
          <w:tcPr>
            <w:tcW w:w="1158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b/>
                <w:sz w:val="16"/>
                <w:szCs w:val="16"/>
              </w:rPr>
            </w:pPr>
            <w:r w:rsidRPr="00FB4E62">
              <w:rPr>
                <w:rFonts w:cs="Times New Roman"/>
                <w:b/>
                <w:bCs/>
                <w:i/>
                <w:sz w:val="16"/>
                <w:szCs w:val="16"/>
              </w:rPr>
              <w:t>P</w:t>
            </w:r>
            <w:r w:rsidRPr="00FB4E62">
              <w:rPr>
                <w:rFonts w:cs="Times New Roman"/>
                <w:b/>
                <w:bCs/>
                <w:sz w:val="16"/>
                <w:szCs w:val="16"/>
              </w:rPr>
              <w:t xml:space="preserve"> value</w:t>
            </w:r>
          </w:p>
        </w:tc>
      </w:tr>
      <w:tr w:rsidR="007A12BE" w:rsidRPr="00FB4E62" w:rsidTr="003D0A0D">
        <w:trPr>
          <w:trHeight w:val="271"/>
        </w:trPr>
        <w:tc>
          <w:tcPr>
            <w:tcW w:w="2127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left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Age (years)</w:t>
            </w:r>
          </w:p>
        </w:tc>
        <w:tc>
          <w:tcPr>
            <w:tcW w:w="184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&lt;66</w:t>
            </w:r>
          </w:p>
        </w:tc>
        <w:tc>
          <w:tcPr>
            <w:tcW w:w="1704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35 (57%)</w:t>
            </w:r>
          </w:p>
        </w:tc>
        <w:tc>
          <w:tcPr>
            <w:tcW w:w="1509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1 (14%)</w:t>
            </w:r>
          </w:p>
        </w:tc>
        <w:tc>
          <w:tcPr>
            <w:tcW w:w="1158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b/>
                <w:sz w:val="16"/>
                <w:szCs w:val="16"/>
              </w:rPr>
            </w:pPr>
            <w:r w:rsidRPr="00FB4E62">
              <w:rPr>
                <w:rFonts w:cs="Times New Roman"/>
                <w:b/>
                <w:sz w:val="16"/>
                <w:szCs w:val="16"/>
              </w:rPr>
              <w:t>0.045</w:t>
            </w:r>
          </w:p>
        </w:tc>
      </w:tr>
      <w:tr w:rsidR="007A12BE" w:rsidRPr="00FB4E62" w:rsidTr="003D0A0D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lef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≥66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26 (43%)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6 (86%)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7A12BE" w:rsidRPr="00FB4E62" w:rsidTr="00AD65B1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left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Sex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Female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28 (46%)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4 (57%)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0.699</w:t>
            </w:r>
          </w:p>
        </w:tc>
      </w:tr>
      <w:tr w:rsidR="007A12BE" w:rsidRPr="00FB4E62" w:rsidTr="00AD65B1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lef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Male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33 (54%)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3 (43%)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7A12BE" w:rsidRPr="00FB4E62" w:rsidTr="003D0A0D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left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Operation time (min)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&lt;240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22 (36%)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3 (43%)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0.702</w:t>
            </w:r>
          </w:p>
        </w:tc>
      </w:tr>
      <w:tr w:rsidR="007A12BE" w:rsidRPr="00FB4E62" w:rsidTr="003D0A0D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lef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≥240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39 (64%)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4 (57%)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7A12BE" w:rsidRPr="00FB4E62" w:rsidTr="00AD65B1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left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Bleeding (ml)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&lt;45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28 (46%)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4 (57%)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0.699</w:t>
            </w:r>
          </w:p>
        </w:tc>
      </w:tr>
      <w:tr w:rsidR="007A12BE" w:rsidRPr="00FB4E62" w:rsidTr="00AD65B1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left"/>
              <w:rPr>
                <w:rFonts w:cs="Times New Roman"/>
                <w:sz w:val="16"/>
                <w:szCs w:val="16"/>
              </w:rPr>
            </w:pPr>
            <w:bookmarkStart w:id="0" w:name="_GoBack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≥45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33 (54%)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3 (43%)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bookmarkEnd w:id="0"/>
      <w:tr w:rsidR="007A12BE" w:rsidRPr="00FB4E62" w:rsidTr="003D0A0D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left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Tumor location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Descending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0 (0%)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0 (0%)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0.216</w:t>
            </w:r>
          </w:p>
        </w:tc>
      </w:tr>
      <w:tr w:rsidR="007A12BE" w:rsidRPr="00FB4E62" w:rsidTr="003D0A0D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lef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Sigmoid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19 (31%)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4 (57%)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7A12BE" w:rsidRPr="00FB4E62" w:rsidTr="003D0A0D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lef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Rectum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42 (69%)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3 (43%)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7A12BE" w:rsidRPr="00FB4E62" w:rsidTr="00AD65B1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left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 xml:space="preserve">T factor </w:t>
            </w:r>
            <w:r w:rsidRPr="00FB4E62">
              <w:rPr>
                <w:rFonts w:cs="Times New Roman"/>
                <w:sz w:val="16"/>
                <w:szCs w:val="16"/>
                <w:vertAlign w:val="superscript"/>
              </w:rPr>
              <w:t xml:space="preserve">a, </w:t>
            </w:r>
            <w:r w:rsidRPr="00FB4E62">
              <w:rPr>
                <w:rFonts w:cs="Times New Roman"/>
                <w:sz w:val="16"/>
                <w:szCs w:val="16"/>
              </w:rPr>
              <w:t>*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T1, 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5 (8%)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0 (0%)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1.000</w:t>
            </w:r>
          </w:p>
        </w:tc>
      </w:tr>
      <w:tr w:rsidR="007A12BE" w:rsidRPr="00FB4E62" w:rsidTr="00AD65B1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lef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T3, 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56 (92%)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7 (100%)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7A12BE" w:rsidRPr="00FB4E62" w:rsidTr="003D0A0D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left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 xml:space="preserve">Histopathological type </w:t>
            </w:r>
            <w:r w:rsidRPr="00FB4E62">
              <w:rPr>
                <w:rFonts w:cs="Times New Roman"/>
                <w:sz w:val="16"/>
                <w:szCs w:val="16"/>
                <w:vertAlign w:val="superscript"/>
              </w:rPr>
              <w:t xml:space="preserve">b, </w:t>
            </w:r>
            <w:r w:rsidRPr="00FB4E62">
              <w:rPr>
                <w:rFonts w:cs="Times New Roman"/>
                <w:sz w:val="16"/>
                <w:szCs w:val="16"/>
              </w:rPr>
              <w:t>†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Poorly differentiated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9 (15%)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3 (43%)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0.098</w:t>
            </w:r>
          </w:p>
        </w:tc>
      </w:tr>
      <w:tr w:rsidR="007A12BE" w:rsidRPr="00FB4E62" w:rsidTr="003D0A0D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lef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Well differentiated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52 (85%)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4 (57%)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7A12BE" w:rsidRPr="00FB4E62" w:rsidTr="00AD65B1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left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Tumor size (mm)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&lt;45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31 (51%)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2 (29%)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0.429</w:t>
            </w:r>
          </w:p>
        </w:tc>
      </w:tr>
      <w:tr w:rsidR="007A12BE" w:rsidRPr="00FB4E62" w:rsidTr="00AD65B1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lef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≥45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30 (49%)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5 (71%)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7A12BE" w:rsidRPr="00FB4E62" w:rsidTr="003D0A0D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left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Venous invasion †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Absent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25 (41%)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3 (43%)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1.000</w:t>
            </w:r>
          </w:p>
        </w:tc>
      </w:tr>
      <w:tr w:rsidR="007A12BE" w:rsidRPr="00FB4E62" w:rsidTr="003D0A0D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lef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Present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36 (59%)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4 (57%)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7A12BE" w:rsidRPr="00FB4E62" w:rsidTr="00AD65B1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left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Lymphatic invasion †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Absent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15 (25%)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0 (0%)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0.334</w:t>
            </w:r>
          </w:p>
        </w:tc>
      </w:tr>
      <w:tr w:rsidR="007A12BE" w:rsidRPr="00FB4E62" w:rsidTr="00AD65B1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lef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Present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46 (75%)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7 (100%)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7A12BE" w:rsidRPr="00FB4E62" w:rsidTr="003D0A0D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left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CA19-9 (U/ml)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&lt;37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49 (80%)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6 (86%)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1.000</w:t>
            </w:r>
          </w:p>
        </w:tc>
      </w:tr>
      <w:tr w:rsidR="007A12BE" w:rsidRPr="00FB4E62" w:rsidTr="003D0A0D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lef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≥37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11 (19%)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1 (14%)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7A12BE" w:rsidRPr="00FB4E62" w:rsidTr="00AD65B1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left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CEA (ng/ml)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&lt;5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35 (57%)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3 (43%)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0.499</w:t>
            </w:r>
          </w:p>
        </w:tc>
      </w:tr>
      <w:tr w:rsidR="007A12BE" w:rsidRPr="00FB4E62" w:rsidTr="00AD65B1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lef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≥5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25 (42%)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B4E62">
              <w:rPr>
                <w:rFonts w:cs="Times New Roman"/>
                <w:sz w:val="16"/>
                <w:szCs w:val="16"/>
              </w:rPr>
              <w:t>4 (57%)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A12BE" w:rsidRPr="00FB4E62" w:rsidRDefault="007A12BE" w:rsidP="00AD65B1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</w:tbl>
    <w:p w:rsidR="007A12BE" w:rsidRPr="00FB4E62" w:rsidRDefault="007A12BE" w:rsidP="007A12BE">
      <w:pPr>
        <w:rPr>
          <w:rFonts w:cs="Times New Roman"/>
          <w:sz w:val="16"/>
          <w:szCs w:val="16"/>
        </w:rPr>
      </w:pPr>
      <w:r w:rsidRPr="00FB4E62">
        <w:rPr>
          <w:rFonts w:cs="Times New Roman"/>
          <w:sz w:val="16"/>
          <w:szCs w:val="16"/>
        </w:rPr>
        <w:t>IMA-LN (-), the absence of the inferior mesenteric artery lymph node metastasis</w:t>
      </w:r>
    </w:p>
    <w:p w:rsidR="007A12BE" w:rsidRPr="00FB4E62" w:rsidRDefault="007A12BE" w:rsidP="007A12BE">
      <w:pPr>
        <w:rPr>
          <w:rFonts w:cs="Times New Roman"/>
          <w:sz w:val="16"/>
          <w:szCs w:val="16"/>
        </w:rPr>
      </w:pPr>
      <w:r w:rsidRPr="00FB4E62">
        <w:rPr>
          <w:rFonts w:cs="Times New Roman"/>
          <w:sz w:val="16"/>
          <w:szCs w:val="16"/>
        </w:rPr>
        <w:t>IMA-LN (+), the presence of the inferior mesenteric artery lymph node metastasis</w:t>
      </w:r>
    </w:p>
    <w:p w:rsidR="007A12BE" w:rsidRPr="00FB4E62" w:rsidRDefault="007A12BE" w:rsidP="007A12BE">
      <w:pPr>
        <w:rPr>
          <w:rFonts w:cs="Times New Roman"/>
          <w:sz w:val="16"/>
          <w:szCs w:val="16"/>
        </w:rPr>
      </w:pPr>
      <w:r w:rsidRPr="00FB4E62">
        <w:rPr>
          <w:rFonts w:cs="Times New Roman"/>
          <w:sz w:val="16"/>
          <w:szCs w:val="16"/>
        </w:rPr>
        <w:t>CA19-9, carbohydrate antigen 19-9; CEA, carcinoembryonic antigen</w:t>
      </w:r>
    </w:p>
    <w:p w:rsidR="007A12BE" w:rsidRPr="00FB4E62" w:rsidRDefault="007A12BE" w:rsidP="007A12BE">
      <w:pPr>
        <w:rPr>
          <w:rFonts w:cs="Times New Roman"/>
          <w:sz w:val="16"/>
          <w:szCs w:val="16"/>
        </w:rPr>
      </w:pPr>
      <w:r w:rsidRPr="00FB4E62">
        <w:rPr>
          <w:rFonts w:cs="Times New Roman"/>
          <w:sz w:val="16"/>
          <w:szCs w:val="16"/>
        </w:rPr>
        <w:lastRenderedPageBreak/>
        <w:t>a, Depth of invasion: T1, tumor invasion of the lamina propria or submucosa; T2, tumor invasion of the muscularis propria; T3, tumor invasion of the sub serosa or within adventitia; T4, tumor penetration of the serosa or tumor invasion of adjacent organs</w:t>
      </w:r>
    </w:p>
    <w:p w:rsidR="007A12BE" w:rsidRPr="00FB4E62" w:rsidRDefault="007A12BE" w:rsidP="007A12BE">
      <w:pPr>
        <w:rPr>
          <w:rFonts w:cs="Times New Roman"/>
          <w:sz w:val="16"/>
          <w:szCs w:val="16"/>
        </w:rPr>
      </w:pPr>
      <w:r w:rsidRPr="00FB4E62">
        <w:rPr>
          <w:rFonts w:cs="Times New Roman"/>
          <w:sz w:val="16"/>
          <w:szCs w:val="16"/>
        </w:rPr>
        <w:t>b, Histological type: well differentiated, well or moderately differentiated adenocarcinoma; poorly differentiated, poorly differentiated adenocarcinoma, signet ring cell carcinoma or mucinous carcinoma</w:t>
      </w:r>
    </w:p>
    <w:p w:rsidR="007A12BE" w:rsidRPr="00FB4E62" w:rsidRDefault="007A12BE" w:rsidP="007A12BE">
      <w:pPr>
        <w:rPr>
          <w:rFonts w:cs="Times New Roman"/>
          <w:sz w:val="16"/>
          <w:szCs w:val="16"/>
        </w:rPr>
      </w:pPr>
      <w:r w:rsidRPr="00FB4E62">
        <w:rPr>
          <w:rFonts w:cs="Times New Roman"/>
          <w:sz w:val="16"/>
          <w:szCs w:val="16"/>
        </w:rPr>
        <w:t>*, According to the Union for International Cancer Control/American Joint Committee on Cancer Tumour, Node, Metastasis system version 8, and the Union for International Cancer Control</w:t>
      </w:r>
    </w:p>
    <w:p w:rsidR="007A12BE" w:rsidRDefault="007A12BE" w:rsidP="00023F19">
      <w:pPr>
        <w:rPr>
          <w:rFonts w:eastAsiaTheme="minorEastAsia" w:cs="Times New Roman"/>
          <w:b/>
          <w:color w:val="000000" w:themeColor="text1"/>
          <w:sz w:val="20"/>
          <w:szCs w:val="20"/>
        </w:rPr>
      </w:pPr>
      <w:r w:rsidRPr="00FB4E62">
        <w:rPr>
          <w:rFonts w:cs="Times New Roman"/>
          <w:sz w:val="16"/>
          <w:szCs w:val="16"/>
          <w:vertAlign w:val="superscript"/>
        </w:rPr>
        <w:t>†</w:t>
      </w:r>
      <w:r w:rsidRPr="00FB4E62">
        <w:rPr>
          <w:rFonts w:cs="Times New Roman"/>
          <w:sz w:val="16"/>
          <w:szCs w:val="16"/>
        </w:rPr>
        <w:t>, According to 8th edition of the Japanese Classification of Colorectal, Appendiceal, and Anal Carcinoma</w:t>
      </w:r>
    </w:p>
    <w:sectPr w:rsidR="007A12B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12BE" w:rsidRDefault="007A12BE" w:rsidP="007A12BE">
      <w:r>
        <w:separator/>
      </w:r>
    </w:p>
  </w:endnote>
  <w:endnote w:type="continuationSeparator" w:id="0">
    <w:p w:rsidR="007A12BE" w:rsidRDefault="007A12BE" w:rsidP="007A1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12BE" w:rsidRDefault="007A12BE" w:rsidP="007A12BE">
      <w:r>
        <w:separator/>
      </w:r>
    </w:p>
  </w:footnote>
  <w:footnote w:type="continuationSeparator" w:id="0">
    <w:p w:rsidR="007A12BE" w:rsidRDefault="007A12BE" w:rsidP="007A12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8B1"/>
    <w:rsid w:val="00023F19"/>
    <w:rsid w:val="003D0A0D"/>
    <w:rsid w:val="004258B1"/>
    <w:rsid w:val="007A12BE"/>
    <w:rsid w:val="00B41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chartTrackingRefBased/>
  <w15:docId w15:val="{627E7CCF-C384-4E5C-881B-33F926875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EastAsia" w:hAnsi="Arial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7A12BE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Times New Roman" w:eastAsia="Arial Unicode MS" w:hAnsi="Times New Roman" w:cs="Arial Unicode MS"/>
      <w:color w:val="000000"/>
      <w:szCs w:val="21"/>
      <w:u w:color="000000"/>
      <w:bdr w:val="n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12B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252"/>
        <w:tab w:val="right" w:pos="8504"/>
      </w:tabs>
      <w:snapToGrid w:val="0"/>
    </w:pPr>
    <w:rPr>
      <w:rFonts w:ascii="Arial" w:eastAsiaTheme="minorEastAsia" w:hAnsi="Arial" w:cs="Times New Roman"/>
      <w:color w:val="auto"/>
      <w:szCs w:val="22"/>
      <w:bdr w:val="none" w:sz="0" w:space="0" w:color="auto"/>
    </w:rPr>
  </w:style>
  <w:style w:type="character" w:customStyle="1" w:styleId="a4">
    <w:name w:val="ヘッダー (文字)"/>
    <w:basedOn w:val="a0"/>
    <w:link w:val="a3"/>
    <w:uiPriority w:val="99"/>
    <w:rsid w:val="007A12BE"/>
  </w:style>
  <w:style w:type="paragraph" w:styleId="a5">
    <w:name w:val="footer"/>
    <w:basedOn w:val="a"/>
    <w:link w:val="a6"/>
    <w:uiPriority w:val="99"/>
    <w:unhideWhenUsed/>
    <w:rsid w:val="007A12B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252"/>
        <w:tab w:val="right" w:pos="8504"/>
      </w:tabs>
      <w:snapToGrid w:val="0"/>
    </w:pPr>
    <w:rPr>
      <w:rFonts w:ascii="Arial" w:eastAsiaTheme="minorEastAsia" w:hAnsi="Arial" w:cs="Times New Roman"/>
      <w:color w:val="auto"/>
      <w:szCs w:val="22"/>
      <w:bdr w:val="none" w:sz="0" w:space="0" w:color="auto"/>
    </w:rPr>
  </w:style>
  <w:style w:type="character" w:customStyle="1" w:styleId="a6">
    <w:name w:val="フッター (文字)"/>
    <w:basedOn w:val="a0"/>
    <w:link w:val="a5"/>
    <w:uiPriority w:val="99"/>
    <w:rsid w:val="007A12BE"/>
  </w:style>
  <w:style w:type="paragraph" w:customStyle="1" w:styleId="EndNoteBibliography">
    <w:name w:val="EndNote Bibliography"/>
    <w:rsid w:val="007A12BE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line="480" w:lineRule="auto"/>
      <w:jc w:val="both"/>
    </w:pPr>
    <w:rPr>
      <w:rFonts w:eastAsia="Arial" w:cs="Arial"/>
      <w:color w:val="000000"/>
      <w:sz w:val="24"/>
      <w:szCs w:val="24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313</Words>
  <Characters>1788</Characters>
  <Application>Microsoft Office Word</Application>
  <DocSecurity>0</DocSecurity>
  <Lines>14</Lines>
  <Paragraphs>4</Paragraphs>
  <ScaleCrop>false</ScaleCrop>
  <Company/>
  <LinksUpToDate>false</LinksUpToDate>
  <CharactersWithSpaces>2097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takabatake</dc:creator>
  <cp:keywords/>
  <dc:description/>
  <cp:lastModifiedBy>takabatake</cp:lastModifiedBy>
  <cp:revision>4</cp:revision>
  <dcterms:created xsi:type="dcterms:W3CDTF">2020-03-07T04:22:00Z</dcterms:created>
  <dcterms:modified xsi:type="dcterms:W3CDTF">2020-07-14T23:27:00Z</dcterms:modified>
</cp:coreProperties>
</file>