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4866E" w14:textId="77777777" w:rsidR="000E7DA6" w:rsidRDefault="000E7DA6" w:rsidP="000E7DA6">
      <w:r>
        <w:rPr>
          <w:noProof/>
        </w:rPr>
        <w:drawing>
          <wp:inline distT="0" distB="0" distL="0" distR="0" wp14:anchorId="12787229" wp14:editId="31C05B19">
            <wp:extent cx="4848225" cy="2314575"/>
            <wp:effectExtent l="0" t="0" r="9525" b="9525"/>
            <wp:docPr id="1073741832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D461B67" w14:textId="77777777" w:rsidR="000E7DA6" w:rsidRDefault="000E7DA6" w:rsidP="000E7DA6">
      <w:pPr>
        <w:pStyle w:val="BodyA"/>
        <w:spacing w:after="0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  <w:sz w:val="24"/>
          <w:szCs w:val="24"/>
        </w:rPr>
        <w:t>Chart 1: The combined analysis of the viability index of the three extracts</w:t>
      </w:r>
    </w:p>
    <w:p w14:paraId="7596188E" w14:textId="77777777" w:rsidR="000E7DA6" w:rsidRDefault="000E7DA6" w:rsidP="000E7DA6"/>
    <w:p w14:paraId="1A38ED22" w14:textId="77777777" w:rsidR="000E7DA6" w:rsidRDefault="000E7DA6" w:rsidP="000E7DA6">
      <w:r>
        <w:rPr>
          <w:noProof/>
        </w:rPr>
        <w:drawing>
          <wp:inline distT="0" distB="0" distL="0" distR="0" wp14:anchorId="3B739D82" wp14:editId="5D6E4C62">
            <wp:extent cx="4791075" cy="2876550"/>
            <wp:effectExtent l="0" t="0" r="9525" b="19050"/>
            <wp:docPr id="1073741833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4EDFA69" w14:textId="77777777" w:rsidR="000E7DA6" w:rsidRDefault="000E7DA6" w:rsidP="000E7DA6">
      <w:pPr>
        <w:pStyle w:val="BodyA"/>
        <w:spacing w:after="0"/>
        <w:ind w:firstLine="360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Chart 2: The combined analysis of the viability index of the three extracts</w:t>
      </w:r>
    </w:p>
    <w:p w14:paraId="08AC4572" w14:textId="77777777" w:rsidR="000E7DA6" w:rsidRDefault="000E7DA6" w:rsidP="000E7DA6">
      <w:pPr>
        <w:pStyle w:val="BodyA"/>
        <w:spacing w:after="0"/>
        <w:ind w:firstLine="36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B75225E" wp14:editId="07B45707">
            <wp:extent cx="4305300" cy="2667000"/>
            <wp:effectExtent l="0" t="0" r="19050" b="19050"/>
            <wp:docPr id="1073741834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3F0DBD6" w14:textId="77777777" w:rsidR="000E7DA6" w:rsidRDefault="000E7DA6" w:rsidP="000E7DA6">
      <w:pPr>
        <w:pStyle w:val="BodyA"/>
        <w:spacing w:after="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    Chart 3: The combined analysis of the toxicity index of the three extracts</w:t>
      </w:r>
    </w:p>
    <w:p w14:paraId="5A2E8E23" w14:textId="77777777" w:rsidR="000E7DA6" w:rsidRDefault="000E7DA6" w:rsidP="000E7DA6">
      <w:pPr>
        <w:pStyle w:val="BodyA"/>
        <w:spacing w:after="0"/>
        <w:ind w:firstLine="36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470FB60C" w14:textId="77777777" w:rsidR="000E7DA6" w:rsidRDefault="000E7DA6" w:rsidP="000E7DA6">
      <w:pPr>
        <w:pStyle w:val="BodyA"/>
        <w:spacing w:after="0"/>
        <w:ind w:firstLine="36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7B6A28" wp14:editId="15A4465E">
            <wp:extent cx="4391025" cy="2314575"/>
            <wp:effectExtent l="0" t="0" r="9525" b="9525"/>
            <wp:docPr id="1073741835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0C7C253" w14:textId="77777777" w:rsidR="000E7DA6" w:rsidRDefault="000E7DA6" w:rsidP="000E7DA6">
      <w:pPr>
        <w:pStyle w:val="BodyA"/>
        <w:spacing w:after="0"/>
        <w:ind w:firstLine="36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Chart 4: </w:t>
      </w:r>
      <w:r>
        <w:rPr>
          <w:rStyle w:val="None"/>
          <w:rFonts w:ascii="Times New Roman" w:hAnsi="Times New Roman"/>
          <w:sz w:val="24"/>
          <w:szCs w:val="24"/>
        </w:rPr>
        <w:t>The combined analysis of the toxicity index of the three extracts</w:t>
      </w:r>
    </w:p>
    <w:p w14:paraId="4A76CD6F" w14:textId="77777777" w:rsidR="000E7DA6" w:rsidRDefault="000E7DA6" w:rsidP="000E7DA6">
      <w:pPr>
        <w:pStyle w:val="BodyA"/>
        <w:spacing w:after="0"/>
        <w:ind w:firstLine="36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4AB3E8A6" w14:textId="77777777" w:rsidR="000E7DA6" w:rsidRDefault="000E7DA6" w:rsidP="000E7DA6">
      <w:r>
        <w:rPr>
          <w:noProof/>
        </w:rPr>
        <w:lastRenderedPageBreak/>
        <w:drawing>
          <wp:inline distT="0" distB="0" distL="0" distR="0" wp14:anchorId="5A2C42B6" wp14:editId="6F0833A7">
            <wp:extent cx="4886325" cy="3314700"/>
            <wp:effectExtent l="0" t="0" r="9525" b="19050"/>
            <wp:docPr id="1073741836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2F11386" w14:textId="77777777" w:rsidR="000E7DA6" w:rsidRDefault="000E7DA6" w:rsidP="000E7DA6">
      <w:pPr>
        <w:pStyle w:val="BodyA"/>
        <w:spacing w:after="0"/>
        <w:jc w:val="both"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Chart 5: Comparative diagram of the V.I of the three extracts after an incubation of 48hours</w:t>
      </w:r>
    </w:p>
    <w:p w14:paraId="2586F91D" w14:textId="77777777" w:rsidR="000E7DA6" w:rsidRDefault="000E7DA6" w:rsidP="000E7DA6">
      <w:pPr>
        <w:pStyle w:val="BodyA"/>
        <w:spacing w:after="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460F83B5" w14:textId="77777777" w:rsidR="000E7DA6" w:rsidRDefault="000E7DA6" w:rsidP="000E7DA6">
      <w:r>
        <w:rPr>
          <w:noProof/>
        </w:rPr>
        <w:drawing>
          <wp:inline distT="0" distB="0" distL="0" distR="0" wp14:anchorId="28B29152" wp14:editId="657DAFCF">
            <wp:extent cx="4886325" cy="2571750"/>
            <wp:effectExtent l="0" t="0" r="9525" b="19050"/>
            <wp:docPr id="1073741837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C3C9D1B" w14:textId="77777777" w:rsidR="000E7DA6" w:rsidRDefault="000E7DA6" w:rsidP="000E7DA6">
      <w:pPr>
        <w:pStyle w:val="BodyA"/>
        <w:spacing w:after="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Chart 6: The combined bar diagram of V.I values of three extracts with SKBR3 after an incubation of 48 hours.</w:t>
      </w:r>
    </w:p>
    <w:p w14:paraId="1C63F34C" w14:textId="77777777" w:rsidR="000E7DA6" w:rsidRDefault="000E7DA6" w:rsidP="000E7DA6"/>
    <w:p w14:paraId="41795FF5" w14:textId="77777777" w:rsidR="000E7DA6" w:rsidRDefault="000E7DA6" w:rsidP="000E7DA6"/>
    <w:p w14:paraId="6863206E" w14:textId="77777777" w:rsidR="000E7DA6" w:rsidRDefault="000E7DA6" w:rsidP="000E7DA6">
      <w:r>
        <w:rPr>
          <w:noProof/>
        </w:rPr>
        <w:lastRenderedPageBreak/>
        <w:drawing>
          <wp:inline distT="0" distB="0" distL="0" distR="0" wp14:anchorId="21CE7ACF" wp14:editId="094A0C2D">
            <wp:extent cx="5114925" cy="2495550"/>
            <wp:effectExtent l="0" t="0" r="9525" b="19050"/>
            <wp:docPr id="1073741838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DE0016A" w14:textId="77777777" w:rsidR="000E7DA6" w:rsidRDefault="000E7DA6" w:rsidP="000E7DA6">
      <w:pPr>
        <w:pStyle w:val="BodyA"/>
        <w:spacing w:after="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Chart 7 : Combined diagramtic representation of T.I values of all three extracts with C127i after 48 hours.</w:t>
      </w:r>
    </w:p>
    <w:p w14:paraId="55A31719" w14:textId="77777777" w:rsidR="000E7DA6" w:rsidRDefault="000E7DA6" w:rsidP="000E7DA6"/>
    <w:p w14:paraId="6CBA00E2" w14:textId="77777777" w:rsidR="000E7DA6" w:rsidRDefault="000E7DA6" w:rsidP="000E7DA6">
      <w:r>
        <w:rPr>
          <w:noProof/>
        </w:rPr>
        <w:drawing>
          <wp:inline distT="0" distB="0" distL="0" distR="0" wp14:anchorId="78C1DDEE" wp14:editId="406BED85">
            <wp:extent cx="4991100" cy="2324100"/>
            <wp:effectExtent l="0" t="0" r="19050" b="19050"/>
            <wp:docPr id="1073741839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C0C009" w14:textId="77777777" w:rsidR="000E7DA6" w:rsidRDefault="000E7DA6" w:rsidP="000E7DA6">
      <w:pPr>
        <w:pStyle w:val="BodyA"/>
        <w:spacing w:after="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1B93DC55" w14:textId="77777777" w:rsidR="000E7DA6" w:rsidRDefault="000E7DA6" w:rsidP="000E7DA6">
      <w:pPr>
        <w:pStyle w:val="BodyA"/>
        <w:spacing w:after="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Chart 8: Combined bar diagram of T.I values of all three extracts with SKBR3 after 48 hours</w:t>
      </w:r>
    </w:p>
    <w:p w14:paraId="19E5B79B" w14:textId="77777777" w:rsidR="000E7DA6" w:rsidRDefault="000E7DA6"/>
    <w:sectPr w:rsidR="000E7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A6"/>
    <w:rsid w:val="000E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ED14F"/>
  <w15:chartTrackingRefBased/>
  <w15:docId w15:val="{A49A3604-7FF2-47E6-A042-F5A6907F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DA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0E7DA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0E7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i="0" u="none" strike="noStrike">
                <a:solidFill>
                  <a:srgbClr val="595959"/>
                </a:solidFill>
                <a:latin typeface="Calibri"/>
              </a:defRPr>
            </a:pPr>
            <a:r>
              <a:rPr lang="en-US" sz="1400" b="0" i="0" u="none" strike="noStrike">
                <a:solidFill>
                  <a:srgbClr val="595959"/>
                </a:solidFill>
                <a:latin typeface="Calibri"/>
              </a:rPr>
              <a:t>VI of C127i at 24hrs</a:t>
            </a:r>
          </a:p>
        </c:rich>
      </c:tx>
      <c:layout>
        <c:manualLayout>
          <c:xMode val="edge"/>
          <c:yMode val="edge"/>
          <c:x val="0.31290200000000001"/>
          <c:y val="0"/>
          <c:w val="0.32477099999999998"/>
          <c:h val="0.13932700000000001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15475"/>
          <c:y val="0.13932700000000001"/>
          <c:w val="0.78755699999999995"/>
          <c:h val="0.68654400000000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Milk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.001mg/ml</c:v>
                </c:pt>
                <c:pt idx="1">
                  <c:v>.01mg/ml</c:v>
                </c:pt>
                <c:pt idx="2">
                  <c:v>.1mg/ml</c:v>
                </c:pt>
                <c:pt idx="3">
                  <c:v>1mg/ml</c:v>
                </c:pt>
                <c:pt idx="4">
                  <c:v>10mg/ml</c:v>
                </c:pt>
                <c:pt idx="5">
                  <c:v>100mg/ml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91.989795999999998</c:v>
                </c:pt>
                <c:pt idx="1">
                  <c:v>81.887754999999999</c:v>
                </c:pt>
                <c:pt idx="2">
                  <c:v>80.37415</c:v>
                </c:pt>
                <c:pt idx="3">
                  <c:v>75.595237999999995</c:v>
                </c:pt>
                <c:pt idx="4">
                  <c:v>102.057823</c:v>
                </c:pt>
                <c:pt idx="5">
                  <c:v>109.693878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F9-4D08-9CA9-DD00151B0D5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Milk+Water</c:v>
                </c:pt>
              </c:strCache>
            </c:strRef>
          </c:tx>
          <c:spPr>
            <a:solidFill>
              <a:schemeClr val="accent2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.001mg/ml</c:v>
                </c:pt>
                <c:pt idx="1">
                  <c:v>.01mg/ml</c:v>
                </c:pt>
                <c:pt idx="2">
                  <c:v>.1mg/ml</c:v>
                </c:pt>
                <c:pt idx="3">
                  <c:v>1mg/ml</c:v>
                </c:pt>
                <c:pt idx="4">
                  <c:v>10mg/ml</c:v>
                </c:pt>
                <c:pt idx="5">
                  <c:v>100mg/ml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88.872112000000001</c:v>
                </c:pt>
                <c:pt idx="1">
                  <c:v>81.987015</c:v>
                </c:pt>
                <c:pt idx="2">
                  <c:v>76.581609999999998</c:v>
                </c:pt>
                <c:pt idx="3">
                  <c:v>51.955306999999998</c:v>
                </c:pt>
                <c:pt idx="4">
                  <c:v>58.840404999999997</c:v>
                </c:pt>
                <c:pt idx="5">
                  <c:v>61.829985999999998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F9-4D08-9CA9-DD00151B0D5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Water</c:v>
                </c:pt>
              </c:strCache>
            </c:strRef>
          </c:tx>
          <c:spPr>
            <a:solidFill>
              <a:schemeClr val="accent3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.001mg/ml</c:v>
                </c:pt>
                <c:pt idx="1">
                  <c:v>.01mg/ml</c:v>
                </c:pt>
                <c:pt idx="2">
                  <c:v>.1mg/ml</c:v>
                </c:pt>
                <c:pt idx="3">
                  <c:v>1mg/ml</c:v>
                </c:pt>
                <c:pt idx="4">
                  <c:v>10mg/ml</c:v>
                </c:pt>
                <c:pt idx="5">
                  <c:v>100mg/ml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71.826308999999995</c:v>
                </c:pt>
                <c:pt idx="1">
                  <c:v>69.904214999999994</c:v>
                </c:pt>
                <c:pt idx="2">
                  <c:v>67.535121000000004</c:v>
                </c:pt>
                <c:pt idx="3">
                  <c:v>58.199233999999997</c:v>
                </c:pt>
                <c:pt idx="4">
                  <c:v>53.627074999999998</c:v>
                </c:pt>
                <c:pt idx="5">
                  <c:v>53.422733000000001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F9-4D08-9CA9-DD00151B0D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251904"/>
        <c:axId val="175248896"/>
      </c:barChart>
      <c:catAx>
        <c:axId val="166251904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000" b="0" i="0" u="none" strike="noStrike">
                    <a:solidFill>
                      <a:srgbClr val="595959"/>
                    </a:solidFill>
                    <a:latin typeface="Calibri"/>
                  </a:rPr>
                  <a:t>Concentration</a:t>
                </a:r>
              </a:p>
            </c:rich>
          </c:tx>
          <c:overlay val="1"/>
        </c:title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175248896"/>
        <c:crosses val="autoZero"/>
        <c:auto val="1"/>
        <c:lblAlgn val="ctr"/>
        <c:lblOffset val="100"/>
        <c:noMultiLvlLbl val="1"/>
      </c:catAx>
      <c:valAx>
        <c:axId val="175248896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000" b="0" i="0" u="none" strike="noStrike">
                    <a:solidFill>
                      <a:srgbClr val="595959"/>
                    </a:solidFill>
                    <a:latin typeface="Calibri"/>
                  </a:rPr>
                  <a:t>V.I</a:t>
                </a:r>
              </a:p>
            </c:rich>
          </c:tx>
          <c:overlay val="1"/>
        </c:title>
        <c:numFmt formatCode="0.00&quot; &quot;" sourceLinked="0"/>
        <c:majorTickMark val="none"/>
        <c:minorTickMark val="none"/>
        <c:tickLblPos val="nextTo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166251904"/>
        <c:crosses val="autoZero"/>
        <c:crossBetween val="between"/>
        <c:majorUnit val="27.5"/>
        <c:minorUnit val="13.7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.50472700000000004"/>
          <c:y val="0.93810400000000005"/>
          <c:w val="0.49527300000000002"/>
          <c:h val="6.1896300000000001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i="0" u="none" strike="noStrike">
                <a:solidFill>
                  <a:srgbClr val="595959"/>
                </a:solidFill>
                <a:latin typeface="Calibri"/>
              </a:defRPr>
            </a:pPr>
            <a:r>
              <a:rPr lang="en-US" sz="1400" b="0" i="0" u="none" strike="noStrike">
                <a:solidFill>
                  <a:srgbClr val="595959"/>
                </a:solidFill>
                <a:latin typeface="Calibri"/>
              </a:rPr>
              <a:t>V.I of SKBR3 at 24hrs</a:t>
            </a:r>
          </a:p>
        </c:rich>
      </c:tx>
      <c:layout>
        <c:manualLayout>
          <c:xMode val="edge"/>
          <c:yMode val="edge"/>
          <c:x val="0.309581"/>
          <c:y val="0"/>
          <c:w val="0.38083899999999998"/>
          <c:h val="0.124061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16985900000000001"/>
          <c:y val="0.124061"/>
          <c:w val="0.81895399999999996"/>
          <c:h val="0.609952000000000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Milk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.001mg/ml</c:v>
                </c:pt>
                <c:pt idx="1">
                  <c:v>.01mg/ml</c:v>
                </c:pt>
                <c:pt idx="2">
                  <c:v>.1mg/ml</c:v>
                </c:pt>
                <c:pt idx="3">
                  <c:v>1mg/ml</c:v>
                </c:pt>
                <c:pt idx="4">
                  <c:v>10mg/ml</c:v>
                </c:pt>
                <c:pt idx="5">
                  <c:v>100mg/ml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99.336464000000007</c:v>
                </c:pt>
                <c:pt idx="1">
                  <c:v>93.221722999999997</c:v>
                </c:pt>
                <c:pt idx="2">
                  <c:v>89.995917000000006</c:v>
                </c:pt>
                <c:pt idx="3">
                  <c:v>62.045732999999998</c:v>
                </c:pt>
                <c:pt idx="4">
                  <c:v>81.727236000000005</c:v>
                </c:pt>
                <c:pt idx="5">
                  <c:v>92.149856999999997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DC-4183-B580-2DA9B041C82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Water</c:v>
                </c:pt>
              </c:strCache>
            </c:strRef>
          </c:tx>
          <c:spPr>
            <a:solidFill>
              <a:schemeClr val="accent2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.001mg/ml</c:v>
                </c:pt>
                <c:pt idx="1">
                  <c:v>.01mg/ml</c:v>
                </c:pt>
                <c:pt idx="2">
                  <c:v>.1mg/ml</c:v>
                </c:pt>
                <c:pt idx="3">
                  <c:v>1mg/ml</c:v>
                </c:pt>
                <c:pt idx="4">
                  <c:v>10mg/ml</c:v>
                </c:pt>
                <c:pt idx="5">
                  <c:v>100mg/ml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99.746244000000004</c:v>
                </c:pt>
                <c:pt idx="1">
                  <c:v>94.468127999999993</c:v>
                </c:pt>
                <c:pt idx="2">
                  <c:v>94.427526999999998</c:v>
                </c:pt>
                <c:pt idx="3">
                  <c:v>94.062118999999996</c:v>
                </c:pt>
                <c:pt idx="4">
                  <c:v>86.023143000000005</c:v>
                </c:pt>
                <c:pt idx="5">
                  <c:v>68.818513999999993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DC-4183-B580-2DA9B041C82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Milk+Water</c:v>
                </c:pt>
              </c:strCache>
            </c:strRef>
          </c:tx>
          <c:spPr>
            <a:solidFill>
              <a:schemeClr val="accent3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.001mg/ml</c:v>
                </c:pt>
                <c:pt idx="1">
                  <c:v>.01mg/ml</c:v>
                </c:pt>
                <c:pt idx="2">
                  <c:v>.1mg/ml</c:v>
                </c:pt>
                <c:pt idx="3">
                  <c:v>1mg/ml</c:v>
                </c:pt>
                <c:pt idx="4">
                  <c:v>10mg/ml</c:v>
                </c:pt>
                <c:pt idx="5">
                  <c:v>100mg/ml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98.879641000000007</c:v>
                </c:pt>
                <c:pt idx="1">
                  <c:v>94.056764999999999</c:v>
                </c:pt>
                <c:pt idx="2">
                  <c:v>91.325224000000006</c:v>
                </c:pt>
                <c:pt idx="3">
                  <c:v>66.314554000000001</c:v>
                </c:pt>
                <c:pt idx="4">
                  <c:v>82.362356000000005</c:v>
                </c:pt>
                <c:pt idx="5">
                  <c:v>89.308578999999995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DC-4183-B580-2DA9B041C8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754880"/>
        <c:axId val="177756800"/>
      </c:barChart>
      <c:catAx>
        <c:axId val="177754880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000" b="0" i="0" u="none" strike="noStrike">
                    <a:solidFill>
                      <a:srgbClr val="595959"/>
                    </a:solidFill>
                    <a:latin typeface="Calibri"/>
                  </a:rPr>
                  <a:t>CONCENTRATION</a:t>
                </a:r>
              </a:p>
            </c:rich>
          </c:tx>
          <c:overlay val="1"/>
        </c:title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177756800"/>
        <c:crosses val="autoZero"/>
        <c:auto val="1"/>
        <c:lblAlgn val="ctr"/>
        <c:lblOffset val="100"/>
        <c:noMultiLvlLbl val="1"/>
      </c:catAx>
      <c:valAx>
        <c:axId val="177756800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000" b="0" i="0" u="none" strike="noStrike">
                    <a:solidFill>
                      <a:srgbClr val="595959"/>
                    </a:solidFill>
                    <a:latin typeface="Calibri"/>
                  </a:rPr>
                  <a:t>V.I</a:t>
                </a:r>
              </a:p>
            </c:rich>
          </c:tx>
          <c:overlay val="1"/>
        </c:title>
        <c:numFmt formatCode="0.00&quot; &quot;" sourceLinked="0"/>
        <c:majorTickMark val="none"/>
        <c:minorTickMark val="none"/>
        <c:tickLblPos val="nextTo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177754880"/>
        <c:crosses val="autoZero"/>
        <c:crossBetween val="between"/>
        <c:majorUnit val="25"/>
        <c:minorUnit val="12.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.17586199999999999"/>
          <c:y val="0.94351600000000002"/>
          <c:w val="0.56164400000000003"/>
          <c:h val="5.6484199999999998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>
        <a:alpha val="92000"/>
      </a:srgbClr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1" i="0" u="none" strike="noStrike">
                <a:solidFill>
                  <a:srgbClr val="595959"/>
                </a:solidFill>
                <a:latin typeface="Calibri"/>
              </a:defRPr>
            </a:pPr>
            <a:r>
              <a:rPr lang="en-US" sz="1400" b="1" i="0" u="none" strike="noStrike">
                <a:solidFill>
                  <a:srgbClr val="595959"/>
                </a:solidFill>
                <a:latin typeface="Calibri"/>
              </a:rPr>
              <a:t>T.I of 24 hours C127i	</a:t>
            </a:r>
          </a:p>
        </c:rich>
      </c:tx>
      <c:layout>
        <c:manualLayout>
          <c:xMode val="edge"/>
          <c:yMode val="edge"/>
          <c:x val="0.29795199999999999"/>
          <c:y val="0"/>
          <c:w val="0.40409699999999998"/>
          <c:h val="0.117643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14788899999999999"/>
          <c:y val="0.117643"/>
          <c:w val="0.84711099999999995"/>
          <c:h val="0.61451299999999998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Milk</c:v>
                </c:pt>
              </c:strCache>
            </c:strRef>
          </c:tx>
          <c:spPr>
            <a:ln w="28575" cap="rnd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 cap="flat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.001mg/ml</c:v>
                </c:pt>
                <c:pt idx="1">
                  <c:v>.01mg/ml</c:v>
                </c:pt>
                <c:pt idx="2">
                  <c:v>.1mg/ml</c:v>
                </c:pt>
                <c:pt idx="3">
                  <c:v>1mg/ml</c:v>
                </c:pt>
                <c:pt idx="4">
                  <c:v>10mg/ml</c:v>
                </c:pt>
                <c:pt idx="5">
                  <c:v>100mg/ml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8.01</c:v>
                </c:pt>
                <c:pt idx="1">
                  <c:v>18.12</c:v>
                </c:pt>
                <c:pt idx="2">
                  <c:v>19.63</c:v>
                </c:pt>
                <c:pt idx="3">
                  <c:v>24.41</c:v>
                </c:pt>
                <c:pt idx="4">
                  <c:v>-2.0499999999999998</c:v>
                </c:pt>
                <c:pt idx="5">
                  <c:v>-9.69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6ED-40CD-AFCA-B4817FAC42F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Milk+Water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 cap="flat">
                <a:solidFill>
                  <a:schemeClr val="accent2"/>
                </a:solidFill>
                <a:prstDash val="solid"/>
                <a:round/>
              </a:ln>
              <a:effectLst/>
            </c:spPr>
          </c:marker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.001mg/ml</c:v>
                </c:pt>
                <c:pt idx="1">
                  <c:v>.01mg/ml</c:v>
                </c:pt>
                <c:pt idx="2">
                  <c:v>.1mg/ml</c:v>
                </c:pt>
                <c:pt idx="3">
                  <c:v>1mg/ml</c:v>
                </c:pt>
                <c:pt idx="4">
                  <c:v>10mg/ml</c:v>
                </c:pt>
                <c:pt idx="5">
                  <c:v>100mg/ml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11.127888</c:v>
                </c:pt>
                <c:pt idx="1">
                  <c:v>18.012985</c:v>
                </c:pt>
                <c:pt idx="2">
                  <c:v>23.418389999999999</c:v>
                </c:pt>
                <c:pt idx="3">
                  <c:v>48.044693000000002</c:v>
                </c:pt>
                <c:pt idx="4">
                  <c:v>41.159595000000003</c:v>
                </c:pt>
                <c:pt idx="5">
                  <c:v>38.170014000000002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6ED-40CD-AFCA-B4817FAC42F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Water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olid"/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 cap="flat">
                <a:solidFill>
                  <a:schemeClr val="accent3"/>
                </a:solidFill>
                <a:prstDash val="solid"/>
                <a:round/>
              </a:ln>
              <a:effectLst/>
            </c:spPr>
          </c:marker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.001mg/ml</c:v>
                </c:pt>
                <c:pt idx="1">
                  <c:v>.01mg/ml</c:v>
                </c:pt>
                <c:pt idx="2">
                  <c:v>.1mg/ml</c:v>
                </c:pt>
                <c:pt idx="3">
                  <c:v>1mg/ml</c:v>
                </c:pt>
                <c:pt idx="4">
                  <c:v>10mg/ml</c:v>
                </c:pt>
                <c:pt idx="5">
                  <c:v>100mg/ml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28.173691000000002</c:v>
                </c:pt>
                <c:pt idx="1">
                  <c:v>30.095784999999999</c:v>
                </c:pt>
                <c:pt idx="2">
                  <c:v>32.464879000000003</c:v>
                </c:pt>
                <c:pt idx="3">
                  <c:v>41.800766000000003</c:v>
                </c:pt>
                <c:pt idx="4">
                  <c:v>46.372925000000002</c:v>
                </c:pt>
                <c:pt idx="5">
                  <c:v>46.577266999999999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6ED-40CD-AFCA-B4817FAC42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188928"/>
        <c:axId val="230191104"/>
      </c:lineChart>
      <c:catAx>
        <c:axId val="230188928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000" b="0" i="0" u="none" strike="noStrike">
                    <a:solidFill>
                      <a:srgbClr val="595959"/>
                    </a:solidFill>
                    <a:latin typeface="Calibri"/>
                  </a:rPr>
                  <a:t>concentration</a:t>
                </a:r>
              </a:p>
            </c:rich>
          </c:tx>
          <c:overlay val="1"/>
        </c:title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30191104"/>
        <c:crosses val="autoZero"/>
        <c:auto val="1"/>
        <c:lblAlgn val="ctr"/>
        <c:lblOffset val="100"/>
        <c:noMultiLvlLbl val="1"/>
      </c:catAx>
      <c:valAx>
        <c:axId val="230191104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000" b="0" i="0" u="none" strike="noStrike">
                    <a:solidFill>
                      <a:srgbClr val="595959"/>
                    </a:solidFill>
                    <a:latin typeface="Calibri"/>
                  </a:rPr>
                  <a:t> T.I</a:t>
                </a:r>
              </a:p>
            </c:rich>
          </c:tx>
          <c:overlay val="1"/>
        </c:title>
        <c:numFmt formatCode="0.####" sourceLinked="0"/>
        <c:majorTickMark val="none"/>
        <c:minorTickMark val="none"/>
        <c:tickLblPos val="nextTo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30188928"/>
        <c:crosses val="autoZero"/>
        <c:crossBetween val="between"/>
        <c:majorUnit val="15.625"/>
        <c:minorUnit val="7.812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.14694499999999999"/>
          <c:y val="0.94319399999999998"/>
          <c:w val="0.62370300000000001"/>
          <c:h val="5.6806500000000003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1" i="0" u="none" strike="noStrike">
                <a:solidFill>
                  <a:srgbClr val="595959"/>
                </a:solidFill>
                <a:latin typeface="Times New Roman"/>
              </a:defRPr>
            </a:pPr>
            <a:r>
              <a:rPr lang="en-US" sz="1400" b="1" i="0" u="none" strike="noStrike">
                <a:solidFill>
                  <a:srgbClr val="595959"/>
                </a:solidFill>
                <a:latin typeface="Times New Roman"/>
              </a:rPr>
              <a:t>T.I of SKBR3 24 hrs</a:t>
            </a:r>
          </a:p>
        </c:rich>
      </c:tx>
      <c:layout>
        <c:manualLayout>
          <c:xMode val="edge"/>
          <c:yMode val="edge"/>
          <c:x val="0.31216899999999997"/>
          <c:y val="0"/>
          <c:w val="0.375662"/>
          <c:h val="0.13381599999999999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15770300000000001"/>
          <c:y val="0.13381599999999999"/>
          <c:w val="0.78222100000000006"/>
          <c:h val="0.686521999999999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Milk+Water</c:v>
                </c:pt>
              </c:strCache>
            </c:strRef>
          </c:tx>
          <c:spPr>
            <a:solidFill>
              <a:schemeClr val="accent3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10.691421</c:v>
                </c:pt>
                <c:pt idx="1">
                  <c:v>17.637644000000002</c:v>
                </c:pt>
                <c:pt idx="2">
                  <c:v>33.685445999999999</c:v>
                </c:pt>
                <c:pt idx="3">
                  <c:v>8.6747759999999996</c:v>
                </c:pt>
                <c:pt idx="4">
                  <c:v>5.9432349999999996</c:v>
                </c:pt>
                <c:pt idx="5">
                  <c:v>1.1203590000000001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53-4A84-9662-09737FF46CA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Water</c:v>
                </c:pt>
              </c:strCache>
            </c:strRef>
          </c:tx>
          <c:spPr>
            <a:solidFill>
              <a:schemeClr val="accent2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31.181486</c:v>
                </c:pt>
                <c:pt idx="1">
                  <c:v>13.976857000000001</c:v>
                </c:pt>
                <c:pt idx="2">
                  <c:v>5.937881</c:v>
                </c:pt>
                <c:pt idx="3">
                  <c:v>5.5724729999999996</c:v>
                </c:pt>
                <c:pt idx="4">
                  <c:v>5.5318719999999999</c:v>
                </c:pt>
                <c:pt idx="5">
                  <c:v>0.25375599999999998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53-4A84-9662-09737FF46CA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Milk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7.8501430000000001</c:v>
                </c:pt>
                <c:pt idx="1">
                  <c:v>18.272763999999999</c:v>
                </c:pt>
                <c:pt idx="2">
                  <c:v>37.954267000000002</c:v>
                </c:pt>
                <c:pt idx="3">
                  <c:v>10.004083</c:v>
                </c:pt>
                <c:pt idx="4">
                  <c:v>6.7782770000000001</c:v>
                </c:pt>
                <c:pt idx="5">
                  <c:v>0.66353600000000001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53-4A84-9662-09737FF46C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5613184"/>
        <c:axId val="235631360"/>
      </c:barChart>
      <c:catAx>
        <c:axId val="235613184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35631360"/>
        <c:crosses val="autoZero"/>
        <c:auto val="1"/>
        <c:lblAlgn val="ctr"/>
        <c:lblOffset val="100"/>
        <c:noMultiLvlLbl val="1"/>
      </c:catAx>
      <c:valAx>
        <c:axId val="235631360"/>
        <c:scaling>
          <c:orientation val="minMax"/>
        </c:scaling>
        <c:delete val="0"/>
        <c:axPos val="t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.00&quot; &quot;" sourceLinked="0"/>
        <c:majorTickMark val="none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35613184"/>
        <c:crosses val="autoZero"/>
        <c:crossBetween val="between"/>
        <c:majorUnit val="10"/>
        <c:minorUnit val="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.23139899999999999"/>
          <c:y val="0.93810499999999997"/>
          <c:w val="0.53645299999999996"/>
          <c:h val="6.18948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1" i="0" u="none" strike="noStrike">
                <a:solidFill>
                  <a:srgbClr val="595959"/>
                </a:solidFill>
                <a:latin typeface="Times New Roman"/>
              </a:defRPr>
            </a:pPr>
            <a:r>
              <a:rPr lang="en-US" sz="1400" b="1" i="0" u="none" strike="noStrike">
                <a:solidFill>
                  <a:srgbClr val="595959"/>
                </a:solidFill>
                <a:latin typeface="Times New Roman"/>
              </a:rPr>
              <a:t>V.I of 48 hrs  C127i</a:t>
            </a:r>
          </a:p>
        </c:rich>
      </c:tx>
      <c:layout>
        <c:manualLayout>
          <c:xMode val="edge"/>
          <c:yMode val="edge"/>
          <c:x val="0.34241300000000002"/>
          <c:y val="0"/>
          <c:w val="0.31517400000000001"/>
          <c:h val="0.14350099999999999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17689099999999999"/>
          <c:y val="0.14350099999999999"/>
          <c:w val="0.72741800000000001"/>
          <c:h val="0.5997930000000000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V.I of C127i-48 hrs Milk+Water</c:v>
                </c:pt>
              </c:strCache>
            </c:strRef>
          </c:tx>
          <c:spPr>
            <a:solidFill>
              <a:schemeClr val="accent3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 i="0" u="none" strike="noStrike">
                    <a:solidFill>
                      <a:srgbClr val="404040"/>
                    </a:solidFill>
                    <a:latin typeface="Times New Roman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97.557201000000006</c:v>
                </c:pt>
                <c:pt idx="1">
                  <c:v>70.100586000000007</c:v>
                </c:pt>
                <c:pt idx="2">
                  <c:v>81.474521999999993</c:v>
                </c:pt>
                <c:pt idx="3">
                  <c:v>71.526472999999996</c:v>
                </c:pt>
                <c:pt idx="4">
                  <c:v>79.208577000000005</c:v>
                </c:pt>
                <c:pt idx="5">
                  <c:v>86.116945000000001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0D-4DBC-820B-6395C29053E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V.I of C127i-48 hrs Water</c:v>
                </c:pt>
              </c:strCache>
            </c:strRef>
          </c:tx>
          <c:spPr>
            <a:solidFill>
              <a:schemeClr val="accent2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 i="0" u="none" strike="noStrike">
                    <a:solidFill>
                      <a:srgbClr val="404040"/>
                    </a:solidFill>
                    <a:latin typeface="Times New Roman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97.921963000000005</c:v>
                </c:pt>
                <c:pt idx="1">
                  <c:v>91.367304000000004</c:v>
                </c:pt>
                <c:pt idx="2">
                  <c:v>86.470652999999999</c:v>
                </c:pt>
                <c:pt idx="3">
                  <c:v>82.391953000000001</c:v>
                </c:pt>
                <c:pt idx="4">
                  <c:v>83.917321000000001</c:v>
                </c:pt>
                <c:pt idx="5">
                  <c:v>76.489444000000006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0D-4DBC-820B-6395C29053E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V.I of C127i-48 hrs Milk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 i="0" u="none" strike="noStrike">
                    <a:solidFill>
                      <a:srgbClr val="404040"/>
                    </a:solidFill>
                    <a:latin typeface="Times New Roman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94.517520000000005</c:v>
                </c:pt>
                <c:pt idx="1">
                  <c:v>81.585055999999994</c:v>
                </c:pt>
                <c:pt idx="2">
                  <c:v>74.665634999999995</c:v>
                </c:pt>
                <c:pt idx="3">
                  <c:v>76.102575000000002</c:v>
                </c:pt>
                <c:pt idx="4">
                  <c:v>73.173428000000001</c:v>
                </c:pt>
                <c:pt idx="5">
                  <c:v>86.890681999999998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0D-4DBC-820B-6395C29053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5871616"/>
        <c:axId val="235877504"/>
      </c:barChart>
      <c:catAx>
        <c:axId val="235871616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1200" b="0" i="0" u="none" strike="noStrike">
                <a:solidFill>
                  <a:srgbClr val="595959"/>
                </a:solidFill>
                <a:latin typeface="Times New Roman"/>
              </a:defRPr>
            </a:pPr>
            <a:endParaRPr lang="en-US"/>
          </a:p>
        </c:txPr>
        <c:crossAx val="235877504"/>
        <c:crosses val="autoZero"/>
        <c:auto val="1"/>
        <c:lblAlgn val="ctr"/>
        <c:lblOffset val="100"/>
        <c:noMultiLvlLbl val="1"/>
      </c:catAx>
      <c:valAx>
        <c:axId val="235877504"/>
        <c:scaling>
          <c:orientation val="minMax"/>
        </c:scaling>
        <c:delete val="0"/>
        <c:axPos val="t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.00" sourceLinked="0"/>
        <c:majorTickMark val="none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1200" b="0" i="0" u="none" strike="noStrike">
                <a:solidFill>
                  <a:srgbClr val="595959"/>
                </a:solidFill>
                <a:latin typeface="Times New Roman"/>
              </a:defRPr>
            </a:pPr>
            <a:endParaRPr lang="en-US"/>
          </a:p>
        </c:txPr>
        <c:crossAx val="235871616"/>
        <c:crosses val="autoZero"/>
        <c:crossBetween val="between"/>
        <c:majorUnit val="25"/>
        <c:minorUnit val="12.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1.10136E-2"/>
          <c:y val="0.84839200000000003"/>
          <c:w val="0.97156299999999995"/>
          <c:h val="0.15160799999999999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1200" b="0" i="0" u="none" strike="noStrike">
              <a:solidFill>
                <a:srgbClr val="595959"/>
              </a:solidFill>
              <a:latin typeface="Times New Roman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i="0" u="none" strike="noStrike">
                <a:solidFill>
                  <a:srgbClr val="595959"/>
                </a:solidFill>
                <a:latin typeface="Calibri"/>
              </a:defRPr>
            </a:pPr>
            <a:r>
              <a:rPr lang="en-US" sz="1400" b="0" i="0" u="none" strike="noStrike">
                <a:solidFill>
                  <a:srgbClr val="595959"/>
                </a:solidFill>
                <a:latin typeface="Calibri"/>
              </a:rPr>
              <a:t>V.I of 48 hrs SKBR3</a:t>
            </a:r>
          </a:p>
        </c:rich>
      </c:tx>
      <c:layout>
        <c:manualLayout>
          <c:xMode val="edge"/>
          <c:yMode val="edge"/>
          <c:x val="0.34037000000000001"/>
          <c:y val="0"/>
          <c:w val="0.31925999999999999"/>
          <c:h val="0.118245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19866600000000001"/>
          <c:y val="0.118245"/>
          <c:w val="0.75948599999999999"/>
          <c:h val="0.6179700000000000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V.I of 48 hrs-SKBR3 Milk+Water</c:v>
                </c:pt>
              </c:strCache>
            </c:strRef>
          </c:tx>
          <c:spPr>
            <a:solidFill>
              <a:schemeClr val="accent3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93.031278999999998</c:v>
                </c:pt>
                <c:pt idx="1">
                  <c:v>86.890523999999999</c:v>
                </c:pt>
                <c:pt idx="2">
                  <c:v>94.480221</c:v>
                </c:pt>
                <c:pt idx="3">
                  <c:v>89.017938999999998</c:v>
                </c:pt>
                <c:pt idx="4">
                  <c:v>66.823826999999994</c:v>
                </c:pt>
                <c:pt idx="5">
                  <c:v>86.442042000000001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69-45DB-AB1C-0273CE7A551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V.I of 48 hrs-SKBR3 Water</c:v>
                </c:pt>
              </c:strCache>
            </c:strRef>
          </c:tx>
          <c:spPr>
            <a:solidFill>
              <a:schemeClr val="accent2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100.827967</c:v>
                </c:pt>
                <c:pt idx="1">
                  <c:v>95.848665999999994</c:v>
                </c:pt>
                <c:pt idx="2">
                  <c:v>90.535878999999994</c:v>
                </c:pt>
                <c:pt idx="3">
                  <c:v>95.009200000000007</c:v>
                </c:pt>
                <c:pt idx="4">
                  <c:v>92.214810999999997</c:v>
                </c:pt>
                <c:pt idx="5">
                  <c:v>90.351885999999993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69-45DB-AB1C-0273CE7A551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V.I of 48 hrs-SKBR3 Milk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94.595215999999994</c:v>
                </c:pt>
                <c:pt idx="1">
                  <c:v>87.005520000000004</c:v>
                </c:pt>
                <c:pt idx="2">
                  <c:v>97.320606999999995</c:v>
                </c:pt>
                <c:pt idx="3">
                  <c:v>95.917663000000005</c:v>
                </c:pt>
                <c:pt idx="4">
                  <c:v>101.057958</c:v>
                </c:pt>
                <c:pt idx="5">
                  <c:v>93.502759999999995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69-45DB-AB1C-0273CE7A55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5970560"/>
        <c:axId val="235972480"/>
      </c:barChart>
      <c:catAx>
        <c:axId val="235970560"/>
        <c:scaling>
          <c:orientation val="maxMin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000" b="0" i="0" u="none" strike="noStrike">
                    <a:solidFill>
                      <a:srgbClr val="595959"/>
                    </a:solidFill>
                    <a:latin typeface="Calibri"/>
                  </a:rPr>
                  <a:t>concentration</a:t>
                </a:r>
              </a:p>
            </c:rich>
          </c:tx>
          <c:overlay val="1"/>
        </c:title>
        <c:numFmt formatCode="General" sourceLinked="0"/>
        <c:majorTickMark val="none"/>
        <c:minorTickMark val="none"/>
        <c:tickLblPos val="nextTo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35972480"/>
        <c:crosses val="autoZero"/>
        <c:auto val="1"/>
        <c:lblAlgn val="ctr"/>
        <c:lblOffset val="100"/>
        <c:noMultiLvlLbl val="1"/>
      </c:catAx>
      <c:valAx>
        <c:axId val="235972480"/>
        <c:scaling>
          <c:orientation val="minMax"/>
        </c:scaling>
        <c:delete val="0"/>
        <c:axPos val="t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.00&quot; &quot;" sourceLinked="0"/>
        <c:majorTickMark val="none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35970560"/>
        <c:crosses val="autoZero"/>
        <c:crossBetween val="between"/>
        <c:majorUnit val="27.5"/>
        <c:minorUnit val="13.7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1.01715E-2"/>
          <c:y val="0.89839899999999995"/>
          <c:w val="0.97912299999999997"/>
          <c:h val="0.101601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i="0" u="none" strike="noStrike">
                <a:solidFill>
                  <a:srgbClr val="595959"/>
                </a:solidFill>
                <a:latin typeface="Calibri"/>
              </a:defRPr>
            </a:pPr>
            <a:r>
              <a:rPr lang="en-US" sz="1400" b="0" i="0" u="none" strike="noStrike">
                <a:solidFill>
                  <a:srgbClr val="595959"/>
                </a:solidFill>
                <a:latin typeface="Calibri"/>
              </a:rPr>
              <a:t>T.I of  C127i-48 hrs</a:t>
            </a:r>
          </a:p>
        </c:rich>
      </c:tx>
      <c:layout>
        <c:manualLayout>
          <c:xMode val="edge"/>
          <c:yMode val="edge"/>
          <c:x val="0.34962900000000002"/>
          <c:y val="0"/>
          <c:w val="0.30074099999999998"/>
          <c:h val="0.127965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18870700000000001"/>
          <c:y val="0.127965"/>
          <c:w val="0.72141100000000002"/>
          <c:h val="0.669792999999999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Milk+Water</c:v>
                </c:pt>
              </c:strCache>
            </c:strRef>
          </c:tx>
          <c:spPr>
            <a:solidFill>
              <a:schemeClr val="accent3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2.4427989999999999</c:v>
                </c:pt>
                <c:pt idx="1">
                  <c:v>29.899414</c:v>
                </c:pt>
                <c:pt idx="2">
                  <c:v>18.525478</c:v>
                </c:pt>
                <c:pt idx="3">
                  <c:v>28.473527000000001</c:v>
                </c:pt>
                <c:pt idx="4">
                  <c:v>20.791423000000002</c:v>
                </c:pt>
                <c:pt idx="5">
                  <c:v>13.883055000000001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A7-472A-9421-5B56FD9EE17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Water</c:v>
                </c:pt>
              </c:strCache>
            </c:strRef>
          </c:tx>
          <c:spPr>
            <a:solidFill>
              <a:schemeClr val="accent2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2.0780370000000001</c:v>
                </c:pt>
                <c:pt idx="1">
                  <c:v>8.6326959999999993</c:v>
                </c:pt>
                <c:pt idx="2">
                  <c:v>13.529347</c:v>
                </c:pt>
                <c:pt idx="3">
                  <c:v>17.608046999999999</c:v>
                </c:pt>
                <c:pt idx="4">
                  <c:v>16.082678999999999</c:v>
                </c:pt>
                <c:pt idx="5">
                  <c:v>23.510556000000001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A7-472A-9421-5B56FD9EE17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Milk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5.4824799999999998</c:v>
                </c:pt>
                <c:pt idx="1">
                  <c:v>18.414943999999998</c:v>
                </c:pt>
                <c:pt idx="2">
                  <c:v>25.334364999999998</c:v>
                </c:pt>
                <c:pt idx="3">
                  <c:v>23.897424999999998</c:v>
                </c:pt>
                <c:pt idx="4">
                  <c:v>26.826571999999999</c:v>
                </c:pt>
                <c:pt idx="5">
                  <c:v>13.109318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A7-472A-9421-5B56FD9EE1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50282752"/>
        <c:axId val="250284672"/>
      </c:barChart>
      <c:catAx>
        <c:axId val="250282752"/>
        <c:scaling>
          <c:orientation val="maxMin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000" b="0" i="0" u="none" strike="noStrike">
                    <a:solidFill>
                      <a:srgbClr val="595959"/>
                    </a:solidFill>
                    <a:latin typeface="Calibri"/>
                  </a:rPr>
                  <a:t>concentration</a:t>
                </a:r>
              </a:p>
            </c:rich>
          </c:tx>
          <c:overlay val="1"/>
        </c:title>
        <c:numFmt formatCode="General" sourceLinked="0"/>
        <c:majorTickMark val="none"/>
        <c:minorTickMark val="none"/>
        <c:tickLblPos val="nextTo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50284672"/>
        <c:crosses val="autoZero"/>
        <c:auto val="1"/>
        <c:lblAlgn val="ctr"/>
        <c:lblOffset val="100"/>
        <c:noMultiLvlLbl val="1"/>
      </c:catAx>
      <c:valAx>
        <c:axId val="250284672"/>
        <c:scaling>
          <c:orientation val="minMax"/>
        </c:scaling>
        <c:delete val="0"/>
        <c:axPos val="t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000" b="0" i="0" u="none" strike="noStrike">
                    <a:solidFill>
                      <a:srgbClr val="595959"/>
                    </a:solidFill>
                    <a:latin typeface="Calibri"/>
                  </a:rPr>
                  <a:t>T.I</a:t>
                </a:r>
              </a:p>
            </c:rich>
          </c:tx>
          <c:overlay val="1"/>
        </c:title>
        <c:numFmt formatCode="0.00&quot; &quot;" sourceLinked="0"/>
        <c:majorTickMark val="none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50282752"/>
        <c:crosses val="autoZero"/>
        <c:crossBetween val="between"/>
        <c:majorUnit val="7.5"/>
        <c:minorUnit val="3.7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.22888600000000001"/>
          <c:y val="0.93928699999999998"/>
          <c:w val="0.49474800000000002"/>
          <c:h val="6.0712700000000001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i="0" u="none" strike="noStrike">
                <a:solidFill>
                  <a:srgbClr val="595959"/>
                </a:solidFill>
                <a:latin typeface="Calibri"/>
              </a:defRPr>
            </a:pPr>
            <a:r>
              <a:rPr lang="en-US" sz="1400" b="0" i="0" u="none" strike="noStrike">
                <a:solidFill>
                  <a:srgbClr val="595959"/>
                </a:solidFill>
                <a:latin typeface="Calibri"/>
              </a:rPr>
              <a:t>T.I. of SKBR3- 48hrs</a:t>
            </a:r>
          </a:p>
        </c:rich>
      </c:tx>
      <c:layout>
        <c:manualLayout>
          <c:xMode val="edge"/>
          <c:yMode val="edge"/>
          <c:x val="0.32600299999999999"/>
          <c:y val="0"/>
          <c:w val="0.34799400000000003"/>
          <c:h val="0.13711699999999999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161575"/>
          <c:y val="0.13711699999999999"/>
          <c:w val="0.80142999999999998"/>
          <c:h val="0.718590999999999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Milk+Water</c:v>
                </c:pt>
              </c:strCache>
            </c:strRef>
          </c:tx>
          <c:spPr>
            <a:solidFill>
              <a:schemeClr val="accent3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6.9687210000000004</c:v>
                </c:pt>
                <c:pt idx="1">
                  <c:v>13.109476000000001</c:v>
                </c:pt>
                <c:pt idx="2">
                  <c:v>5.5197789999999998</c:v>
                </c:pt>
                <c:pt idx="3">
                  <c:v>10.982061</c:v>
                </c:pt>
                <c:pt idx="4">
                  <c:v>33.176172999999999</c:v>
                </c:pt>
                <c:pt idx="5">
                  <c:v>13.557957999999999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E2-41E6-ABC8-1F91775AD84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Water</c:v>
                </c:pt>
              </c:strCache>
            </c:strRef>
          </c:tx>
          <c:spPr>
            <a:solidFill>
              <a:schemeClr val="accent2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-0.82796700000000001</c:v>
                </c:pt>
                <c:pt idx="1">
                  <c:v>4.1513340000000003</c:v>
                </c:pt>
                <c:pt idx="2">
                  <c:v>9.4641210000000004</c:v>
                </c:pt>
                <c:pt idx="3">
                  <c:v>4.9908000000000001</c:v>
                </c:pt>
                <c:pt idx="4">
                  <c:v>7.7851889999999999</c:v>
                </c:pt>
                <c:pt idx="5">
                  <c:v>9.6481139999999996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E2-41E6-ABC8-1F91775AD84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Milk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.#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100mg/ml</c:v>
                </c:pt>
                <c:pt idx="1">
                  <c:v>10mg/ml</c:v>
                </c:pt>
                <c:pt idx="2">
                  <c:v>1mg/ml</c:v>
                </c:pt>
                <c:pt idx="3">
                  <c:v>.1mg/ml</c:v>
                </c:pt>
                <c:pt idx="4">
                  <c:v>.01mg/ml</c:v>
                </c:pt>
                <c:pt idx="5">
                  <c:v>.001mg/ml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5.4047840000000003</c:v>
                </c:pt>
                <c:pt idx="1">
                  <c:v>12.994479999999999</c:v>
                </c:pt>
                <c:pt idx="2">
                  <c:v>2.6793930000000001</c:v>
                </c:pt>
                <c:pt idx="3">
                  <c:v>4.0823369999999999</c:v>
                </c:pt>
                <c:pt idx="4">
                  <c:v>-1.057958</c:v>
                </c:pt>
                <c:pt idx="5">
                  <c:v>6.4972399999999997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E2-41E6-ABC8-1F91775AD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50345344"/>
        <c:axId val="250346880"/>
      </c:barChart>
      <c:catAx>
        <c:axId val="250345344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50346880"/>
        <c:crosses val="autoZero"/>
        <c:auto val="1"/>
        <c:lblAlgn val="ctr"/>
        <c:lblOffset val="100"/>
        <c:noMultiLvlLbl val="1"/>
      </c:catAx>
      <c:valAx>
        <c:axId val="250346880"/>
        <c:scaling>
          <c:orientation val="minMax"/>
        </c:scaling>
        <c:delete val="0"/>
        <c:axPos val="t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.00&quot; &quot;" sourceLinked="0"/>
        <c:majorTickMark val="none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50345344"/>
        <c:crosses val="autoZero"/>
        <c:crossBetween val="between"/>
        <c:majorUnit val="12.5"/>
        <c:minorUnit val="6.2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.26693899999999998"/>
          <c:y val="0.93583899999999998"/>
          <c:w val="0.54962599999999995"/>
          <c:h val="6.4160900000000007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</Words>
  <Characters>626</Characters>
  <Application>Microsoft Office Word</Application>
  <DocSecurity>0</DocSecurity>
  <Lines>5</Lines>
  <Paragraphs>1</Paragraphs>
  <ScaleCrop>false</ScaleCrop>
  <Company>Springer Nature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2024-03-28T19:01:00Z</dcterms:created>
  <dcterms:modified xsi:type="dcterms:W3CDTF">2024-03-28T19:01:00Z</dcterms:modified>
</cp:coreProperties>
</file>