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7D6C" w:rsidRPr="007C7D6C" w:rsidRDefault="007C7D6C" w:rsidP="007C7D6C">
      <w:pPr>
        <w:widowControl w:val="0"/>
        <w:spacing w:after="200" w:line="360" w:lineRule="auto"/>
        <w:ind w:left="-450" w:right="-1324" w:hanging="810"/>
        <w:jc w:val="both"/>
        <w:rPr>
          <w:rFonts w:eastAsia="Times New Roman"/>
          <w:iCs/>
          <w:color w:val="000000"/>
          <w:lang w:val="en-US" w:eastAsia="zh-TW"/>
        </w:rPr>
      </w:pPr>
      <w:bookmarkStart w:id="0" w:name="_Toc150013550"/>
      <w:r w:rsidRPr="007C7D6C">
        <w:rPr>
          <w:rFonts w:eastAsia="Times New Roman"/>
          <w:b/>
          <w:iCs/>
          <w:color w:val="000000"/>
          <w:lang w:val="en-US" w:eastAsia="zh-TW"/>
        </w:rPr>
        <w:t>Supplementary 1:</w:t>
      </w:r>
      <w:r w:rsidRPr="007C7D6C">
        <w:rPr>
          <w:rFonts w:eastAsia="Times New Roman"/>
          <w:iCs/>
          <w:color w:val="000000"/>
          <w:lang w:val="en-US" w:eastAsia="zh-TW"/>
        </w:rPr>
        <w:tab/>
        <w:t xml:space="preserve">Comparison of the scores in the four domains and two-overall quality of life items (Q1 and Q2) </w:t>
      </w:r>
      <w:r w:rsidRPr="007C7D6C">
        <w:rPr>
          <w:rFonts w:eastAsia="Times New Roman"/>
          <w:iCs/>
          <w:color w:val="000000"/>
          <w:lang w:val="en-US" w:eastAsia="zh-TW"/>
        </w:rPr>
        <w:br/>
        <w:t>according to demographic and clinical characteristics (values are presented as mean ± standard deviation)</w:t>
      </w:r>
      <w:bookmarkEnd w:id="0"/>
    </w:p>
    <w:tbl>
      <w:tblPr>
        <w:tblStyle w:val="TableGrid5"/>
        <w:tblW w:w="10885" w:type="dxa"/>
        <w:tblInd w:w="-1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630"/>
        <w:gridCol w:w="896"/>
        <w:gridCol w:w="677"/>
        <w:gridCol w:w="1574"/>
        <w:gridCol w:w="716"/>
        <w:gridCol w:w="858"/>
        <w:gridCol w:w="1574"/>
        <w:gridCol w:w="535"/>
        <w:gridCol w:w="725"/>
        <w:gridCol w:w="1260"/>
      </w:tblGrid>
      <w:tr w:rsidR="007C7D6C" w:rsidRPr="007C7D6C" w:rsidTr="009A4B3E">
        <w:trPr>
          <w:trHeight w:val="593"/>
        </w:trPr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Variables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N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Physical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Psychological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Social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Environment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Q1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Q2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tcBorders>
              <w:top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 xml:space="preserve">Sex 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tcBorders>
              <w:top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tcBorders>
              <w:top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30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Female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102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45.83 ± 27.27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61.56 ± 19.99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64.54 ± 18.49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51.75 ± 18.03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2.99 ± 1.25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3.12 ± 1.39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Male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56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41.14 ± 24.76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62.13 ± 21.43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60.27 ± 21.61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50.39 ± 14.72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2.77 ± 1.24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2.98 ± 1.29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0.27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0.87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0.21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0.61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0.28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0.51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Age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&gt;50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86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42.56 ± 25.86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63.47 ± 17.56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63.95 ± 18.81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52.91 ± 15.88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2.87 ± 1.23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2.97 ± 1.43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&lt;50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72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46.08 ± 27.15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59.72 ± 23.40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61.92 ± 20.78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49.31 ± 17.94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2.96 ± 1.26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3.21 ± 1.26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0.41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0.26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0.52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0.19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0.67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0.26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Occupation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Farmer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69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42.18 ± 25.86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61.71 ± 19.39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62.8 ± 19.99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50.72 ± 17.03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3.01 ± 1.14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3.17 ± 1.37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Business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28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49.81 ± 27.61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62.08 ± 22.75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61.67 ± 17.73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49.06 ± 17.41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3.07 ± 1.26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3.4 ± 1.28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Builder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8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40.62 ± 18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61.46 ± 22.36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70.83 ± 7.72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57.42 ± 13.97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2.88 ± 1.64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2.5 ± 1.41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Other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40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42.39 ± 28.75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61.623 ± 21.32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60.09 ± 23.34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50.16 ± 17.24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2.61 ± 1.28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2.82 ± 1.41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None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11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53.9 ± 25.38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64.77 ± 19.58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71.21 ± 15.08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59.38 ± 16.18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3.27 ± 1.19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3.09 ± 1.04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eastAsia="Times New Roman"/>
                <w:b/>
                <w:bCs/>
                <w:vertAlign w:val="superscript"/>
              </w:rPr>
              <w:t>†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0.54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0.99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0.07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0.37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0.45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0.36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Marital status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Divorced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24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41.82 ± 24.23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60.42 ± 18.92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61.81 ± 23.17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48.57 ± 19.46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2.79 ± 1.28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2.71 ± 1.43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Married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85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43.66 ± 26.2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60.78 ± 21.58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62.35 ± 20.48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51.43 ± 15.52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3.04 ± 1.15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3.18 ± 1.32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Single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11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47.08± 30.72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59.09 ± 26.01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59.09± 20.23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43.75 ± 18.75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3.36 ± 1.21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3.55 ± 0.69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Widowed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38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45.96 ± 27.84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65.57 ± 17.08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66.45 ± 15.19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54.77 ± 17.3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2.58 ± 1.39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2.95 ± 1.49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eastAsia="Times New Roman"/>
                <w:b/>
                <w:bCs/>
                <w:vertAlign w:val="superscript"/>
              </w:rPr>
              <w:t>†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0.91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0.55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0.53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0.32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0.22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0.11</w:t>
            </w:r>
          </w:p>
        </w:tc>
      </w:tr>
      <w:tr w:rsidR="007C7D6C" w:rsidRPr="007C7D6C" w:rsidTr="009A4B3E">
        <w:trPr>
          <w:trHeight w:val="290"/>
        </w:trPr>
        <w:tc>
          <w:tcPr>
            <w:tcW w:w="10885" w:type="dxa"/>
            <w:gridSpan w:val="11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  <w:b/>
                <w:bCs/>
              </w:rPr>
              <w:t>Highest Level of Education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Primary</w:t>
            </w:r>
          </w:p>
        </w:tc>
        <w:tc>
          <w:tcPr>
            <w:tcW w:w="630" w:type="dxa"/>
            <w:shd w:val="clear" w:color="auto" w:fill="E7E6E6"/>
            <w:noWrap/>
            <w:vAlign w:val="bottom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  <w:color w:val="000000"/>
              </w:rPr>
              <w:t>82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44.03 ± 26.46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62.2 ± 18.77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62.8 ± 20.00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50.61 ± 16.91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3.02 ± 1.23</w:t>
            </w:r>
          </w:p>
        </w:tc>
        <w:tc>
          <w:tcPr>
            <w:tcW w:w="126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3.26 ± 1.39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Secondary</w:t>
            </w:r>
          </w:p>
        </w:tc>
        <w:tc>
          <w:tcPr>
            <w:tcW w:w="630" w:type="dxa"/>
            <w:shd w:val="clear" w:color="auto" w:fill="E7E6E6"/>
            <w:noWrap/>
            <w:vAlign w:val="bottom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  <w:color w:val="000000"/>
              </w:rPr>
              <w:t>47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43.54 ± 26.34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58.95 ± 22.25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60.99 ± 20.20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49.14 ± 17.14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2.87 ± 1.23</w:t>
            </w:r>
          </w:p>
        </w:tc>
        <w:tc>
          <w:tcPr>
            <w:tcW w:w="126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3.04 ± 1.23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Tertiary</w:t>
            </w:r>
          </w:p>
        </w:tc>
        <w:tc>
          <w:tcPr>
            <w:tcW w:w="630" w:type="dxa"/>
            <w:shd w:val="clear" w:color="auto" w:fill="E7E6E6"/>
            <w:noWrap/>
            <w:vAlign w:val="bottom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  <w:color w:val="000000"/>
              </w:rPr>
              <w:t>18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48.02 ± 24.29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70.14 ± 19.50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71.3 ± 17.20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63.89 ± 12.51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2.72 ± 1.18</w:t>
            </w:r>
          </w:p>
        </w:tc>
        <w:tc>
          <w:tcPr>
            <w:tcW w:w="126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2.5 ± 1.25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None</w:t>
            </w:r>
          </w:p>
        </w:tc>
        <w:tc>
          <w:tcPr>
            <w:tcW w:w="630" w:type="dxa"/>
            <w:shd w:val="clear" w:color="auto" w:fill="E7E6E6"/>
            <w:noWrap/>
            <w:vAlign w:val="bottom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41.56 ± 32.63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56.82 ± 24.39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59.85 ± 17.80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44.6 ± 13.63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2.55 ± 1.57</w:t>
            </w:r>
          </w:p>
        </w:tc>
        <w:tc>
          <w:tcPr>
            <w:tcW w:w="126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2.82 ± 1.54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eastAsia="Times New Roman"/>
                <w:b/>
                <w:bCs/>
                <w:vertAlign w:val="superscript"/>
              </w:rPr>
              <w:t>†</w:t>
            </w:r>
          </w:p>
        </w:tc>
        <w:tc>
          <w:tcPr>
            <w:tcW w:w="63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0.91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0.25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0.21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&lt;0.001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0.64</w:t>
            </w:r>
          </w:p>
        </w:tc>
        <w:tc>
          <w:tcPr>
            <w:tcW w:w="126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0.17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Health Facility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Mzimba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114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44.30 ± 25.95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61.70 ± 20.49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64.40 ± 17.99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52.06 ± 16.53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3.05 ± 1.22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3.18 ± 1.34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proofErr w:type="spellStart"/>
            <w:r w:rsidRPr="007C7D6C">
              <w:rPr>
                <w:rFonts w:eastAsia="Times New Roman"/>
              </w:rPr>
              <w:t>Nkhatabay</w:t>
            </w:r>
            <w:proofErr w:type="spellEnd"/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16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39.73 ± 26.94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65.10 ± 19.06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57.81 ± 22.04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52.15 ± 13.05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2.38 ± 1.41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2.75 ± 1.24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proofErr w:type="spellStart"/>
            <w:r w:rsidRPr="007C7D6C">
              <w:rPr>
                <w:rFonts w:eastAsia="Times New Roman"/>
              </w:rPr>
              <w:lastRenderedPageBreak/>
              <w:t>Rumphi</w:t>
            </w:r>
            <w:proofErr w:type="spellEnd"/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16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53.13 ± 27.20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67.71 ± 18.54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70.83 ± 21.73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54.49 ± 20.19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3.06 ± 1.24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3.06 ± 1.53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Karonga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9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41.67 ± 30.77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52.31 ± 22.06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44.44 ± 23.20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42.01 ± 13.54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2.33 ± 0.71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3.11 ± 1.67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proofErr w:type="spellStart"/>
            <w:r w:rsidRPr="007C7D6C">
              <w:rPr>
                <w:rFonts w:eastAsia="Times New Roman"/>
              </w:rPr>
              <w:t>Chitipa</w:t>
            </w:r>
            <w:proofErr w:type="spellEnd"/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22.62 ± 21.82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43.06 ± 23.69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52.78 ± 17.35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27.08 ± 22.61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1.33 ± 0.58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1.00 ± 0.00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eastAsia="Times New Roman"/>
                <w:b/>
                <w:bCs/>
                <w:vertAlign w:val="superscript"/>
              </w:rPr>
              <w:t>†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0.40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0.37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0.13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0.20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0.004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0.07</w:t>
            </w:r>
          </w:p>
        </w:tc>
      </w:tr>
      <w:tr w:rsidR="007C7D6C" w:rsidRPr="007C7D6C" w:rsidTr="009A4B3E">
        <w:trPr>
          <w:trHeight w:val="290"/>
        </w:trPr>
        <w:tc>
          <w:tcPr>
            <w:tcW w:w="2966" w:type="dxa"/>
            <w:gridSpan w:val="3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  <w:b/>
                <w:bCs/>
              </w:rPr>
              <w:t>Type of Cancer by Site</w:t>
            </w:r>
          </w:p>
        </w:tc>
        <w:tc>
          <w:tcPr>
            <w:tcW w:w="2967" w:type="dxa"/>
            <w:gridSpan w:val="3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2967" w:type="dxa"/>
            <w:gridSpan w:val="3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985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Cervical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48.51 ± 27.39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62.78 ± 18.52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65.00 ± 18.33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51.72 ± 16.18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3.17 ± 1.18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3.35 ± 1.30</w:t>
            </w:r>
          </w:p>
        </w:tc>
      </w:tr>
      <w:tr w:rsidR="007C7D6C" w:rsidRPr="007C7D6C" w:rsidTr="009A4B3E">
        <w:trPr>
          <w:trHeight w:val="612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Kaposi’s sarcoma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32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43.40 ± 25.99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63.67 ± 22.21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59.90 ± 22.84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48.63 ± 15.29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2.88 ± 1.41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3.22 ± 1.34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Breast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15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48.10 ± 20.78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63.89 ± 19.33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67.22 ± 14.59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54.79 ± 21.12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2.67 ± 1.05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2.80 ± 1.37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Prostate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35.71 ± 23.89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59.26 ± 24.89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53.70 ± 21.29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53.82 ± 14.64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2.67 ± 1.41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2.56 ± 1.51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Colorectal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46.43 ± 34.07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58.33 ± 27.32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69.44 ± 12.73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50.00 ± 12.5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2.67 ± 0.58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2.33 ± 1.53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Other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43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38.46 ± 27.24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58.65 ± 21.6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62.61 ± 20.67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50.88 ± 18.75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2.72 ± 1.26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2.82 ± 1.35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eastAsia="Times New Roman"/>
                <w:b/>
                <w:bCs/>
                <w:vertAlign w:val="superscript"/>
              </w:rPr>
              <w:t>†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0.53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0.93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0.55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0.91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0.48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0.37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7C7D6C">
              <w:rPr>
                <w:rFonts w:eastAsia="Times New Roman"/>
                <w:b/>
                <w:bCs/>
              </w:rPr>
              <w:t>Histological Type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Clinical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33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36.69 ± 27.73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53.03 ± 21.43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54.04 ± 20.53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42.9 ± 14.50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3.12 ± 1.05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3.27 ± 1.28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Cervical tissue biopsy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24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57.74 ± 26.43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65.28 ± 16.19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62.85 ± 14.32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53.65 ± 12.59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3.75 ± 0.90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3.96 ± 1.04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Breast tissue biopsy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50.71 ± 21.04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55.83 ± 13.37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61.67 ± 11.18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47.50 ± 17.87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3.20 ± 0.45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3.40 ± 1.14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Skin tissue biopsy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62.50 ± 25.54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67.71 ± 14.58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66.67 ± 6.80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44.53 ± 7.81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3.50 ± 0.58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4.25 ± 0.50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Other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21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45.24 ± 27.23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59.13 ± 23.89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65.08 ± 17.60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48.51 ± 14.64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3.05 ± 0.92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3.38 ± 1.16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eastAsia="Times New Roman"/>
                <w:b/>
                <w:bCs/>
                <w:vertAlign w:val="superscript"/>
              </w:rPr>
              <w:t>†</w:t>
            </w:r>
          </w:p>
        </w:tc>
        <w:tc>
          <w:tcPr>
            <w:tcW w:w="63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0.14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0.21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0.20</w:t>
            </w: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0.13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0.13</w:t>
            </w: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0.07</w:t>
            </w:r>
          </w:p>
        </w:tc>
      </w:tr>
      <w:tr w:rsidR="007C7D6C" w:rsidRPr="007C7D6C" w:rsidTr="009A4B3E">
        <w:trPr>
          <w:trHeight w:val="290"/>
        </w:trPr>
        <w:tc>
          <w:tcPr>
            <w:tcW w:w="10885" w:type="dxa"/>
            <w:gridSpan w:val="11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  <w:b/>
                <w:bCs/>
              </w:rPr>
              <w:t>Duration Since Diagnosis (Months)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&gt;25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53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50.13 ± 23.36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64.54 ± 18.95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64.31 ± 18.80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51.12 ± 17.12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3.02 ± 1.08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3.00 ± 1.24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&lt;25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105</w:t>
            </w: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41.16 ± 27.46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60.36 ± 21.11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62.38 ± 20.19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51.34 ± 16.86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2.86 ± 1.32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3.11 ± 1.41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0.03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0.21</w:t>
            </w:r>
          </w:p>
        </w:tc>
        <w:tc>
          <w:tcPr>
            <w:tcW w:w="1574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0.55</w:t>
            </w:r>
          </w:p>
        </w:tc>
        <w:tc>
          <w:tcPr>
            <w:tcW w:w="1574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0.94</w:t>
            </w:r>
          </w:p>
        </w:tc>
        <w:tc>
          <w:tcPr>
            <w:tcW w:w="1260" w:type="dxa"/>
            <w:gridSpan w:val="2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0.41</w:t>
            </w:r>
          </w:p>
        </w:tc>
        <w:tc>
          <w:tcPr>
            <w:tcW w:w="1260" w:type="dxa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0.60</w:t>
            </w:r>
          </w:p>
        </w:tc>
      </w:tr>
      <w:tr w:rsidR="007C7D6C" w:rsidRPr="007C7D6C" w:rsidTr="009A4B3E">
        <w:trPr>
          <w:trHeight w:val="290"/>
        </w:trPr>
        <w:tc>
          <w:tcPr>
            <w:tcW w:w="10885" w:type="dxa"/>
            <w:gridSpan w:val="11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  <w:b/>
                <w:bCs/>
              </w:rPr>
              <w:t>Duration in Palliative Care in Months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&gt;20</w:t>
            </w:r>
          </w:p>
        </w:tc>
        <w:tc>
          <w:tcPr>
            <w:tcW w:w="63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43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48.75 ± 25.80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62.80 ± 21.52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63.76 ± 22.48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49.35 ± 17.63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2.88 ± 1.18</w:t>
            </w:r>
          </w:p>
        </w:tc>
        <w:tc>
          <w:tcPr>
            <w:tcW w:w="126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3.07 ± 1.30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&lt;20</w:t>
            </w:r>
          </w:p>
        </w:tc>
        <w:tc>
          <w:tcPr>
            <w:tcW w:w="63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115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42.48 ± 26.77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60.95 ± 20.02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62.39 ± 18.60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51.66 ± 16.56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2.96 ± 1.26</w:t>
            </w:r>
          </w:p>
        </w:tc>
        <w:tc>
          <w:tcPr>
            <w:tcW w:w="126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3.10 ± 1.38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0.18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0.63</w:t>
            </w: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0.72</w:t>
            </w:r>
          </w:p>
        </w:tc>
        <w:tc>
          <w:tcPr>
            <w:tcW w:w="1574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0.46</w:t>
            </w: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0.74</w:t>
            </w:r>
          </w:p>
        </w:tc>
        <w:tc>
          <w:tcPr>
            <w:tcW w:w="1260" w:type="dxa"/>
            <w:shd w:val="clear" w:color="auto" w:fill="E7E6E6"/>
            <w:noWrap/>
            <w:vAlign w:val="center"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0.91</w:t>
            </w:r>
          </w:p>
        </w:tc>
      </w:tr>
      <w:tr w:rsidR="007C7D6C" w:rsidRPr="007C7D6C" w:rsidTr="009A4B3E">
        <w:trPr>
          <w:trHeight w:val="290"/>
        </w:trPr>
        <w:tc>
          <w:tcPr>
            <w:tcW w:w="10885" w:type="dxa"/>
            <w:gridSpan w:val="11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  <w:b/>
                <w:bCs/>
              </w:rPr>
              <w:t>Palliative Care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lastRenderedPageBreak/>
              <w:t>Chemotherapy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yes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98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48.21 ± 25.62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65.35 ± 19.32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65.56 ± 17.97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52.52 ± 14.87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3.12 ± 1.25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3.29 ± 1.28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no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37.83 ± 26.74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55.72 ± 21.17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59.75 ± 20.89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49.15 ± 19.88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2.56 ± 1.16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2.70 ± 1.38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0.02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0.005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0.08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0.26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0.005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0.009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Radiotherapy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yes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28.57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62.50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33.33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75.00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4.00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1.00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no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157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44.41 ± 26.5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61.73 ± 20.58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63.57 ± 19.17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51.1 ± 16.89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 ± 1.25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3.08 ± 1.34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NA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NA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NA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NA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NA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NA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Surgery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yes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10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42.50 ± 24.94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65.00 ± 19.56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61.67 ± 22.97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50.00 ± 11.60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3.20 ± 0.63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3.60 ± 0.84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no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148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44.44 ± 26.63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61.51 ± 20.62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63.49 ± 19.07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51.34 ± 17.28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2.89 ± 1.28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3.03 ± 1.37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0.82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0.60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0.81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0.74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0.19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0.07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Morphine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yes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103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40.46 ± 26.55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58.98 ± 21.81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62.38 ± 20.37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51.55 ± 17.77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2.66 ± 1.24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2.91 ± 1.41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no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55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51.10 ± 24.97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66.97 ± 16.59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64.24 ± 18.47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50.74 ± 15.26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3.38 ± 1.11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3.38 ± 1.19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0.01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0.01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0.56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0.77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&lt;0.001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0.03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Diclofenac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yes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29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44.21 ± 27.14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61.64 ± 20.70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64.37 ± 16.50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52.26 ± 14.80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3.10 ± 1.26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2.93 ± 1.36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no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129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44.16 ± 26.37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61.79 ± 20.47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62.73 ± 20.39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51.04 ± 17.37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2.87 ± 1.24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3.11 ± 1.35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0.99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0.97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0.65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0.70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0.37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0.53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Bisacodyl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yes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39.57 ± 25.77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59.54 ± 20.17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65.99 ± 19.10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53.43 ± 18.45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2.87 ± 1.17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3.00 ± 1.41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no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96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47.14 ± 26.55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63.19 ± 20.61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61.11 ± 19.93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49.87 ± 15.75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2.94 ± 1.30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3.13 ± 1.32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0.08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0.27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0.13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0.21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0.74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0.58</w:t>
            </w:r>
          </w:p>
        </w:tc>
      </w:tr>
      <w:tr w:rsidR="007C7D6C" w:rsidRPr="007C7D6C" w:rsidTr="009A4B3E">
        <w:trPr>
          <w:trHeight w:val="290"/>
        </w:trPr>
        <w:tc>
          <w:tcPr>
            <w:tcW w:w="207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250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Paraffin</w:t>
            </w:r>
          </w:p>
        </w:tc>
        <w:tc>
          <w:tcPr>
            <w:tcW w:w="1573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4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gridSpan w:val="2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260" w:type="dxa"/>
            <w:shd w:val="clear" w:color="auto" w:fill="E7E6E6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yes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30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44.17 ± 30.14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58.89 ± 24.12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60.83 ± 20.66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47.19 ± 17.38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2.43 ± 1.17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2.83 ± 1.44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no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128</w:t>
            </w:r>
          </w:p>
        </w:tc>
        <w:tc>
          <w:tcPr>
            <w:tcW w:w="1573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44.17 ± 25.61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62.43 ± 19.54</w:t>
            </w:r>
          </w:p>
        </w:tc>
        <w:tc>
          <w:tcPr>
            <w:tcW w:w="1574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63.54 ± 19.51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52.22 ± 16.70</w:t>
            </w: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3.02 ± 1.24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3.13 ± 1.33</w:t>
            </w:r>
          </w:p>
        </w:tc>
      </w:tr>
      <w:tr w:rsidR="007C7D6C" w:rsidRPr="007C7D6C" w:rsidTr="009A4B3E">
        <w:trPr>
          <w:trHeight w:val="290"/>
        </w:trPr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ind w:left="398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 xml:space="preserve">p-value </w:t>
            </w:r>
            <w:r w:rsidRPr="007C7D6C">
              <w:rPr>
                <w:rFonts w:ascii="Tahoma" w:eastAsia="Times New Roman" w:hAnsi="Tahoma" w:cs="Tahoma"/>
                <w:b/>
                <w:vertAlign w:val="superscript"/>
              </w:rPr>
              <w:t>⸭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</w:p>
        </w:tc>
        <w:tc>
          <w:tcPr>
            <w:tcW w:w="157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1.00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0.46</w:t>
            </w:r>
          </w:p>
        </w:tc>
        <w:tc>
          <w:tcPr>
            <w:tcW w:w="157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0.52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0.16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0.02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7D6C" w:rsidRPr="007C7D6C" w:rsidRDefault="007C7D6C" w:rsidP="007C7D6C">
            <w:pPr>
              <w:widowControl w:val="0"/>
              <w:spacing w:line="360" w:lineRule="auto"/>
              <w:jc w:val="both"/>
              <w:rPr>
                <w:rFonts w:eastAsia="Times New Roman"/>
              </w:rPr>
            </w:pPr>
            <w:r w:rsidRPr="007C7D6C">
              <w:rPr>
                <w:rFonts w:eastAsia="Times New Roman"/>
              </w:rPr>
              <w:t>0.30</w:t>
            </w:r>
          </w:p>
        </w:tc>
      </w:tr>
    </w:tbl>
    <w:p w:rsidR="007C7D6C" w:rsidRPr="007C7D6C" w:rsidRDefault="007C7D6C" w:rsidP="007C7D6C">
      <w:pPr>
        <w:widowControl w:val="0"/>
        <w:spacing w:line="360" w:lineRule="auto"/>
        <w:ind w:left="-360" w:right="-1324" w:hanging="810"/>
        <w:jc w:val="both"/>
        <w:rPr>
          <w:rFonts w:eastAsia="Times New Roman"/>
          <w:lang w:val="en-US" w:eastAsia="zh-TW"/>
        </w:rPr>
      </w:pPr>
      <w:r w:rsidRPr="007C7D6C">
        <w:rPr>
          <w:rFonts w:eastAsia="Times New Roman"/>
          <w:b/>
          <w:lang w:val="en-US" w:eastAsia="zh-TW"/>
        </w:rPr>
        <w:t>NOTE</w:t>
      </w:r>
      <w:r w:rsidRPr="007C7D6C">
        <w:rPr>
          <w:rFonts w:eastAsia="Times New Roman"/>
          <w:lang w:val="en-US" w:eastAsia="zh-TW"/>
        </w:rPr>
        <w:t xml:space="preserve">: </w:t>
      </w:r>
      <w:r w:rsidRPr="007C7D6C">
        <w:rPr>
          <w:rFonts w:eastAsia="Times New Roman"/>
          <w:b/>
          <w:vertAlign w:val="superscript"/>
          <w:lang w:val="en-US" w:eastAsia="zh-TW"/>
        </w:rPr>
        <w:t>⸭</w:t>
      </w:r>
      <w:r w:rsidRPr="007C7D6C">
        <w:rPr>
          <w:rFonts w:eastAsia="Times New Roman"/>
          <w:lang w:val="en-US" w:eastAsia="zh-TW"/>
        </w:rPr>
        <w:t xml:space="preserve"> Statistical testing by Student’s t-test; </w:t>
      </w:r>
      <w:r w:rsidRPr="007C7D6C">
        <w:rPr>
          <w:rFonts w:eastAsia="Times New Roman"/>
          <w:b/>
          <w:bCs/>
          <w:vertAlign w:val="superscript"/>
          <w:lang w:val="en-US" w:eastAsia="zh-TW"/>
        </w:rPr>
        <w:t xml:space="preserve">† </w:t>
      </w:r>
      <w:r w:rsidRPr="007C7D6C">
        <w:rPr>
          <w:rFonts w:eastAsia="Times New Roman"/>
          <w:lang w:val="en-US" w:eastAsia="zh-TW"/>
        </w:rPr>
        <w:t xml:space="preserve">Statistical testing by </w:t>
      </w:r>
      <w:r w:rsidRPr="007C7D6C">
        <w:rPr>
          <w:rFonts w:eastAsia="Times New Roman"/>
          <w:bCs/>
          <w:lang w:val="en-US" w:eastAsia="zh-TW"/>
        </w:rPr>
        <w:t>the Welch ANOVA;</w:t>
      </w:r>
      <w:r w:rsidRPr="007C7D6C">
        <w:rPr>
          <w:rFonts w:eastAsia="Times New Roman"/>
          <w:b/>
          <w:bCs/>
          <w:vertAlign w:val="superscript"/>
          <w:lang w:val="en-US" w:eastAsia="zh-TW"/>
        </w:rPr>
        <w:t xml:space="preserve"> </w:t>
      </w:r>
      <w:r w:rsidRPr="007C7D6C">
        <w:rPr>
          <w:rFonts w:eastAsia="Times New Roman"/>
          <w:lang w:val="en-US" w:eastAsia="zh-TW"/>
        </w:rPr>
        <w:t>NA, not available (due to not enough observations).</w:t>
      </w:r>
    </w:p>
    <w:p w:rsidR="003222CD" w:rsidRDefault="003222CD">
      <w:bookmarkStart w:id="1" w:name="_GoBack"/>
      <w:bookmarkEnd w:id="1"/>
    </w:p>
    <w:sectPr w:rsidR="003222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D6C"/>
    <w:rsid w:val="003222CD"/>
    <w:rsid w:val="004268DE"/>
    <w:rsid w:val="007C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0D9AA2-F9D8-43D8-B03E-3311BAAA1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5">
    <w:name w:val="Table Grid5"/>
    <w:basedOn w:val="TableNormal"/>
    <w:next w:val="TableGrid"/>
    <w:uiPriority w:val="39"/>
    <w:rsid w:val="007C7D6C"/>
    <w:pPr>
      <w:spacing w:after="0" w:line="240" w:lineRule="auto"/>
    </w:pPr>
    <w:rPr>
      <w:rFonts w:ascii="Calibri" w:eastAsia="PMingLiU" w:hAnsi="Calibri"/>
      <w:sz w:val="22"/>
      <w:szCs w:val="22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C7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Sinyiza</dc:creator>
  <cp:keywords/>
  <dc:description/>
  <cp:lastModifiedBy>Sinyiza</cp:lastModifiedBy>
  <cp:revision>2</cp:revision>
  <dcterms:created xsi:type="dcterms:W3CDTF">2024-03-24T15:40:00Z</dcterms:created>
  <dcterms:modified xsi:type="dcterms:W3CDTF">2024-03-24T15:40:00Z</dcterms:modified>
</cp:coreProperties>
</file>