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DD2E8B" w14:textId="77777777" w:rsidR="006B0EE7" w:rsidRDefault="00000000" w:rsidP="00C6780B">
      <w:r>
        <w:t>Supporting Information</w:t>
      </w:r>
    </w:p>
    <w:p w14:paraId="5B4F7904" w14:textId="54AD06FB" w:rsidR="006B0EE7" w:rsidRDefault="00C6780B" w:rsidP="00C6780B">
      <w:r w:rsidRPr="00C6780B">
        <w:t>Interface Potential Induced Natural Antioxidant M</w:t>
      </w:r>
      <w:r w:rsidRPr="00C6780B">
        <w:rPr>
          <w:rFonts w:hint="eastAsia"/>
        </w:rPr>
        <w:t>imic</w:t>
      </w:r>
      <w:r w:rsidRPr="00C6780B">
        <w:t xml:space="preserve"> System </w:t>
      </w:r>
      <w:r w:rsidRPr="00C6780B">
        <w:rPr>
          <w:rFonts w:hint="eastAsia"/>
        </w:rPr>
        <w:t>f</w:t>
      </w:r>
      <w:r w:rsidRPr="00C6780B">
        <w:t>or the Treatment of Alzheimer's Disease</w:t>
      </w:r>
    </w:p>
    <w:p w14:paraId="2783608A" w14:textId="77777777" w:rsidR="00C6780B" w:rsidRPr="00C6780B" w:rsidRDefault="00C6780B" w:rsidP="00C6780B">
      <w:proofErr w:type="spellStart"/>
      <w:r w:rsidRPr="00C6780B">
        <w:rPr>
          <w:rFonts w:hint="eastAsia"/>
        </w:rPr>
        <w:t>Kangning</w:t>
      </w:r>
      <w:proofErr w:type="spellEnd"/>
      <w:r w:rsidRPr="00C6780B">
        <w:rPr>
          <w:rFonts w:hint="eastAsia"/>
        </w:rPr>
        <w:t xml:space="preserve"> Liu,</w:t>
      </w:r>
      <w:bookmarkStart w:id="0" w:name="_Hlk153955064"/>
      <w:r w:rsidRPr="00C6780B">
        <w:t xml:space="preserve"> Qi Ding, </w:t>
      </w:r>
      <w:r w:rsidRPr="00C6780B">
        <w:rPr>
          <w:rFonts w:eastAsiaTheme="minorEastAsia" w:hint="eastAsia"/>
        </w:rPr>
        <w:t xml:space="preserve">Doudou Cao, </w:t>
      </w:r>
      <w:proofErr w:type="spellStart"/>
      <w:r w:rsidRPr="00C6780B">
        <w:t>Enpeng</w:t>
      </w:r>
      <w:proofErr w:type="spellEnd"/>
      <w:r w:rsidRPr="00C6780B">
        <w:t xml:space="preserve"> Xi, Yun Zhao,</w:t>
      </w:r>
      <w:r w:rsidRPr="00C6780B">
        <w:rPr>
          <w:rFonts w:hint="eastAsia"/>
        </w:rPr>
        <w:t xml:space="preserve"> Nan </w:t>
      </w:r>
      <w:proofErr w:type="gramStart"/>
      <w:r w:rsidRPr="00C6780B">
        <w:t>Gao,*</w:t>
      </w:r>
      <w:proofErr w:type="gramEnd"/>
      <w:r w:rsidRPr="00C6780B">
        <w:t xml:space="preserve"> Ye Yuan*</w:t>
      </w:r>
    </w:p>
    <w:bookmarkEnd w:id="0"/>
    <w:p w14:paraId="761B4C78" w14:textId="77777777" w:rsidR="00C6780B" w:rsidRPr="00C6780B" w:rsidRDefault="00C6780B" w:rsidP="00C6780B">
      <w:r w:rsidRPr="00C6780B">
        <w:t>Key Laboratory of Polyoxometalate and Reticular Material Chemistry of Ministry of Education and Faculty of Chemistry, Northeast Normal University, Changchun 130024, P. R. China.</w:t>
      </w:r>
    </w:p>
    <w:p w14:paraId="2DD0434B" w14:textId="77777777" w:rsidR="00C6780B" w:rsidRPr="00C6780B" w:rsidRDefault="00C6780B" w:rsidP="00C6780B"/>
    <w:p w14:paraId="26F35631" w14:textId="77777777" w:rsidR="00C6780B" w:rsidRDefault="00C6780B" w:rsidP="00C6780B">
      <w:pPr>
        <w:sectPr w:rsidR="00C6780B" w:rsidSect="009A3833">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pPr>
    </w:p>
    <w:p w14:paraId="12E26539" w14:textId="77777777" w:rsidR="006B0EE7" w:rsidRPr="00C6780B" w:rsidRDefault="00000000" w:rsidP="00C6780B">
      <w:pPr>
        <w:rPr>
          <w:b/>
          <w:bCs/>
        </w:rPr>
      </w:pPr>
      <w:r w:rsidRPr="00C6780B">
        <w:rPr>
          <w:b/>
          <w:bCs/>
        </w:rPr>
        <w:lastRenderedPageBreak/>
        <w:t>Experimental</w:t>
      </w:r>
      <w:r w:rsidRPr="00C6780B">
        <w:rPr>
          <w:rFonts w:hint="eastAsia"/>
          <w:b/>
          <w:bCs/>
        </w:rPr>
        <w:t xml:space="preserve"> section</w:t>
      </w:r>
    </w:p>
    <w:p w14:paraId="1251FC39" w14:textId="7EADD634" w:rsidR="006B0EE7" w:rsidRPr="00C6780B" w:rsidRDefault="00C6780B" w:rsidP="00C6780B">
      <w:pPr>
        <w:jc w:val="both"/>
        <w:rPr>
          <w:b/>
          <w:bCs/>
        </w:rPr>
      </w:pPr>
      <w:r w:rsidRPr="00C6780B">
        <w:rPr>
          <w:rFonts w:hint="eastAsia"/>
          <w:b/>
          <w:bCs/>
        </w:rPr>
        <w:t xml:space="preserve">1. </w:t>
      </w:r>
      <w:r w:rsidR="00000000" w:rsidRPr="00C6780B">
        <w:rPr>
          <w:b/>
          <w:bCs/>
        </w:rPr>
        <w:t>General experimental procedures</w:t>
      </w:r>
    </w:p>
    <w:p w14:paraId="6E45D93E" w14:textId="7F7C1462" w:rsidR="006B0EE7" w:rsidRDefault="00000000" w:rsidP="00C6780B">
      <w:pPr>
        <w:jc w:val="both"/>
      </w:pPr>
      <w:r>
        <w:rPr>
          <w:rFonts w:hint="eastAsia"/>
          <w:b/>
          <w:bCs/>
        </w:rPr>
        <w:t>Materials:</w:t>
      </w:r>
      <w:r w:rsidR="00C6780B">
        <w:rPr>
          <w:rFonts w:hint="eastAsia"/>
          <w:b/>
          <w:bCs/>
        </w:rPr>
        <w:t xml:space="preserve"> </w:t>
      </w:r>
      <w:r>
        <w:t>1,3,5-Benzenetricarboxylic acid (H</w:t>
      </w:r>
      <w:r>
        <w:rPr>
          <w:vertAlign w:val="subscript"/>
        </w:rPr>
        <w:t>3</w:t>
      </w:r>
      <w:r>
        <w:t>BTC, 98%, purchased from Aladdin); zinc nitrate hexahydrate (Zn(N</w:t>
      </w:r>
      <w:r>
        <w:rPr>
          <w:rFonts w:hint="eastAsia"/>
        </w:rPr>
        <w:t>O</w:t>
      </w:r>
      <w:r>
        <w:rPr>
          <w:vertAlign w:val="subscript"/>
        </w:rPr>
        <w:t>3</w:t>
      </w:r>
      <w:r>
        <w:t>)·6H</w:t>
      </w:r>
      <w:r>
        <w:rPr>
          <w:vertAlign w:val="subscript"/>
        </w:rPr>
        <w:t>2</w:t>
      </w:r>
      <w:r>
        <w:t>O, 99%, purchased from HUTA); curcumin (CUR, 98%, purchased from Aladdin); anhydrous ethanol (C</w:t>
      </w:r>
      <w:r>
        <w:rPr>
          <w:vertAlign w:val="subscript"/>
        </w:rPr>
        <w:t>2</w:t>
      </w:r>
      <w:r>
        <w:t>H</w:t>
      </w:r>
      <w:r>
        <w:rPr>
          <w:vertAlign w:val="subscript"/>
        </w:rPr>
        <w:t>6</w:t>
      </w:r>
      <w:r>
        <w:t xml:space="preserve">O, 99.7%, purchased from Tianjin </w:t>
      </w:r>
      <w:proofErr w:type="spellStart"/>
      <w:r>
        <w:t>Xinplute</w:t>
      </w:r>
      <w:proofErr w:type="spellEnd"/>
      <w:r>
        <w:t xml:space="preserve"> Chemical Co.</w:t>
      </w:r>
      <w:r>
        <w:rPr>
          <w:rFonts w:hint="eastAsia"/>
        </w:rPr>
        <w:t>);Phosphate Buffered Saline (</w:t>
      </w:r>
      <w:proofErr w:type="spellStart"/>
      <w:r>
        <w:rPr>
          <w:rFonts w:hint="eastAsia"/>
        </w:rPr>
        <w:t>PBS,pH</w:t>
      </w:r>
      <w:proofErr w:type="spellEnd"/>
      <w:r>
        <w:rPr>
          <w:rFonts w:hint="eastAsia"/>
        </w:rPr>
        <w:t>=7.4,purchased from Aladdin); Tween-20 (purchased from Aladdin); Potassium persulphate (K</w:t>
      </w:r>
      <w:r>
        <w:rPr>
          <w:rFonts w:hint="eastAsia"/>
          <w:vertAlign w:val="subscript"/>
        </w:rPr>
        <w:t>2</w:t>
      </w:r>
      <w:r>
        <w:rPr>
          <w:rFonts w:hint="eastAsia"/>
        </w:rPr>
        <w:t>S</w:t>
      </w:r>
      <w:r>
        <w:rPr>
          <w:rFonts w:hint="eastAsia"/>
          <w:vertAlign w:val="subscript"/>
        </w:rPr>
        <w:t>2</w:t>
      </w:r>
      <w:r>
        <w:rPr>
          <w:rFonts w:hint="eastAsia"/>
        </w:rPr>
        <w:t>O</w:t>
      </w:r>
      <w:r>
        <w:rPr>
          <w:rFonts w:hint="eastAsia"/>
          <w:vertAlign w:val="subscript"/>
        </w:rPr>
        <w:t>8</w:t>
      </w:r>
      <w:r>
        <w:rPr>
          <w:rFonts w:hint="eastAsia"/>
        </w:rPr>
        <w:t xml:space="preserve">,99.9%, purchased from Maclean); ABTS hydrazine salt (purchased from </w:t>
      </w:r>
      <w:proofErr w:type="spellStart"/>
      <w:r>
        <w:rPr>
          <w:rFonts w:hint="eastAsia"/>
        </w:rPr>
        <w:t>Ciscojet</w:t>
      </w:r>
      <w:proofErr w:type="spellEnd"/>
      <w:r>
        <w:rPr>
          <w:rFonts w:hint="eastAsia"/>
        </w:rPr>
        <w:t>); ascorbic acid (99%, purchased from Bioss); 2,2-biphenyl-1-picrylhydrazyl (C</w:t>
      </w:r>
      <w:r>
        <w:rPr>
          <w:rFonts w:hint="eastAsia"/>
          <w:vertAlign w:val="subscript"/>
        </w:rPr>
        <w:t>18</w:t>
      </w:r>
      <w:r>
        <w:rPr>
          <w:rFonts w:hint="eastAsia"/>
        </w:rPr>
        <w:t>H</w:t>
      </w:r>
      <w:r>
        <w:rPr>
          <w:rFonts w:hint="eastAsia"/>
          <w:vertAlign w:val="subscript"/>
        </w:rPr>
        <w:t>12</w:t>
      </w:r>
      <w:r>
        <w:rPr>
          <w:rFonts w:hint="eastAsia"/>
        </w:rPr>
        <w:t>N</w:t>
      </w:r>
      <w:r>
        <w:rPr>
          <w:rFonts w:hint="eastAsia"/>
          <w:vertAlign w:val="subscript"/>
        </w:rPr>
        <w:t>5</w:t>
      </w:r>
      <w:r>
        <w:rPr>
          <w:rFonts w:hint="eastAsia"/>
        </w:rPr>
        <w:t>O</w:t>
      </w:r>
      <w:r>
        <w:rPr>
          <w:rFonts w:hint="eastAsia"/>
          <w:vertAlign w:val="subscript"/>
        </w:rPr>
        <w:t>6</w:t>
      </w:r>
      <w:r>
        <w:rPr>
          <w:rFonts w:hint="eastAsia"/>
        </w:rPr>
        <w:t>, 98.5%, purchased from Maclean's).</w:t>
      </w:r>
    </w:p>
    <w:p w14:paraId="08AC04C1" w14:textId="5131D318" w:rsidR="006B0EE7" w:rsidRDefault="00000000" w:rsidP="00C6780B">
      <w:pPr>
        <w:jc w:val="both"/>
      </w:pPr>
      <w:r>
        <w:rPr>
          <w:rFonts w:hint="eastAsia"/>
          <w:b/>
          <w:bCs/>
        </w:rPr>
        <w:t>Characterizations:</w:t>
      </w:r>
      <w:r w:rsidR="00C6780B">
        <w:rPr>
          <w:rFonts w:hint="eastAsia"/>
          <w:b/>
          <w:bCs/>
        </w:rPr>
        <w:t xml:space="preserve"> </w:t>
      </w:r>
      <w:r>
        <w:t xml:space="preserve">The KBr particles were </w:t>
      </w:r>
      <w:proofErr w:type="spellStart"/>
      <w:r>
        <w:t>analysed</w:t>
      </w:r>
      <w:proofErr w:type="spellEnd"/>
      <w:r>
        <w:t xml:space="preserve"> by Fourier transform infrared spectroscopy (FTIR) in the wavelength range of 4000 ~ 400 cm</w:t>
      </w:r>
      <w:r>
        <w:rPr>
          <w:vertAlign w:val="superscript"/>
        </w:rPr>
        <w:t>-1</w:t>
      </w:r>
      <w:r>
        <w:t xml:space="preserve"> using a Nicolet IS50 infrared spectrometer. Scanning electron microscopy (SEM): tests were carried out with a JEOL-JSM-7600 scanning electron microscope instrument with an accelerating voltage of 5 kV. powder X-ray diffraction (PXRD): tests were carried out with a Dmax2200PC diffractometer with a scanning range of 2-40° (2θ) using Cu-Ka radiation, 40 kV, 200 mA, and scanning rate 5° min</w:t>
      </w:r>
      <w:r>
        <w:rPr>
          <w:vertAlign w:val="superscript"/>
        </w:rPr>
        <w:t>-1</w:t>
      </w:r>
      <w:r>
        <w:t xml:space="preserve">. Transmission electron microscopy (TEM): tests were carried out with a JEOLJ JEM-2100PLUS transmission electron microscope instrument with an accelerating voltage of 200 kV. adsorption-desorption isotherms of nitrogen were measured on a </w:t>
      </w:r>
      <w:proofErr w:type="spellStart"/>
      <w:r>
        <w:t>Quantachrome</w:t>
      </w:r>
      <w:proofErr w:type="spellEnd"/>
      <w:r>
        <w:t xml:space="preserve"> Autosorb-iQ2 gas adsorption instrument at a relative pressure of 0~1 bar at</w:t>
      </w:r>
      <w:r>
        <w:rPr>
          <w:rFonts w:hint="eastAsia"/>
        </w:rPr>
        <w:t xml:space="preserve"> </w:t>
      </w:r>
      <w:r>
        <w:t xml:space="preserve">77K. Thermogravimetric analysis (TGA) was carried out on a METTLER-TOLEDO TGA/DSC3+ thermogravimetric </w:t>
      </w:r>
      <w:proofErr w:type="spellStart"/>
      <w:r>
        <w:t>analyser</w:t>
      </w:r>
      <w:proofErr w:type="spellEnd"/>
      <w:r>
        <w:t xml:space="preserve"> in the temperature range of 30 °C-800 °C with a heating rate of 10 °C/min under air </w:t>
      </w:r>
      <w:proofErr w:type="spellStart"/>
      <w:r>
        <w:t>conditions.The</w:t>
      </w:r>
      <w:proofErr w:type="spellEnd"/>
      <w:r>
        <w:t xml:space="preserve"> UV-vis absorption spectra of the samples were measured with a VARIAN Cary-60 UV-visible spectrophotometer in the wavelength range of 200-</w:t>
      </w:r>
      <w:r>
        <w:rPr>
          <w:rFonts w:hint="eastAsia"/>
        </w:rPr>
        <w:t>800</w:t>
      </w:r>
      <w:r>
        <w:t xml:space="preserve"> nm.</w:t>
      </w:r>
    </w:p>
    <w:p w14:paraId="4A3F22E0" w14:textId="603E4D8C" w:rsidR="006B0EE7" w:rsidRDefault="00000000" w:rsidP="00C6780B">
      <w:pPr>
        <w:jc w:val="both"/>
      </w:pPr>
      <w:r>
        <w:rPr>
          <w:b/>
          <w:bCs/>
        </w:rPr>
        <w:t xml:space="preserve">Synthesis of </w:t>
      </w:r>
      <w:proofErr w:type="spellStart"/>
      <w:r>
        <w:rPr>
          <w:b/>
          <w:bCs/>
        </w:rPr>
        <w:t>ZnBTC</w:t>
      </w:r>
      <w:proofErr w:type="spellEnd"/>
      <w:r>
        <w:rPr>
          <w:rFonts w:hint="eastAsia"/>
          <w:b/>
          <w:bCs/>
        </w:rPr>
        <w:t>:</w:t>
      </w:r>
      <w:r w:rsidR="00C6780B">
        <w:rPr>
          <w:rFonts w:hint="eastAsia"/>
          <w:b/>
          <w:bCs/>
        </w:rPr>
        <w:t xml:space="preserve"> </w:t>
      </w:r>
      <w:proofErr w:type="spellStart"/>
      <w:r>
        <w:t>ZnBTC</w:t>
      </w:r>
      <w:proofErr w:type="spellEnd"/>
      <w:r>
        <w:t xml:space="preserve"> was prepared by a hydrothermal method. 1.5 g of Zn(NO</w:t>
      </w:r>
      <w:r>
        <w:rPr>
          <w:vertAlign w:val="subscript"/>
        </w:rPr>
        <w:t>3</w:t>
      </w:r>
      <w:r>
        <w:t>)</w:t>
      </w:r>
      <w:r>
        <w:rPr>
          <w:vertAlign w:val="subscript"/>
        </w:rPr>
        <w:t>2</w:t>
      </w:r>
      <w:r>
        <w:rPr>
          <w:rFonts w:hint="eastAsia"/>
        </w:rPr>
        <w:t>·</w:t>
      </w:r>
      <w:r>
        <w:t>6H</w:t>
      </w:r>
      <w:r>
        <w:rPr>
          <w:vertAlign w:val="subscript"/>
        </w:rPr>
        <w:t>2</w:t>
      </w:r>
      <w:r>
        <w:t>O was dissolved homogeneously in ethanol (25 ml) by ultrasonication, and 0.63 g of H</w:t>
      </w:r>
      <w:r>
        <w:rPr>
          <w:vertAlign w:val="subscript"/>
        </w:rPr>
        <w:t>3</w:t>
      </w:r>
      <w:r>
        <w:t>BTC was dissolved in ethanol (35 ml), respectively. Then the two solutions were mixed homogeneously and transferred into a 100 ml stainless steel autoclave and reacted at 120 °C for 12 h. The white precipitate was collected by centrifugation and washed with ethanol three times. After vacuum drying, the final product was isolated as white powder.</w:t>
      </w:r>
    </w:p>
    <w:p w14:paraId="7329BF24" w14:textId="77777777" w:rsidR="006B0EE7" w:rsidRDefault="00000000" w:rsidP="00C6780B">
      <w:pPr>
        <w:jc w:val="both"/>
      </w:pPr>
      <w:r>
        <w:rPr>
          <w:b/>
          <w:bCs/>
        </w:rPr>
        <w:lastRenderedPageBreak/>
        <w:t xml:space="preserve">Curcumin standard curve: </w:t>
      </w:r>
      <w:r>
        <w:t xml:space="preserve">To determine the drug loading and encapsulation rate of curcumin in CUR @ </w:t>
      </w:r>
      <w:proofErr w:type="spellStart"/>
      <w:r>
        <w:t>ZnBTC</w:t>
      </w:r>
      <w:proofErr w:type="spellEnd"/>
      <w:r>
        <w:t xml:space="preserve"> nanoparticles, the standard curve of curcumin was determined first. Curcumin was dissolved in ethanol and the solution was scanned in the range of 300 – 500nm to reveal its maximum absorbance at 425nm. The absorbance at 425nm of 0.01 mg/mL, 0.008 mg/mL, 0.006mg/mL, 0.004mg/mL, 0.002mg/mL, and the standard curve of curcumin is shown in the figure: the mass concentration (mg/mL) of curcumin, and the ordinate is the absorbance of the solution at 425nm. The obtained standard curve of curcumin is Y=150.66X+0.0336, R</w:t>
      </w:r>
      <w:r>
        <w:rPr>
          <w:vertAlign w:val="superscript"/>
        </w:rPr>
        <w:t>2</w:t>
      </w:r>
      <w:r>
        <w:t>=0.9993, indicating that the linear relationship of the curcumin standard curve is good.</w:t>
      </w:r>
    </w:p>
    <w:p w14:paraId="6AFB7EFD" w14:textId="28DFB546" w:rsidR="006B0EE7" w:rsidRDefault="00000000" w:rsidP="00C6780B">
      <w:pPr>
        <w:jc w:val="both"/>
      </w:pPr>
      <w:r>
        <w:rPr>
          <w:b/>
          <w:bCs/>
        </w:rPr>
        <w:t>Curcumin loading:</w:t>
      </w:r>
      <w:r w:rsidR="00C6780B">
        <w:rPr>
          <w:rFonts w:hint="eastAsia"/>
          <w:b/>
          <w:bCs/>
        </w:rPr>
        <w:t xml:space="preserve"> </w:t>
      </w:r>
      <w:proofErr w:type="spellStart"/>
      <w:r>
        <w:t>ZnBTC</w:t>
      </w:r>
      <w:proofErr w:type="spellEnd"/>
      <w:r>
        <w:t xml:space="preserve"> and CUR were dispersed in anhydrous ethanol solution at a mass ratio of 1:2, stirred at room temperature for 24 h, and the supernatant was collected by centrifugation, and the concentration of CUR in the supernatant was determined by UV-</w:t>
      </w:r>
      <w:proofErr w:type="gramStart"/>
      <w:r>
        <w:t>Vis</w:t>
      </w:r>
      <w:proofErr w:type="gramEnd"/>
      <w:r>
        <w:t xml:space="preserve"> spectrophotometry, which in turn was used to calculate the amount of drug loading. The concentration of CUR in the supernatant was determined by UV </w:t>
      </w:r>
      <w:proofErr w:type="spellStart"/>
      <w:proofErr w:type="gramStart"/>
      <w:r>
        <w:t>spectrophotometry.The</w:t>
      </w:r>
      <w:proofErr w:type="spellEnd"/>
      <w:proofErr w:type="gramEnd"/>
      <w:r>
        <w:t xml:space="preserve"> absorbance at 425 nm was detected by UV-Vis spectrophotometer and substituted into the standard curve for calculation. The following formula was used:</w:t>
      </w:r>
    </w:p>
    <w:p w14:paraId="4D438D1F" w14:textId="77777777" w:rsidR="006B0EE7" w:rsidRDefault="00000000" w:rsidP="00C6780B">
      <w:pPr>
        <w:jc w:val="both"/>
      </w:pPr>
      <w:r>
        <w:t xml:space="preserve">Drug Loading efficiency (DLC%) = Amount of curcumin in </w:t>
      </w:r>
      <w:proofErr w:type="spellStart"/>
      <w:r>
        <w:t>CUR@ZnBTC</w:t>
      </w:r>
      <w:proofErr w:type="spellEnd"/>
      <w:r>
        <w:t xml:space="preserve"> / Mass of </w:t>
      </w:r>
      <w:proofErr w:type="spellStart"/>
      <w:r>
        <w:t>CUR@ZnBTC</w:t>
      </w:r>
      <w:proofErr w:type="spellEnd"/>
      <w:r>
        <w:t>× 100</w:t>
      </w:r>
      <w:r>
        <w:rPr>
          <w:rFonts w:hint="eastAsia"/>
        </w:rPr>
        <w:t>%</w:t>
      </w:r>
    </w:p>
    <w:p w14:paraId="3389B69A" w14:textId="77777777" w:rsidR="006B0EE7" w:rsidRDefault="00000000" w:rsidP="00C6780B">
      <w:pPr>
        <w:jc w:val="both"/>
      </w:pPr>
      <w:r>
        <w:t xml:space="preserve">Entrapment Efficiency (EE%) = Amount of curcumin in </w:t>
      </w:r>
      <w:proofErr w:type="spellStart"/>
      <w:r>
        <w:t>CUR@ZnBTC</w:t>
      </w:r>
      <w:proofErr w:type="spellEnd"/>
      <w:r>
        <w:t xml:space="preserve"> / Mass of curcumin input</w:t>
      </w:r>
    </w:p>
    <w:p w14:paraId="452F11B4" w14:textId="77777777" w:rsidR="006B0EE7" w:rsidRDefault="00000000" w:rsidP="00C6780B">
      <w:pPr>
        <w:jc w:val="both"/>
      </w:pPr>
      <w:r>
        <w:t>×100%</w:t>
      </w:r>
    </w:p>
    <w:p w14:paraId="39C7057A" w14:textId="281C4013" w:rsidR="006B0EE7" w:rsidRDefault="00000000" w:rsidP="00C6780B">
      <w:pPr>
        <w:jc w:val="both"/>
      </w:pPr>
      <w:r>
        <w:rPr>
          <w:b/>
          <w:bCs/>
        </w:rPr>
        <w:t>The release of curcumin:</w:t>
      </w:r>
      <w:r w:rsidR="00C6780B">
        <w:rPr>
          <w:rFonts w:hint="eastAsia"/>
          <w:b/>
          <w:bCs/>
        </w:rPr>
        <w:t xml:space="preserve"> </w:t>
      </w:r>
      <w:r>
        <w:t xml:space="preserve">50 mg of vacuum dried </w:t>
      </w:r>
      <w:proofErr w:type="spellStart"/>
      <w:r>
        <w:t>CUR@ZnBTC</w:t>
      </w:r>
      <w:proofErr w:type="spellEnd"/>
      <w:r>
        <w:t xml:space="preserve"> was taken into 25 ml of 0.5% Tween</w:t>
      </w:r>
      <w:r>
        <w:rPr>
          <w:rFonts w:hint="eastAsia"/>
        </w:rPr>
        <w:t>-</w:t>
      </w:r>
      <w:r>
        <w:t>20 in PBS solution at pH 7.4 and shaken at 100 rpm at 25°C. At the specified time points, 1 ml of CUR solution was removed and replenished with an equal amount of fresh buffer. The concentration of CUR was determined by UV spectrophotometry to obtain the release.</w:t>
      </w:r>
    </w:p>
    <w:p w14:paraId="60250D4C" w14:textId="77777777" w:rsidR="00C6780B" w:rsidRDefault="00C6780B" w:rsidP="00C6780B">
      <w:pPr>
        <w:jc w:val="both"/>
        <w:rPr>
          <w:b/>
          <w:bCs/>
        </w:rPr>
      </w:pPr>
    </w:p>
    <w:p w14:paraId="7F2B3661" w14:textId="2FDA2E0A" w:rsidR="00C6780B" w:rsidRDefault="00C6780B" w:rsidP="00C6780B">
      <w:pPr>
        <w:jc w:val="both"/>
        <w:rPr>
          <w:rFonts w:hint="eastAsia"/>
          <w:b/>
          <w:bCs/>
        </w:rPr>
      </w:pPr>
      <w:r>
        <w:rPr>
          <w:rFonts w:hint="eastAsia"/>
          <w:b/>
          <w:bCs/>
        </w:rPr>
        <w:t>2. D</w:t>
      </w:r>
      <w:r w:rsidRPr="00C6780B">
        <w:rPr>
          <w:b/>
          <w:bCs/>
        </w:rPr>
        <w:t>etermination of enzyme activity</w:t>
      </w:r>
    </w:p>
    <w:p w14:paraId="18853E8C" w14:textId="673F36EE" w:rsidR="006B0EE7" w:rsidRDefault="00000000" w:rsidP="00C6780B">
      <w:pPr>
        <w:jc w:val="both"/>
      </w:pPr>
      <w:proofErr w:type="spellStart"/>
      <w:r w:rsidRPr="00C6780B">
        <w:rPr>
          <w:b/>
          <w:bCs/>
        </w:rPr>
        <w:t>ZnBTC</w:t>
      </w:r>
      <w:proofErr w:type="spellEnd"/>
      <w:r w:rsidRPr="00C6780B">
        <w:rPr>
          <w:b/>
          <w:bCs/>
        </w:rPr>
        <w:t xml:space="preserve"> SOD activity assay</w:t>
      </w:r>
      <w:r w:rsidR="00C6780B">
        <w:rPr>
          <w:rFonts w:hint="eastAsia"/>
          <w:b/>
          <w:bCs/>
        </w:rPr>
        <w:t xml:space="preserve">: </w:t>
      </w:r>
      <w:r>
        <w:t xml:space="preserve">The SOD activity of </w:t>
      </w:r>
      <w:proofErr w:type="spellStart"/>
      <w:r>
        <w:t>ZnBTC</w:t>
      </w:r>
      <w:proofErr w:type="spellEnd"/>
      <w:r>
        <w:t xml:space="preserve"> was detected using a superoxide dismutase (SOD) activity assay kit (purchased from Beijing </w:t>
      </w:r>
      <w:proofErr w:type="spellStart"/>
      <w:r>
        <w:t>Boosun</w:t>
      </w:r>
      <w:proofErr w:type="spellEnd"/>
      <w:r>
        <w:t xml:space="preserve"> Biotechnology Co., Ltd.</w:t>
      </w:r>
      <w:proofErr w:type="gramStart"/>
      <w:r>
        <w:t>).The</w:t>
      </w:r>
      <w:proofErr w:type="gramEnd"/>
      <w:r>
        <w:t xml:space="preserve"> SOD activity assay kit generates superoxide anion (O</w:t>
      </w:r>
      <w:r>
        <w:rPr>
          <w:vertAlign w:val="superscript"/>
        </w:rPr>
        <w:t>2-</w:t>
      </w:r>
      <w:r>
        <w:t>.) through the reaction system of xanthine and xanthine oxidase. , O</w:t>
      </w:r>
      <w:r>
        <w:rPr>
          <w:vertAlign w:val="superscript"/>
        </w:rPr>
        <w:t>2-</w:t>
      </w:r>
      <w:r>
        <w:t xml:space="preserve">. can reduce hydroxylamine to generate nitrite, which shows purple-red </w:t>
      </w:r>
      <w:proofErr w:type="spellStart"/>
      <w:r>
        <w:t>colour</w:t>
      </w:r>
      <w:proofErr w:type="spellEnd"/>
      <w:r>
        <w:t xml:space="preserve"> under the action of </w:t>
      </w:r>
      <w:proofErr w:type="spellStart"/>
      <w:r>
        <w:t>colour</w:t>
      </w:r>
      <w:proofErr w:type="spellEnd"/>
      <w:r>
        <w:t xml:space="preserve"> developer and has absorption at 550nm; SOD can remove O</w:t>
      </w:r>
      <w:r>
        <w:rPr>
          <w:vertAlign w:val="superscript"/>
        </w:rPr>
        <w:t>2-</w:t>
      </w:r>
      <w:r>
        <w:t xml:space="preserve">., </w:t>
      </w:r>
      <w:r>
        <w:lastRenderedPageBreak/>
        <w:t xml:space="preserve">thus reducing the formation of nitrite; the darker the </w:t>
      </w:r>
      <w:proofErr w:type="spellStart"/>
      <w:r>
        <w:t>colour</w:t>
      </w:r>
      <w:proofErr w:type="spellEnd"/>
      <w:r>
        <w:t xml:space="preserve"> of the reaction solution, the lower the SOD activity, and vice versa the higher the activity. Among them:</w:t>
      </w:r>
    </w:p>
    <w:p w14:paraId="4ABD42F2" w14:textId="77777777" w:rsidR="006B0EE7" w:rsidRDefault="00000000" w:rsidP="00C6780B">
      <w:pPr>
        <w:jc w:val="both"/>
      </w:pPr>
      <w:r>
        <w:t xml:space="preserve">Inhibition rate = (A control tube - A assay tube) </w:t>
      </w:r>
      <w:r>
        <w:rPr>
          <w:rFonts w:hint="eastAsia"/>
        </w:rPr>
        <w:t>/</w:t>
      </w:r>
      <w:r>
        <w:t>A control tube</w:t>
      </w:r>
    </w:p>
    <w:p w14:paraId="59BE1FB2" w14:textId="77777777" w:rsidR="006B0EE7" w:rsidRDefault="00000000" w:rsidP="00C6780B">
      <w:pPr>
        <w:jc w:val="both"/>
      </w:pPr>
      <w:r>
        <w:t>SOD activity (U/mg) = Inhibition rate ÷ 50% x total volume of reaction system ÷ sample assay ÷ sample concentration (mg/ml)</w:t>
      </w:r>
    </w:p>
    <w:tbl>
      <w:tblPr>
        <w:tblStyle w:val="a9"/>
        <w:tblW w:w="8522" w:type="dxa"/>
        <w:tblBorders>
          <w:top w:val="single" w:sz="12" w:space="0" w:color="auto"/>
          <w:left w:val="none" w:sz="0" w:space="0" w:color="auto"/>
          <w:bottom w:val="single" w:sz="12" w:space="0" w:color="auto"/>
          <w:right w:val="none" w:sz="0" w:space="0" w:color="auto"/>
          <w:insideH w:val="single" w:sz="12" w:space="0" w:color="auto"/>
          <w:insideV w:val="none" w:sz="0" w:space="0" w:color="auto"/>
        </w:tblBorders>
        <w:tblLook w:val="04A0" w:firstRow="1" w:lastRow="0" w:firstColumn="1" w:lastColumn="0" w:noHBand="0" w:noVBand="1"/>
      </w:tblPr>
      <w:tblGrid>
        <w:gridCol w:w="2130"/>
        <w:gridCol w:w="2130"/>
        <w:gridCol w:w="2131"/>
        <w:gridCol w:w="2131"/>
      </w:tblGrid>
      <w:tr w:rsidR="006B0EE7" w14:paraId="7FD90AAA" w14:textId="77777777">
        <w:tc>
          <w:tcPr>
            <w:tcW w:w="2130" w:type="dxa"/>
            <w:tcBorders>
              <w:tl2br w:val="nil"/>
              <w:tr2bl w:val="nil"/>
            </w:tcBorders>
          </w:tcPr>
          <w:p w14:paraId="6DD2CB13" w14:textId="77777777" w:rsidR="006B0EE7" w:rsidRDefault="00000000" w:rsidP="00C6780B">
            <w:pPr>
              <w:rPr>
                <w:rFonts w:ascii="Calibri" w:hAnsi="Calibri"/>
              </w:rPr>
            </w:pPr>
            <w:r>
              <w:rPr>
                <w:rFonts w:hint="eastAsia"/>
              </w:rPr>
              <w:t>Sample concentration</w:t>
            </w:r>
            <w:r>
              <w:t>(mg/m</w:t>
            </w:r>
            <w:r>
              <w:rPr>
                <w:rFonts w:hint="eastAsia"/>
              </w:rPr>
              <w:t>l</w:t>
            </w:r>
            <w:r>
              <w:t>)</w:t>
            </w:r>
          </w:p>
        </w:tc>
        <w:tc>
          <w:tcPr>
            <w:tcW w:w="2130" w:type="dxa"/>
            <w:tcBorders>
              <w:tl2br w:val="nil"/>
              <w:tr2bl w:val="nil"/>
            </w:tcBorders>
          </w:tcPr>
          <w:p w14:paraId="4AC588D2" w14:textId="77777777" w:rsidR="006B0EE7" w:rsidRDefault="00000000" w:rsidP="00C6780B">
            <w:r>
              <w:t>A</w:t>
            </w:r>
          </w:p>
        </w:tc>
        <w:tc>
          <w:tcPr>
            <w:tcW w:w="2131" w:type="dxa"/>
            <w:tcBorders>
              <w:tl2br w:val="nil"/>
              <w:tr2bl w:val="nil"/>
            </w:tcBorders>
          </w:tcPr>
          <w:p w14:paraId="171EAFF1" w14:textId="77777777" w:rsidR="006B0EE7" w:rsidRDefault="00000000" w:rsidP="00C6780B">
            <w:pPr>
              <w:rPr>
                <w:rFonts w:ascii="Calibri" w:hAnsi="Calibri"/>
              </w:rPr>
            </w:pPr>
            <w:r>
              <w:t>Inhibition ratio</w:t>
            </w:r>
          </w:p>
        </w:tc>
        <w:tc>
          <w:tcPr>
            <w:tcW w:w="2131" w:type="dxa"/>
            <w:tcBorders>
              <w:tl2br w:val="nil"/>
              <w:tr2bl w:val="nil"/>
            </w:tcBorders>
          </w:tcPr>
          <w:p w14:paraId="0F506740" w14:textId="77777777" w:rsidR="006B0EE7" w:rsidRDefault="00000000" w:rsidP="00C6780B">
            <w:r>
              <w:t>SOD</w:t>
            </w:r>
          </w:p>
          <w:p w14:paraId="1A95CCA8" w14:textId="77777777" w:rsidR="006B0EE7" w:rsidRDefault="00000000" w:rsidP="00C6780B">
            <w:r>
              <w:rPr>
                <w:rFonts w:hint="eastAsia"/>
              </w:rPr>
              <w:t>(U/mg)</w:t>
            </w:r>
          </w:p>
        </w:tc>
      </w:tr>
      <w:tr w:rsidR="006B0EE7" w14:paraId="1CAC8A0E" w14:textId="77777777">
        <w:trPr>
          <w:trHeight w:val="594"/>
        </w:trPr>
        <w:tc>
          <w:tcPr>
            <w:tcW w:w="2130" w:type="dxa"/>
            <w:tcBorders>
              <w:tl2br w:val="nil"/>
              <w:tr2bl w:val="nil"/>
            </w:tcBorders>
          </w:tcPr>
          <w:p w14:paraId="447B2075" w14:textId="77777777" w:rsidR="006B0EE7" w:rsidRDefault="00000000" w:rsidP="00C6780B">
            <w:r>
              <w:t>Ctrl</w:t>
            </w:r>
          </w:p>
          <w:p w14:paraId="4298F65B" w14:textId="77777777" w:rsidR="006B0EE7" w:rsidRDefault="00000000" w:rsidP="00C6780B">
            <w:r>
              <w:t>5</w:t>
            </w:r>
          </w:p>
        </w:tc>
        <w:tc>
          <w:tcPr>
            <w:tcW w:w="2130" w:type="dxa"/>
            <w:tcBorders>
              <w:tl2br w:val="nil"/>
              <w:tr2bl w:val="nil"/>
            </w:tcBorders>
            <w:vAlign w:val="bottom"/>
          </w:tcPr>
          <w:p w14:paraId="012FD056" w14:textId="77777777" w:rsidR="006B0EE7" w:rsidRDefault="00000000" w:rsidP="00C6780B">
            <w:r>
              <w:t>1.3826</w:t>
            </w:r>
          </w:p>
          <w:p w14:paraId="22582D77" w14:textId="77777777" w:rsidR="006B0EE7" w:rsidRDefault="00000000" w:rsidP="00C6780B">
            <w:pPr>
              <w:rPr>
                <w:szCs w:val="21"/>
              </w:rPr>
            </w:pPr>
            <w:r>
              <w:t>0.9640</w:t>
            </w:r>
          </w:p>
        </w:tc>
        <w:tc>
          <w:tcPr>
            <w:tcW w:w="2131" w:type="dxa"/>
            <w:tcBorders>
              <w:tl2br w:val="nil"/>
              <w:tr2bl w:val="nil"/>
            </w:tcBorders>
            <w:vAlign w:val="bottom"/>
          </w:tcPr>
          <w:p w14:paraId="2BD4E6E1" w14:textId="77777777" w:rsidR="006B0EE7" w:rsidRDefault="00000000" w:rsidP="00C6780B">
            <w:r>
              <w:t>0</w:t>
            </w:r>
          </w:p>
          <w:p w14:paraId="21AA1102" w14:textId="77777777" w:rsidR="006B0EE7" w:rsidRDefault="00000000" w:rsidP="00C6780B">
            <w:pPr>
              <w:rPr>
                <w:szCs w:val="21"/>
              </w:rPr>
            </w:pPr>
            <w:r>
              <w:t>0.</w:t>
            </w:r>
            <w:r>
              <w:rPr>
                <w:rFonts w:hint="eastAsia"/>
              </w:rPr>
              <w:t>3028</w:t>
            </w:r>
          </w:p>
        </w:tc>
        <w:tc>
          <w:tcPr>
            <w:tcW w:w="2131" w:type="dxa"/>
            <w:tcBorders>
              <w:tl2br w:val="nil"/>
              <w:tr2bl w:val="nil"/>
            </w:tcBorders>
            <w:vAlign w:val="bottom"/>
          </w:tcPr>
          <w:p w14:paraId="145B2B98" w14:textId="77777777" w:rsidR="006B0EE7" w:rsidRDefault="00000000" w:rsidP="00C6780B">
            <w:r>
              <w:rPr>
                <w:rFonts w:hint="eastAsia"/>
              </w:rPr>
              <w:t>0</w:t>
            </w:r>
          </w:p>
          <w:p w14:paraId="08A42859" w14:textId="77777777" w:rsidR="006B0EE7" w:rsidRDefault="00000000" w:rsidP="00C6780B">
            <w:pPr>
              <w:rPr>
                <w:szCs w:val="21"/>
              </w:rPr>
            </w:pPr>
            <w:r>
              <w:rPr>
                <w:rFonts w:hint="eastAsia"/>
              </w:rPr>
              <w:t>70.3638</w:t>
            </w:r>
          </w:p>
        </w:tc>
      </w:tr>
    </w:tbl>
    <w:p w14:paraId="22390142" w14:textId="77777777" w:rsidR="006B0EE7" w:rsidRDefault="00000000" w:rsidP="00C6780B">
      <w:pPr>
        <w:pStyle w:val="a3"/>
        <w:rPr>
          <w:rFonts w:eastAsiaTheme="minorEastAsia"/>
        </w:rPr>
      </w:pPr>
      <w:r>
        <w:t>Table S</w:t>
      </w:r>
      <w:r>
        <w:fldChar w:fldCharType="begin"/>
      </w:r>
      <w:r>
        <w:instrText xml:space="preserve"> SEQ Table \* ARABIC </w:instrText>
      </w:r>
      <w:r>
        <w:fldChar w:fldCharType="separate"/>
      </w:r>
      <w:r>
        <w:t>1</w:t>
      </w:r>
      <w:r>
        <w:fldChar w:fldCharType="end"/>
      </w:r>
      <w:r>
        <w:rPr>
          <w:rFonts w:eastAsiaTheme="minorEastAsia" w:hint="eastAsia"/>
        </w:rPr>
        <w:t xml:space="preserve">. </w:t>
      </w:r>
      <w:r>
        <w:rPr>
          <w:rFonts w:eastAsiaTheme="minorEastAsia"/>
        </w:rPr>
        <w:t xml:space="preserve">SOD activity at different </w:t>
      </w:r>
      <w:proofErr w:type="spellStart"/>
      <w:r>
        <w:rPr>
          <w:rFonts w:eastAsiaTheme="minorEastAsia"/>
        </w:rPr>
        <w:t>ZnBTC</w:t>
      </w:r>
      <w:proofErr w:type="spellEnd"/>
      <w:r>
        <w:rPr>
          <w:rFonts w:eastAsiaTheme="minorEastAsia"/>
        </w:rPr>
        <w:t xml:space="preserve"> concentrations</w:t>
      </w:r>
    </w:p>
    <w:p w14:paraId="311FE67E" w14:textId="77777777" w:rsidR="00C6780B" w:rsidRDefault="00C6780B" w:rsidP="00C6780B">
      <w:pPr>
        <w:rPr>
          <w:b/>
          <w:bCs/>
        </w:rPr>
      </w:pPr>
    </w:p>
    <w:p w14:paraId="7FF20BB7" w14:textId="427F850C" w:rsidR="006B0EE7" w:rsidRPr="00C6780B" w:rsidRDefault="00C6780B" w:rsidP="00C6780B">
      <w:pPr>
        <w:rPr>
          <w:b/>
          <w:bCs/>
        </w:rPr>
      </w:pPr>
      <w:r w:rsidRPr="00C6780B">
        <w:rPr>
          <w:rFonts w:hint="eastAsia"/>
          <w:b/>
          <w:bCs/>
        </w:rPr>
        <w:t xml:space="preserve">3. </w:t>
      </w:r>
      <w:r w:rsidR="00000000" w:rsidRPr="00C6780B">
        <w:rPr>
          <w:rFonts w:hint="eastAsia"/>
          <w:b/>
          <w:bCs/>
        </w:rPr>
        <w:t>CUR antioxidant property test</w:t>
      </w:r>
    </w:p>
    <w:p w14:paraId="03B85FA9" w14:textId="77777777" w:rsidR="006B0EE7" w:rsidRDefault="00000000" w:rsidP="00C6780B">
      <w:pPr>
        <w:jc w:val="both"/>
      </w:pPr>
      <w:r>
        <w:rPr>
          <w:b/>
          <w:bCs/>
        </w:rPr>
        <w:t>DPPH radical scavenging activity assay:</w:t>
      </w:r>
      <w:r>
        <w:rPr>
          <w:rFonts w:hint="eastAsia"/>
          <w:b/>
          <w:bCs/>
        </w:rPr>
        <w:t xml:space="preserve"> </w:t>
      </w:r>
      <w:r>
        <w:t xml:space="preserve">A 0.2 mM solution of DPPH was prepared with ethanol. 1000 </w:t>
      </w:r>
      <w:proofErr w:type="spellStart"/>
      <w:r>
        <w:t>μL</w:t>
      </w:r>
      <w:proofErr w:type="spellEnd"/>
      <w:r>
        <w:t xml:space="preserve"> of DPPH solution was added to 1000 </w:t>
      </w:r>
      <w:proofErr w:type="spellStart"/>
      <w:r>
        <w:t>μL</w:t>
      </w:r>
      <w:proofErr w:type="spellEnd"/>
      <w:r>
        <w:t xml:space="preserve"> of CUR and ASA solutions of different concentrations. After shaking and mixing, the solution was incubated at room temperature for 30 min away from light. control was replaced with ethanol. The absorbance value at 517 nm was </w:t>
      </w:r>
      <w:proofErr w:type="spellStart"/>
      <w:proofErr w:type="gramStart"/>
      <w:r>
        <w:t>determined.The</w:t>
      </w:r>
      <w:proofErr w:type="spellEnd"/>
      <w:proofErr w:type="gramEnd"/>
      <w:r>
        <w:t xml:space="preserve"> DPPH free radical scavenging activity was calculated as follows:</w:t>
      </w:r>
    </w:p>
    <w:p w14:paraId="533A8F1D" w14:textId="77777777" w:rsidR="006B0EE7" w:rsidRDefault="00000000" w:rsidP="00C6780B">
      <w:pPr>
        <w:jc w:val="both"/>
      </w:pPr>
      <w:r>
        <w:t>DPPH radical scavenging (%) = (</w:t>
      </w:r>
      <w:proofErr w:type="spellStart"/>
      <w:r>
        <w:t>Acontrol-Asample</w:t>
      </w:r>
      <w:proofErr w:type="spellEnd"/>
      <w:r>
        <w:t>)/</w:t>
      </w:r>
      <w:proofErr w:type="spellStart"/>
      <w:r>
        <w:t>Acontrol</w:t>
      </w:r>
      <w:proofErr w:type="spellEnd"/>
      <w:r>
        <w:t xml:space="preserve"> × 100%</w:t>
      </w:r>
    </w:p>
    <w:p w14:paraId="089138A2" w14:textId="77777777" w:rsidR="006B0EE7" w:rsidRDefault="00000000" w:rsidP="00C6780B">
      <w:pPr>
        <w:jc w:val="both"/>
      </w:pPr>
      <w:r>
        <w:t xml:space="preserve">where </w:t>
      </w:r>
      <w:proofErr w:type="spellStart"/>
      <w:r>
        <w:t>Acontrol</w:t>
      </w:r>
      <w:proofErr w:type="spellEnd"/>
      <w:r>
        <w:t xml:space="preserve"> and </w:t>
      </w:r>
      <w:proofErr w:type="spellStart"/>
      <w:r>
        <w:t>Asample</w:t>
      </w:r>
      <w:proofErr w:type="spellEnd"/>
      <w:r>
        <w:t xml:space="preserve"> are the absorbance values of the control and experimental groups, respectively.</w:t>
      </w:r>
    </w:p>
    <w:p w14:paraId="4636644F" w14:textId="77777777" w:rsidR="006B0EE7" w:rsidRDefault="00000000" w:rsidP="00C6780B">
      <w:pPr>
        <w:jc w:val="both"/>
      </w:pPr>
      <w:r>
        <w:rPr>
          <w:b/>
          <w:bCs/>
        </w:rPr>
        <w:t>Determination of ABTS free radical scavenging activity</w:t>
      </w:r>
      <w:r>
        <w:rPr>
          <w:rFonts w:hint="eastAsia"/>
          <w:b/>
          <w:bCs/>
        </w:rPr>
        <w:t>：</w:t>
      </w:r>
      <w:r>
        <w:t>The ABTS</w:t>
      </w:r>
      <w:r>
        <w:rPr>
          <w:vertAlign w:val="superscript"/>
        </w:rPr>
        <w:t>+</w:t>
      </w:r>
      <w:r>
        <w:t xml:space="preserve">·solution was made by mixing the ABTS reagent at a concentration of 7 mM and potassium persulfate at a volume of 2.45 mM in a 1:1 ratio, and incubated for 12-16 h at room temperature under light protection, and the absorbance value of the ABTS+-solution at 734 nm was 0.70±0.02 before </w:t>
      </w:r>
      <w:proofErr w:type="spellStart"/>
      <w:r>
        <w:t>use.Add</w:t>
      </w:r>
      <w:proofErr w:type="spellEnd"/>
      <w:r>
        <w:t xml:space="preserve"> 2000 </w:t>
      </w:r>
      <w:proofErr w:type="spellStart"/>
      <w:r>
        <w:t>μL</w:t>
      </w:r>
      <w:proofErr w:type="spellEnd"/>
      <w:r>
        <w:t xml:space="preserve"> of diluted ABTS+· solution to 1000 </w:t>
      </w:r>
      <w:proofErr w:type="spellStart"/>
      <w:r>
        <w:t>μL</w:t>
      </w:r>
      <w:proofErr w:type="spellEnd"/>
      <w:r>
        <w:t xml:space="preserve"> of CUR and ASA solutions of different concentrations, incubate at room temperature for 10 min, and determine the absorbance value at 734 nm of the reaction system, and the control group was replaced by </w:t>
      </w:r>
      <w:proofErr w:type="spellStart"/>
      <w:r>
        <w:t>ethanol.The</w:t>
      </w:r>
      <w:proofErr w:type="spellEnd"/>
      <w:r>
        <w:t xml:space="preserve"> ABTS radical scavenging activity was calculated by the following formula:</w:t>
      </w:r>
    </w:p>
    <w:p w14:paraId="2FB31327" w14:textId="77777777" w:rsidR="006B0EE7" w:rsidRDefault="00000000" w:rsidP="00C6780B">
      <w:pPr>
        <w:jc w:val="both"/>
      </w:pPr>
      <w:r>
        <w:lastRenderedPageBreak/>
        <w:t>ABTS radical scavenging rate (%) = (</w:t>
      </w:r>
      <w:proofErr w:type="spellStart"/>
      <w:r>
        <w:t>Acontrol-Asample</w:t>
      </w:r>
      <w:proofErr w:type="spellEnd"/>
      <w:r>
        <w:t>)/</w:t>
      </w:r>
      <w:proofErr w:type="spellStart"/>
      <w:r>
        <w:t>Acontrol</w:t>
      </w:r>
      <w:proofErr w:type="spellEnd"/>
      <w:r>
        <w:t xml:space="preserve"> × 100%</w:t>
      </w:r>
    </w:p>
    <w:p w14:paraId="03F27A97" w14:textId="77777777" w:rsidR="006B0EE7" w:rsidRDefault="00000000" w:rsidP="00C6780B">
      <w:pPr>
        <w:jc w:val="both"/>
      </w:pPr>
      <w:r>
        <w:t xml:space="preserve">Where, </w:t>
      </w:r>
      <w:proofErr w:type="spellStart"/>
      <w:r>
        <w:t>Acontrol</w:t>
      </w:r>
      <w:proofErr w:type="spellEnd"/>
      <w:r>
        <w:t xml:space="preserve"> and </w:t>
      </w:r>
      <w:proofErr w:type="spellStart"/>
      <w:r>
        <w:t>Asample</w:t>
      </w:r>
      <w:proofErr w:type="spellEnd"/>
      <w:r>
        <w:t xml:space="preserve"> are the absorbance values of control and experimental groups, respectively.</w:t>
      </w:r>
    </w:p>
    <w:p w14:paraId="3E72504E" w14:textId="77777777" w:rsidR="00C6780B" w:rsidRDefault="00C6780B" w:rsidP="00C6780B">
      <w:pPr>
        <w:jc w:val="both"/>
        <w:rPr>
          <w:b/>
          <w:bCs/>
        </w:rPr>
      </w:pPr>
    </w:p>
    <w:p w14:paraId="0855A7E9" w14:textId="679E4963" w:rsidR="006B0EE7" w:rsidRPr="00C6780B" w:rsidRDefault="00C6780B" w:rsidP="00C6780B">
      <w:pPr>
        <w:jc w:val="both"/>
        <w:rPr>
          <w:b/>
          <w:bCs/>
        </w:rPr>
      </w:pPr>
      <w:r w:rsidRPr="00C6780B">
        <w:rPr>
          <w:rFonts w:hint="eastAsia"/>
          <w:b/>
          <w:bCs/>
        </w:rPr>
        <w:t xml:space="preserve">4. </w:t>
      </w:r>
      <w:r w:rsidR="00000000" w:rsidRPr="00C6780B">
        <w:rPr>
          <w:b/>
          <w:bCs/>
        </w:rPr>
        <w:t>Animal model</w:t>
      </w:r>
    </w:p>
    <w:p w14:paraId="591739D5" w14:textId="77777777" w:rsidR="006B0EE7" w:rsidRDefault="00000000" w:rsidP="00C6780B">
      <w:pPr>
        <w:jc w:val="both"/>
      </w:pPr>
      <w:r>
        <w:t xml:space="preserve">5xFAD mice (male, 6 ~ 8 months) were purchased from Jiangsu </w:t>
      </w:r>
      <w:proofErr w:type="spellStart"/>
      <w:r>
        <w:t>Jicui</w:t>
      </w:r>
      <w:proofErr w:type="spellEnd"/>
      <w:r>
        <w:t xml:space="preserve"> </w:t>
      </w:r>
      <w:proofErr w:type="spellStart"/>
      <w:r>
        <w:t>Pharmachem</w:t>
      </w:r>
      <w:proofErr w:type="spellEnd"/>
      <w:r>
        <w:t xml:space="preserve"> Laboratory Animal Technology Co. The rearing environment was maintained at a relatively constant temperature and humidity, with a 12h light/dark cycle and unrestricted food and water supply. All research protocols involving animals were approved by the Animal Protection and Use Committee of Northeast Normal University. All experimental operations related to animals were in strict compliance with the "Environment and Facilities for Laboratory Animals" (GB14925-2010)"Guidelines for Ethical Review of Laboratory Animal Welfare" (GB/T 35892-2018), and the requirements of the Northeast Normal University Science and Technology Ethics Committee. All mice were </w:t>
      </w:r>
      <w:proofErr w:type="spellStart"/>
      <w:r>
        <w:t>acclimatised</w:t>
      </w:r>
      <w:proofErr w:type="spellEnd"/>
      <w:r>
        <w:t xml:space="preserve"> to the environment for 7 days before enrolling in the experiment.</w:t>
      </w:r>
    </w:p>
    <w:p w14:paraId="6B129650" w14:textId="6C8ADA7D" w:rsidR="006B0EE7" w:rsidRPr="00C6780B" w:rsidRDefault="00C6780B" w:rsidP="00C6780B">
      <w:pPr>
        <w:jc w:val="both"/>
        <w:rPr>
          <w:b/>
          <w:bCs/>
        </w:rPr>
      </w:pPr>
      <w:r w:rsidRPr="00C6780B">
        <w:rPr>
          <w:rFonts w:hint="eastAsia"/>
          <w:b/>
          <w:bCs/>
        </w:rPr>
        <w:t xml:space="preserve">(1) </w:t>
      </w:r>
      <w:r>
        <w:rPr>
          <w:rFonts w:hint="eastAsia"/>
          <w:b/>
          <w:bCs/>
        </w:rPr>
        <w:t>T</w:t>
      </w:r>
      <w:r w:rsidR="00000000" w:rsidRPr="00C6780B">
        <w:rPr>
          <w:b/>
          <w:bCs/>
        </w:rPr>
        <w:t>reatment</w:t>
      </w:r>
      <w:r w:rsidRPr="00C6780B">
        <w:rPr>
          <w:b/>
          <w:bCs/>
        </w:rPr>
        <w:t xml:space="preserve"> </w:t>
      </w:r>
      <w:r w:rsidRPr="00C6780B">
        <w:rPr>
          <w:rFonts w:hint="eastAsia"/>
          <w:b/>
          <w:bCs/>
        </w:rPr>
        <w:t>g</w:t>
      </w:r>
      <w:r w:rsidRPr="00C6780B">
        <w:rPr>
          <w:b/>
          <w:bCs/>
        </w:rPr>
        <w:t>roup</w:t>
      </w:r>
    </w:p>
    <w:p w14:paraId="431D7785" w14:textId="77777777" w:rsidR="006B0EE7" w:rsidRDefault="00000000" w:rsidP="00C6780B">
      <w:pPr>
        <w:jc w:val="both"/>
      </w:pPr>
      <w:r>
        <w:t xml:space="preserve">18 5xFAD and 9 wild (WT) mice. The experiment was divided into </w:t>
      </w:r>
      <w:proofErr w:type="spellStart"/>
      <w:r>
        <w:t>AD+ZnBTC</w:t>
      </w:r>
      <w:proofErr w:type="spellEnd"/>
      <w:r>
        <w:t xml:space="preserve"> group, AD+CUR group, </w:t>
      </w:r>
      <w:proofErr w:type="spellStart"/>
      <w:r>
        <w:t>AD+CUR@ZnBTC</w:t>
      </w:r>
      <w:proofErr w:type="spellEnd"/>
      <w:r>
        <w:t xml:space="preserve"> group (high, </w:t>
      </w:r>
      <w:proofErr w:type="gramStart"/>
      <w:r>
        <w:t>medium</w:t>
      </w:r>
      <w:proofErr w:type="gramEnd"/>
      <w:r>
        <w:t xml:space="preserve"> and low dose), AD group, </w:t>
      </w:r>
      <w:proofErr w:type="spellStart"/>
      <w:r>
        <w:t>WT+ZnBTC</w:t>
      </w:r>
      <w:proofErr w:type="spellEnd"/>
      <w:r>
        <w:t xml:space="preserve"> group, </w:t>
      </w:r>
      <w:proofErr w:type="spellStart"/>
      <w:r>
        <w:t>WT+CUR@ZnBTC</w:t>
      </w:r>
      <w:proofErr w:type="spellEnd"/>
      <w:r>
        <w:t xml:space="preserve"> group, WT group, a total of 9 groups. The whole treatment process consisted of 30 days and 3 phases, with the first 3 days and the last 7 days as the monitoring period, and the middle 20 days of gavage treatment (200 </w:t>
      </w:r>
      <w:proofErr w:type="spellStart"/>
      <w:r>
        <w:t>μ</w:t>
      </w:r>
      <w:r>
        <w:rPr>
          <w:rFonts w:hint="eastAsia"/>
        </w:rPr>
        <w:t>L</w:t>
      </w:r>
      <w:proofErr w:type="spellEnd"/>
      <w:proofErr w:type="gramStart"/>
      <w:r>
        <w:t>).Before</w:t>
      </w:r>
      <w:proofErr w:type="gramEnd"/>
      <w:r>
        <w:t xml:space="preserve"> gavage, the materials were ultrasonically crushed, and the mice were given pure water containing </w:t>
      </w:r>
      <w:proofErr w:type="spellStart"/>
      <w:r>
        <w:t>ZnBTC</w:t>
      </w:r>
      <w:proofErr w:type="spellEnd"/>
      <w:r>
        <w:t xml:space="preserve"> (2 mg/each), CUR (1 mg/each), and </w:t>
      </w:r>
      <w:proofErr w:type="spellStart"/>
      <w:r>
        <w:t>CUR@ZnBTC</w:t>
      </w:r>
      <w:proofErr w:type="spellEnd"/>
      <w:r>
        <w:t xml:space="preserve"> (0.5 mg/each, 1 mg/each, and 2 mg/each) every two days. </w:t>
      </w:r>
      <w:proofErr w:type="spellStart"/>
      <w:r>
        <w:t>Behaviour</w:t>
      </w:r>
      <w:proofErr w:type="spellEnd"/>
      <w:r>
        <w:t xml:space="preserve"> was tested every three days. Body weight changes of 5xFAD mice were measured daily throughout the treatment period.</w:t>
      </w:r>
    </w:p>
    <w:p w14:paraId="5C7EF7EA" w14:textId="731A4B05" w:rsidR="006B0EE7" w:rsidRPr="00C6780B" w:rsidRDefault="00C6780B" w:rsidP="00C6780B">
      <w:pPr>
        <w:jc w:val="both"/>
        <w:rPr>
          <w:b/>
          <w:bCs/>
        </w:rPr>
      </w:pPr>
      <w:r w:rsidRPr="00C6780B">
        <w:rPr>
          <w:rFonts w:hint="eastAsia"/>
          <w:b/>
          <w:bCs/>
        </w:rPr>
        <w:t xml:space="preserve">(2) </w:t>
      </w:r>
      <w:proofErr w:type="spellStart"/>
      <w:r w:rsidR="00000000" w:rsidRPr="00C6780B">
        <w:rPr>
          <w:b/>
          <w:bCs/>
        </w:rPr>
        <w:t>Behavioural</w:t>
      </w:r>
      <w:proofErr w:type="spellEnd"/>
      <w:r w:rsidR="00000000" w:rsidRPr="00C6780B">
        <w:rPr>
          <w:b/>
          <w:bCs/>
        </w:rPr>
        <w:t xml:space="preserve"> Tests</w:t>
      </w:r>
    </w:p>
    <w:p w14:paraId="0DF9BA9B" w14:textId="77777777" w:rsidR="006B0EE7" w:rsidRDefault="00000000" w:rsidP="00C6780B">
      <w:pPr>
        <w:jc w:val="both"/>
      </w:pPr>
      <w:r>
        <w:rPr>
          <w:b/>
          <w:bCs/>
        </w:rPr>
        <w:t>Rotating rod test:</w:t>
      </w:r>
      <w:r>
        <w:t xml:space="preserve"> ZH-600B rotating rod fatigue meter (purchased from Anhui Zhenghua Bio-Instrument and Equipment Co., Ltd.) Rotating rod dimensions: the diameter of the rotating rod is about 3 cm, made of hard plastic material; the width of the channel is about 8 cm. The device must allow acceleration from 5rpm to 60rpm in 360 s. Place the mouse on the channel and try to get the mouse on the rod to walk forward to maintain balance. The rod is initially rotated at a constant speed </w:t>
      </w:r>
      <w:r>
        <w:lastRenderedPageBreak/>
        <w:t>of 4rpm to allow all mice to be positioned in their respective channels. Once all mice are "ready" (i.e., check that they can walk forward at 5 rpm for a few seconds), press the Start (Strat) button and the bar accelerates from 5 rpm to 60 rpm in 360 s. The time spent on the bar and the falling speed of each mouse are automatically recorded by the rotator throughout the experiment.</w:t>
      </w:r>
    </w:p>
    <w:p w14:paraId="407883AE" w14:textId="77777777" w:rsidR="006B0EE7" w:rsidRDefault="00000000" w:rsidP="00C6780B">
      <w:pPr>
        <w:jc w:val="both"/>
      </w:pPr>
      <w:r>
        <w:rPr>
          <w:b/>
          <w:bCs/>
        </w:rPr>
        <w:t xml:space="preserve">Grip </w:t>
      </w:r>
      <w:r>
        <w:rPr>
          <w:rFonts w:hint="eastAsia"/>
          <w:b/>
          <w:bCs/>
        </w:rPr>
        <w:t>t</w:t>
      </w:r>
      <w:r>
        <w:rPr>
          <w:b/>
          <w:bCs/>
        </w:rPr>
        <w:t>est:</w:t>
      </w:r>
      <w:r>
        <w:t xml:space="preserve"> YLS-13A Mouse Grip Tester (purchased from Shanghai Yuyan Technology Co., Ltd.) Mouse Forelimb Grip Test: Place the experimental mice on the Grip Tester, gently pull the tails of the experimental mice, so that the forelimbs of the mice grasp the probe with all their might. When the experimenter exerts the maximum force on the mouse, record the reading on the grasping force meter. Repeat the measurement several times to ensure the result.</w:t>
      </w:r>
    </w:p>
    <w:p w14:paraId="6A608CF7" w14:textId="77777777" w:rsidR="006B0EE7" w:rsidRDefault="00000000" w:rsidP="00C6780B">
      <w:pPr>
        <w:jc w:val="both"/>
      </w:pPr>
      <w:r>
        <w:rPr>
          <w:b/>
          <w:bCs/>
        </w:rPr>
        <w:t xml:space="preserve">Tail suspension test: </w:t>
      </w:r>
      <w:r>
        <w:t>Make your own tail suspension device. Tape for suspension should be securely attached to the mouse's tail and suspension rod; the tape should not be too sticky as it will be removed from the tail at the end of the experiment. The tape should be uniform in size, 17 cm in length and marked 2 cm from one end. This 2 cm section is used to attach the tape to the tail, while the remaining 15 cm is used to suspend the mouse; the tape should be applied to the caudal end of the tail, leaving a distance of 2-3 mm at the end. Small movements involving only the forelimbs but not the hindlimbs were analysed as immobility; oscillations due to inertia were judged as immobility. The experiment lasted 6 minutes, with the duration of struggle recorded in the last 4 minutes.</w:t>
      </w:r>
    </w:p>
    <w:p w14:paraId="55F0B598" w14:textId="77777777" w:rsidR="00C6780B" w:rsidRDefault="00C6780B" w:rsidP="00C6780B">
      <w:pPr>
        <w:jc w:val="both"/>
        <w:rPr>
          <w:b/>
          <w:bCs/>
        </w:rPr>
      </w:pPr>
    </w:p>
    <w:p w14:paraId="150CC902" w14:textId="6C8F710B" w:rsidR="006B0EE7" w:rsidRPr="00C6780B" w:rsidRDefault="00C6780B" w:rsidP="00C6780B">
      <w:pPr>
        <w:jc w:val="both"/>
        <w:rPr>
          <w:b/>
          <w:bCs/>
        </w:rPr>
      </w:pPr>
      <w:r w:rsidRPr="00C6780B">
        <w:rPr>
          <w:rFonts w:hint="eastAsia"/>
          <w:b/>
          <w:bCs/>
        </w:rPr>
        <w:t xml:space="preserve">5. </w:t>
      </w:r>
      <w:r w:rsidR="00000000" w:rsidRPr="00C6780B">
        <w:rPr>
          <w:b/>
          <w:bCs/>
        </w:rPr>
        <w:t>Histopathological analysis</w:t>
      </w:r>
    </w:p>
    <w:p w14:paraId="26880D12" w14:textId="77777777" w:rsidR="006B0EE7" w:rsidRDefault="00000000" w:rsidP="00C6780B">
      <w:pPr>
        <w:jc w:val="both"/>
      </w:pPr>
      <w:r>
        <w:t>Tissues were washed in pre-cooled PBS and then fixed in paraformaldehyde (4%) for 48 hours. The specimens were then dehydrated in ethanol, paraffin embedded and cut into thick sections for histological analysis. Sections were stained with hematoxylin and eosin (H&amp;E) and observed with a light microscope. Detection of Aβ level in brain:Immunohistochemical method was used to determine the Aβ level in the brain tissue of mice respectively.</w:t>
      </w:r>
    </w:p>
    <w:p w14:paraId="2CFCAB53" w14:textId="77777777" w:rsidR="00C6780B" w:rsidRDefault="00C6780B" w:rsidP="00C6780B">
      <w:pPr>
        <w:jc w:val="both"/>
        <w:rPr>
          <w:b/>
          <w:bCs/>
        </w:rPr>
      </w:pPr>
    </w:p>
    <w:p w14:paraId="4C6A3FFC" w14:textId="24B41E57" w:rsidR="006B0EE7" w:rsidRPr="00C6780B" w:rsidRDefault="00C6780B" w:rsidP="00C6780B">
      <w:pPr>
        <w:jc w:val="both"/>
        <w:rPr>
          <w:b/>
          <w:bCs/>
        </w:rPr>
      </w:pPr>
      <w:r w:rsidRPr="00C6780B">
        <w:rPr>
          <w:rFonts w:hint="eastAsia"/>
          <w:b/>
          <w:bCs/>
        </w:rPr>
        <w:t xml:space="preserve">6. </w:t>
      </w:r>
      <w:r w:rsidR="00000000" w:rsidRPr="00C6780B">
        <w:rPr>
          <w:b/>
          <w:bCs/>
        </w:rPr>
        <w:t>Statistical analysis</w:t>
      </w:r>
    </w:p>
    <w:p w14:paraId="23257539" w14:textId="77777777" w:rsidR="006B0EE7" w:rsidRDefault="00000000" w:rsidP="00C6780B">
      <w:pPr>
        <w:jc w:val="both"/>
      </w:pPr>
      <w:r>
        <w:t>All experimental data were expressed as mean ± standard deviation (SD). One-way analysis of variance (ANOVA) was used to analyse the significance between groups. Significant differences of data were analysed by *p&lt;0.05, **p&lt;0.01 and ***p&lt;0.001.</w:t>
      </w:r>
    </w:p>
    <w:p w14:paraId="25E1C558" w14:textId="77777777" w:rsidR="00C6780B" w:rsidRDefault="00C6780B" w:rsidP="00C6780B">
      <w:pPr>
        <w:jc w:val="both"/>
      </w:pPr>
    </w:p>
    <w:p w14:paraId="27F0CFE6" w14:textId="24839956" w:rsidR="006B0EE7" w:rsidRDefault="00000000" w:rsidP="00C6780B">
      <w:r>
        <w:rPr>
          <w:rFonts w:hint="eastAsia"/>
          <w:noProof/>
        </w:rPr>
        <w:lastRenderedPageBreak/>
        <w:drawing>
          <wp:inline distT="0" distB="0" distL="114300" distR="114300" wp14:anchorId="77C32752" wp14:editId="14C85A2C">
            <wp:extent cx="4503420" cy="3678555"/>
            <wp:effectExtent l="0" t="0" r="5080" b="4445"/>
            <wp:docPr id="2" name="图片 2" descr="标准曲线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标准曲线改"/>
                    <pic:cNvPicPr>
                      <a:picLocks noChangeAspect="1"/>
                    </pic:cNvPicPr>
                  </pic:nvPicPr>
                  <pic:blipFill>
                    <a:blip r:embed="rId15"/>
                    <a:srcRect l="3660" t="8843" r="10945"/>
                    <a:stretch>
                      <a:fillRect/>
                    </a:stretch>
                  </pic:blipFill>
                  <pic:spPr>
                    <a:xfrm>
                      <a:off x="0" y="0"/>
                      <a:ext cx="4503420" cy="3678555"/>
                    </a:xfrm>
                    <a:prstGeom prst="rect">
                      <a:avLst/>
                    </a:prstGeom>
                  </pic:spPr>
                </pic:pic>
              </a:graphicData>
            </a:graphic>
          </wp:inline>
        </w:drawing>
      </w:r>
    </w:p>
    <w:p w14:paraId="5C646752" w14:textId="77777777" w:rsidR="006B0EE7" w:rsidRDefault="00000000" w:rsidP="00C6780B">
      <w:r>
        <w:rPr>
          <w:rFonts w:hint="eastAsia"/>
        </w:rPr>
        <w:t xml:space="preserve">Fig. S1 </w:t>
      </w:r>
      <w:r>
        <w:t>Calibration plot of standard Curcumin in absolute ethanol obtained by UV</w:t>
      </w:r>
      <w:r>
        <w:rPr>
          <w:rFonts w:hint="eastAsia"/>
        </w:rPr>
        <w:t>-</w:t>
      </w:r>
      <w:r>
        <w:t>Vis spectrophotometer at 425 nm.</w:t>
      </w:r>
    </w:p>
    <w:p w14:paraId="12DC9A8B" w14:textId="77777777" w:rsidR="006B0EE7" w:rsidRDefault="006B0EE7" w:rsidP="00C6780B"/>
    <w:p w14:paraId="34219399" w14:textId="77777777" w:rsidR="006B0EE7" w:rsidRDefault="006B0EE7" w:rsidP="00C6780B"/>
    <w:p w14:paraId="07282AE7" w14:textId="77777777" w:rsidR="006B0EE7" w:rsidRDefault="00000000" w:rsidP="00C6780B">
      <w:r>
        <w:rPr>
          <w:rFonts w:hint="eastAsia"/>
          <w:noProof/>
        </w:rPr>
        <w:drawing>
          <wp:inline distT="0" distB="0" distL="114300" distR="114300" wp14:anchorId="6537F451" wp14:editId="2EA4B951">
            <wp:extent cx="4814570" cy="3585845"/>
            <wp:effectExtent l="0" t="0" r="0" b="0"/>
            <wp:docPr id="9" name="图片 9" descr="拼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拼图"/>
                    <pic:cNvPicPr>
                      <a:picLocks noChangeAspect="1"/>
                    </pic:cNvPicPr>
                  </pic:nvPicPr>
                  <pic:blipFill>
                    <a:blip r:embed="rId16"/>
                    <a:srcRect l="5664" t="4977" r="2965" b="26970"/>
                    <a:stretch>
                      <a:fillRect/>
                    </a:stretch>
                  </pic:blipFill>
                  <pic:spPr>
                    <a:xfrm>
                      <a:off x="0" y="0"/>
                      <a:ext cx="4814570" cy="3585845"/>
                    </a:xfrm>
                    <a:prstGeom prst="rect">
                      <a:avLst/>
                    </a:prstGeom>
                  </pic:spPr>
                </pic:pic>
              </a:graphicData>
            </a:graphic>
          </wp:inline>
        </w:drawing>
      </w:r>
    </w:p>
    <w:p w14:paraId="2B029CFC" w14:textId="77777777" w:rsidR="006B0EE7" w:rsidRDefault="00000000" w:rsidP="00C6780B">
      <w:r>
        <w:rPr>
          <w:rFonts w:hint="eastAsia"/>
        </w:rPr>
        <w:lastRenderedPageBreak/>
        <w:t>Fig. S2 Morphology of materials. a,b) SEM for ZnBTC and CUR@ZnBTC. c,d) TEM for ZnBTC and CUR@ZnBTC.</w:t>
      </w:r>
      <w:r>
        <w:br w:type="page"/>
      </w:r>
    </w:p>
    <w:p w14:paraId="1E4D4AD0" w14:textId="77777777" w:rsidR="006B0EE7" w:rsidRDefault="00000000" w:rsidP="00C6780B">
      <w:r>
        <w:rPr>
          <w:rFonts w:hint="eastAsia"/>
          <w:noProof/>
        </w:rPr>
        <w:lastRenderedPageBreak/>
        <w:drawing>
          <wp:inline distT="0" distB="0" distL="114300" distR="114300" wp14:anchorId="006635DE" wp14:editId="6C2D262A">
            <wp:extent cx="5427345" cy="2335530"/>
            <wp:effectExtent l="0" t="0" r="8255" b="1270"/>
            <wp:docPr id="4" name="图片 4" descr="红外拼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红外拼图"/>
                    <pic:cNvPicPr>
                      <a:picLocks noChangeAspect="1"/>
                    </pic:cNvPicPr>
                  </pic:nvPicPr>
                  <pic:blipFill>
                    <a:blip r:embed="rId17"/>
                    <a:srcRect l="5411" t="12160" r="4712" b="49156"/>
                    <a:stretch>
                      <a:fillRect/>
                    </a:stretch>
                  </pic:blipFill>
                  <pic:spPr>
                    <a:xfrm>
                      <a:off x="0" y="0"/>
                      <a:ext cx="5427345" cy="2335530"/>
                    </a:xfrm>
                    <a:prstGeom prst="rect">
                      <a:avLst/>
                    </a:prstGeom>
                  </pic:spPr>
                </pic:pic>
              </a:graphicData>
            </a:graphic>
          </wp:inline>
        </w:drawing>
      </w:r>
    </w:p>
    <w:p w14:paraId="163BCA2F" w14:textId="77777777" w:rsidR="006B0EE7" w:rsidRDefault="00000000" w:rsidP="00C6780B">
      <w:pPr>
        <w:jc w:val="both"/>
      </w:pPr>
      <w:r>
        <w:rPr>
          <w:rFonts w:hint="eastAsia"/>
        </w:rPr>
        <w:t xml:space="preserve">Fig.S3 </w:t>
      </w:r>
      <w:r>
        <w:t>FTIR spectra</w:t>
      </w:r>
      <w:r>
        <w:rPr>
          <w:rFonts w:hint="eastAsia"/>
        </w:rPr>
        <w:t>:H</w:t>
      </w:r>
      <w:r>
        <w:rPr>
          <w:rFonts w:hint="eastAsia"/>
          <w:vertAlign w:val="subscript"/>
        </w:rPr>
        <w:t>3</w:t>
      </w:r>
      <w:r>
        <w:rPr>
          <w:rFonts w:hint="eastAsia"/>
        </w:rPr>
        <w:t>BTC(</w:t>
      </w:r>
      <w:r>
        <w:t xml:space="preserve">black); </w:t>
      </w:r>
      <w:r>
        <w:rPr>
          <w:rFonts w:hint="eastAsia"/>
        </w:rPr>
        <w:t>ZnBTC</w:t>
      </w:r>
      <w:r>
        <w:t>(red);</w:t>
      </w:r>
      <w:r>
        <w:rPr>
          <w:rFonts w:hint="eastAsia"/>
        </w:rPr>
        <w:t xml:space="preserve"> CUR@ZnBTC</w:t>
      </w:r>
      <w:r>
        <w:t>(blue)</w:t>
      </w:r>
      <w:r>
        <w:rPr>
          <w:rFonts w:hint="eastAsia"/>
        </w:rPr>
        <w:t>; CUR(green)</w:t>
      </w:r>
      <w:r>
        <w:t>.</w:t>
      </w:r>
    </w:p>
    <w:p w14:paraId="0EC81E88" w14:textId="77777777" w:rsidR="006B0EE7" w:rsidRDefault="00000000" w:rsidP="00C6780B">
      <w:pPr>
        <w:jc w:val="both"/>
      </w:pPr>
      <w:r>
        <w:rPr>
          <w:rFonts w:hint="eastAsia"/>
        </w:rPr>
        <w:t>The FT-IR spectra of H3BTC, ZnBTC, CUR@ZnBTC and CUR are shown in Fig. S4.The broad absorption bands of H3BTC at 3500-2400 cm</w:t>
      </w:r>
      <w:r>
        <w:rPr>
          <w:rFonts w:hint="eastAsia"/>
          <w:vertAlign w:val="superscript"/>
        </w:rPr>
        <w:t>-1</w:t>
      </w:r>
      <w:r>
        <w:rPr>
          <w:rFonts w:hint="eastAsia"/>
        </w:rPr>
        <w:t xml:space="preserve"> are caused by the stretching vibration of OH</w:t>
      </w:r>
      <w:r>
        <w:rPr>
          <w:rFonts w:hint="eastAsia"/>
          <w:vertAlign w:val="superscript"/>
        </w:rPr>
        <w:t>-</w:t>
      </w:r>
      <w:r>
        <w:rPr>
          <w:rFonts w:hint="eastAsia"/>
        </w:rPr>
        <w:t>, whereas those of ZnBTC disappear due to the binding of Zn</w:t>
      </w:r>
      <w:r>
        <w:rPr>
          <w:rFonts w:hint="eastAsia"/>
          <w:vertAlign w:val="superscript"/>
        </w:rPr>
        <w:t>2+</w:t>
      </w:r>
      <w:r>
        <w:rPr>
          <w:rFonts w:hint="eastAsia"/>
        </w:rPr>
        <w:t xml:space="preserve"> to the hydroxyl group.The broad absorption bands of ZnBTC at 1700, 1269 cm</w:t>
      </w:r>
      <w:r>
        <w:rPr>
          <w:rFonts w:hint="eastAsia"/>
          <w:vertAlign w:val="superscript"/>
        </w:rPr>
        <w:t>-1</w:t>
      </w:r>
      <w:r>
        <w:rPr>
          <w:rFonts w:hint="eastAsia"/>
        </w:rPr>
        <w:t xml:space="preserve"> are also not observed The peak corresponding to the protonated carboxyl group of H</w:t>
      </w:r>
      <w:r>
        <w:rPr>
          <w:rFonts w:hint="eastAsia"/>
          <w:vertAlign w:val="subscript"/>
        </w:rPr>
        <w:t>3</w:t>
      </w:r>
      <w:r>
        <w:rPr>
          <w:rFonts w:hint="eastAsia"/>
        </w:rPr>
        <w:t>BTC was observed, indicating that H</w:t>
      </w:r>
      <w:r>
        <w:rPr>
          <w:rFonts w:hint="eastAsia"/>
          <w:vertAlign w:val="subscript"/>
        </w:rPr>
        <w:t>3</w:t>
      </w:r>
      <w:r>
        <w:rPr>
          <w:rFonts w:hint="eastAsia"/>
        </w:rPr>
        <w:t>BTC was completely deprotonated to form a bridging ligand for ZnBTC. The most significant peaks of synthetic ZnBTC at 1445 cm</w:t>
      </w:r>
      <w:r>
        <w:rPr>
          <w:rFonts w:hint="eastAsia"/>
          <w:vertAlign w:val="superscript"/>
        </w:rPr>
        <w:t>-1</w:t>
      </w:r>
      <w:r>
        <w:rPr>
          <w:rFonts w:hint="eastAsia"/>
        </w:rPr>
        <w:t>, 1578 cm</w:t>
      </w:r>
      <w:r>
        <w:rPr>
          <w:rFonts w:hint="eastAsia"/>
          <w:vertAlign w:val="superscript"/>
        </w:rPr>
        <w:t>-1</w:t>
      </w:r>
      <w:r>
        <w:rPr>
          <w:rFonts w:hint="eastAsia"/>
        </w:rPr>
        <w:t xml:space="preserve"> and 1628 cm</w:t>
      </w:r>
      <w:r>
        <w:rPr>
          <w:rFonts w:hint="eastAsia"/>
          <w:vertAlign w:val="superscript"/>
        </w:rPr>
        <w:t>-1</w:t>
      </w:r>
      <w:r>
        <w:rPr>
          <w:rFonts w:hint="eastAsia"/>
        </w:rPr>
        <w:t xml:space="preserve"> are the stretched C-O and C=O vibrational frequencies, respectively, indicating the presence of carboxylic acid group. The presence of aromatic hydrocarbon benzene ring can be confirmed in the absorption band below 1300 cm</w:t>
      </w:r>
      <w:r>
        <w:rPr>
          <w:rFonts w:hint="eastAsia"/>
          <w:vertAlign w:val="superscript"/>
        </w:rPr>
        <w:t>-1</w:t>
      </w:r>
      <w:r>
        <w:rPr>
          <w:rFonts w:hint="eastAsia"/>
        </w:rPr>
        <w:t>. The absence of peaks at 1720~1680 cm</w:t>
      </w:r>
      <w:r>
        <w:rPr>
          <w:rFonts w:hint="eastAsia"/>
          <w:vertAlign w:val="superscript"/>
        </w:rPr>
        <w:t>-1</w:t>
      </w:r>
      <w:r>
        <w:rPr>
          <w:rFonts w:hint="eastAsia"/>
        </w:rPr>
        <w:t xml:space="preserve"> indicates deprotonation of acidic COOH. In the CUR spectrum, the band at 3510cm</w:t>
      </w:r>
      <w:r>
        <w:rPr>
          <w:rFonts w:hint="eastAsia"/>
          <w:vertAlign w:val="superscript"/>
        </w:rPr>
        <w:t>-1</w:t>
      </w:r>
      <w:r>
        <w:rPr>
          <w:rFonts w:hint="eastAsia"/>
        </w:rPr>
        <w:t xml:space="preserve"> represents the O-H vibration of the phenol group. The other characteristic peaks are 1630 cm</w:t>
      </w:r>
      <w:r>
        <w:rPr>
          <w:rFonts w:hint="eastAsia"/>
          <w:vertAlign w:val="superscript"/>
        </w:rPr>
        <w:t>-1</w:t>
      </w:r>
      <w:r>
        <w:rPr>
          <w:rFonts w:hint="eastAsia"/>
        </w:rPr>
        <w:t xml:space="preserve"> (C=C vibration), 1602 cm</w:t>
      </w:r>
      <w:r>
        <w:rPr>
          <w:rFonts w:hint="eastAsia"/>
          <w:vertAlign w:val="superscript"/>
        </w:rPr>
        <w:t>-1</w:t>
      </w:r>
      <w:r>
        <w:rPr>
          <w:rFonts w:hint="eastAsia"/>
        </w:rPr>
        <w:t xml:space="preserve"> (benzene ring stretching vibration), 1505 cm</w:t>
      </w:r>
      <w:r>
        <w:rPr>
          <w:rFonts w:hint="eastAsia"/>
          <w:vertAlign w:val="superscript"/>
        </w:rPr>
        <w:t>-1</w:t>
      </w:r>
      <w:r>
        <w:rPr>
          <w:rFonts w:hint="eastAsia"/>
        </w:rPr>
        <w:t xml:space="preserve"> (C=O vibration), 1429 cm</w:t>
      </w:r>
      <w:r>
        <w:rPr>
          <w:rFonts w:hint="eastAsia"/>
          <w:vertAlign w:val="superscript"/>
        </w:rPr>
        <w:t>-1</w:t>
      </w:r>
      <w:r>
        <w:rPr>
          <w:rFonts w:hint="eastAsia"/>
        </w:rPr>
        <w:t xml:space="preserve"> (olefin C-H bending vibration), 1280 cm</w:t>
      </w:r>
      <w:r>
        <w:rPr>
          <w:rFonts w:hint="eastAsia"/>
          <w:vertAlign w:val="superscript"/>
        </w:rPr>
        <w:t>-1</w:t>
      </w:r>
      <w:r>
        <w:rPr>
          <w:rFonts w:hint="eastAsia"/>
        </w:rPr>
        <w:t xml:space="preserve"> (aryl C-O stretching vibration), and 1029 cm</w:t>
      </w:r>
      <w:r>
        <w:rPr>
          <w:rFonts w:hint="eastAsia"/>
          <w:vertAlign w:val="superscript"/>
        </w:rPr>
        <w:t>-1</w:t>
      </w:r>
      <w:r>
        <w:rPr>
          <w:rFonts w:hint="eastAsia"/>
        </w:rPr>
        <w:t xml:space="preserve"> (C-O-C stretching vibration).The comparison of CUR@ZnBTC and ZnBTC spectra comparison showed that the CUR@ZnBTC spectra had three signals at 1505 cm</w:t>
      </w:r>
      <w:r>
        <w:rPr>
          <w:rFonts w:hint="eastAsia"/>
          <w:vertAlign w:val="superscript"/>
        </w:rPr>
        <w:t>-1</w:t>
      </w:r>
      <w:r>
        <w:rPr>
          <w:rFonts w:hint="eastAsia"/>
        </w:rPr>
        <w:t>, 1630 cm</w:t>
      </w:r>
      <w:r>
        <w:rPr>
          <w:rFonts w:hint="eastAsia"/>
          <w:vertAlign w:val="superscript"/>
        </w:rPr>
        <w:t>-1</w:t>
      </w:r>
      <w:r>
        <w:rPr>
          <w:rFonts w:hint="eastAsia"/>
        </w:rPr>
        <w:t xml:space="preserve"> and 3530 cm</w:t>
      </w:r>
      <w:r>
        <w:rPr>
          <w:rFonts w:hint="eastAsia"/>
          <w:vertAlign w:val="superscript"/>
        </w:rPr>
        <w:t>-1</w:t>
      </w:r>
      <w:r>
        <w:rPr>
          <w:rFonts w:hint="eastAsia"/>
        </w:rPr>
        <w:t xml:space="preserve"> , which corresponded to the C=O, C=C and O-H functional groups of CUR, respectively.The FT-IR spectral results confirmed the presence of CUR in the CUR@ZnBTC samples.</w:t>
      </w:r>
    </w:p>
    <w:p w14:paraId="2E47F663" w14:textId="77777777" w:rsidR="006B0EE7" w:rsidRDefault="00000000" w:rsidP="00C6780B">
      <w:r>
        <w:rPr>
          <w:rFonts w:hint="eastAsia"/>
          <w:noProof/>
        </w:rPr>
        <w:lastRenderedPageBreak/>
        <w:drawing>
          <wp:inline distT="0" distB="0" distL="114300" distR="114300" wp14:anchorId="1B1E1305" wp14:editId="6BCC6F1F">
            <wp:extent cx="4624070" cy="3735070"/>
            <wp:effectExtent l="0" t="0" r="11430" b="11430"/>
            <wp:docPr id="5" name="图片 5" descr="固体紫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固体紫外"/>
                    <pic:cNvPicPr>
                      <a:picLocks noChangeAspect="1"/>
                    </pic:cNvPicPr>
                  </pic:nvPicPr>
                  <pic:blipFill>
                    <a:blip r:embed="rId18"/>
                    <a:srcRect l="3552" t="7443" r="8766"/>
                    <a:stretch>
                      <a:fillRect/>
                    </a:stretch>
                  </pic:blipFill>
                  <pic:spPr>
                    <a:xfrm>
                      <a:off x="0" y="0"/>
                      <a:ext cx="4624070" cy="3735070"/>
                    </a:xfrm>
                    <a:prstGeom prst="rect">
                      <a:avLst/>
                    </a:prstGeom>
                  </pic:spPr>
                </pic:pic>
              </a:graphicData>
            </a:graphic>
          </wp:inline>
        </w:drawing>
      </w:r>
    </w:p>
    <w:p w14:paraId="19C40989" w14:textId="77777777" w:rsidR="006B0EE7" w:rsidRDefault="00000000" w:rsidP="00C6780B">
      <w:r>
        <w:rPr>
          <w:rFonts w:hint="eastAsia"/>
        </w:rPr>
        <w:t>Fig. S4 UV/Vis spectrum of the solid of materials.</w:t>
      </w:r>
    </w:p>
    <w:p w14:paraId="353390D5" w14:textId="77777777" w:rsidR="00C6780B" w:rsidRDefault="00C6780B" w:rsidP="00C6780B"/>
    <w:p w14:paraId="676E2AFC" w14:textId="77777777" w:rsidR="00C6780B" w:rsidRDefault="00C6780B" w:rsidP="00C6780B">
      <w:pPr>
        <w:rPr>
          <w:rFonts w:hint="eastAsia"/>
        </w:rPr>
      </w:pPr>
    </w:p>
    <w:p w14:paraId="10AE90E2" w14:textId="77777777" w:rsidR="006B0EE7" w:rsidRDefault="00000000" w:rsidP="00C6780B">
      <w:r>
        <w:rPr>
          <w:noProof/>
        </w:rPr>
        <w:drawing>
          <wp:inline distT="0" distB="0" distL="114300" distR="114300" wp14:anchorId="1CCFDCF8" wp14:editId="6D5CCE5D">
            <wp:extent cx="5110480" cy="4130675"/>
            <wp:effectExtent l="0" t="0" r="7620" b="9525"/>
            <wp:docPr id="3" name="图片 3" descr="释放50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释放50h"/>
                    <pic:cNvPicPr>
                      <a:picLocks noChangeAspect="1"/>
                    </pic:cNvPicPr>
                  </pic:nvPicPr>
                  <pic:blipFill>
                    <a:blip r:embed="rId19"/>
                    <a:srcRect l="2613" t="7884" r="10175"/>
                    <a:stretch>
                      <a:fillRect/>
                    </a:stretch>
                  </pic:blipFill>
                  <pic:spPr>
                    <a:xfrm>
                      <a:off x="0" y="0"/>
                      <a:ext cx="5110480" cy="4130675"/>
                    </a:xfrm>
                    <a:prstGeom prst="rect">
                      <a:avLst/>
                    </a:prstGeom>
                  </pic:spPr>
                </pic:pic>
              </a:graphicData>
            </a:graphic>
          </wp:inline>
        </w:drawing>
      </w:r>
    </w:p>
    <w:p w14:paraId="13F8E5DA" w14:textId="638DF8DA" w:rsidR="006B0EE7" w:rsidRDefault="00000000" w:rsidP="00C6780B">
      <w:pPr>
        <w:rPr>
          <w:szCs w:val="21"/>
        </w:rPr>
      </w:pPr>
      <w:r>
        <w:rPr>
          <w:rFonts w:hint="eastAsia"/>
        </w:rPr>
        <w:lastRenderedPageBreak/>
        <w:t xml:space="preserve">Fig. S5 Release curves of CUR at different </w:t>
      </w:r>
      <w:proofErr w:type="spellStart"/>
      <w:r>
        <w:rPr>
          <w:rFonts w:hint="eastAsia"/>
        </w:rPr>
        <w:t>pH.</w:t>
      </w:r>
      <w:proofErr w:type="spellEnd"/>
      <w:r w:rsidR="00F40E27">
        <w:rPr>
          <w:rFonts w:hint="eastAsia"/>
        </w:rPr>
        <w:t xml:space="preserve"> </w:t>
      </w:r>
      <w:proofErr w:type="gramStart"/>
      <w:r>
        <w:rPr>
          <w:rFonts w:hint="eastAsia"/>
        </w:rPr>
        <w:t>(</w:t>
      </w:r>
      <w:proofErr w:type="gramEnd"/>
      <w:r>
        <w:rPr>
          <w:rFonts w:hint="eastAsia"/>
        </w:rPr>
        <w:t>Black, red, Blue, green, purple respectively correspond to pH: 5.5; 6.5; 7.4; 9; 10.)</w:t>
      </w:r>
    </w:p>
    <w:p w14:paraId="3D2566BC" w14:textId="77777777" w:rsidR="00C6780B" w:rsidRDefault="00C6780B" w:rsidP="00C6780B">
      <w:pPr>
        <w:rPr>
          <w:szCs w:val="21"/>
        </w:rPr>
      </w:pPr>
    </w:p>
    <w:p w14:paraId="46BC6914" w14:textId="77777777" w:rsidR="00C6780B" w:rsidRDefault="00C6780B" w:rsidP="00C6780B">
      <w:pPr>
        <w:rPr>
          <w:rFonts w:hint="eastAsia"/>
          <w:szCs w:val="21"/>
        </w:rPr>
      </w:pPr>
    </w:p>
    <w:p w14:paraId="4E969511" w14:textId="77777777" w:rsidR="006B0EE7" w:rsidRDefault="00000000" w:rsidP="00C6780B">
      <w:pPr>
        <w:rPr>
          <w:szCs w:val="21"/>
        </w:rPr>
      </w:pPr>
      <w:r>
        <w:rPr>
          <w:rFonts w:hint="eastAsia"/>
          <w:noProof/>
        </w:rPr>
        <w:drawing>
          <wp:inline distT="0" distB="0" distL="114300" distR="114300" wp14:anchorId="1C65AF70" wp14:editId="040813AA">
            <wp:extent cx="5255895" cy="2060575"/>
            <wp:effectExtent l="0" t="0" r="1905" b="9525"/>
            <wp:docPr id="6" name="图片 6" descr="溶血实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溶血实验"/>
                    <pic:cNvPicPr>
                      <a:picLocks noChangeAspect="1"/>
                    </pic:cNvPicPr>
                  </pic:nvPicPr>
                  <pic:blipFill>
                    <a:blip r:embed="rId20"/>
                    <a:srcRect t="27878" b="19800"/>
                    <a:stretch>
                      <a:fillRect/>
                    </a:stretch>
                  </pic:blipFill>
                  <pic:spPr>
                    <a:xfrm>
                      <a:off x="0" y="0"/>
                      <a:ext cx="5255895" cy="2060575"/>
                    </a:xfrm>
                    <a:prstGeom prst="rect">
                      <a:avLst/>
                    </a:prstGeom>
                  </pic:spPr>
                </pic:pic>
              </a:graphicData>
            </a:graphic>
          </wp:inline>
        </w:drawing>
      </w:r>
    </w:p>
    <w:p w14:paraId="01E181D9" w14:textId="77777777" w:rsidR="006B0EE7" w:rsidRDefault="00000000" w:rsidP="00C6780B">
      <w:r>
        <w:rPr>
          <w:rFonts w:hint="eastAsia"/>
        </w:rPr>
        <w:t>Fig. S6  Hemolysis of CUR@ZnBTC at different concentrations.</w:t>
      </w:r>
    </w:p>
    <w:p w14:paraId="433F1F0C" w14:textId="77777777" w:rsidR="006B0EE7" w:rsidRDefault="00000000" w:rsidP="00C6780B">
      <w:r>
        <w:br w:type="page"/>
      </w:r>
    </w:p>
    <w:p w14:paraId="6796F88F" w14:textId="77777777" w:rsidR="006B0EE7" w:rsidRDefault="00000000" w:rsidP="00C6780B">
      <w:r>
        <w:rPr>
          <w:noProof/>
        </w:rPr>
        <w:lastRenderedPageBreak/>
        <w:drawing>
          <wp:inline distT="0" distB="0" distL="114300" distR="114300" wp14:anchorId="44E7082C" wp14:editId="6E31484A">
            <wp:extent cx="5189855" cy="5989320"/>
            <wp:effectExtent l="0" t="0" r="4445" b="5080"/>
            <wp:docPr id="7" name="图片 7" descr="脑HE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脑HE新"/>
                    <pic:cNvPicPr>
                      <a:picLocks noChangeAspect="1"/>
                    </pic:cNvPicPr>
                  </pic:nvPicPr>
                  <pic:blipFill>
                    <a:blip r:embed="rId21"/>
                    <a:srcRect l="4098" r="12370" b="43768"/>
                    <a:stretch>
                      <a:fillRect/>
                    </a:stretch>
                  </pic:blipFill>
                  <pic:spPr>
                    <a:xfrm>
                      <a:off x="0" y="0"/>
                      <a:ext cx="5189855" cy="5989320"/>
                    </a:xfrm>
                    <a:prstGeom prst="rect">
                      <a:avLst/>
                    </a:prstGeom>
                  </pic:spPr>
                </pic:pic>
              </a:graphicData>
            </a:graphic>
          </wp:inline>
        </w:drawing>
      </w:r>
    </w:p>
    <w:p w14:paraId="25CA77B1" w14:textId="5EA7B9C1" w:rsidR="006B0EE7" w:rsidRDefault="00000000" w:rsidP="00C6780B">
      <w:r>
        <w:rPr>
          <w:rFonts w:hint="eastAsia"/>
        </w:rPr>
        <w:t xml:space="preserve">Fig. S7 Images of H&amp;E-stained sections of the AD mice in different treatment groups. </w:t>
      </w:r>
      <w:r>
        <w:t>Scale bar</w:t>
      </w:r>
      <w:r>
        <w:rPr>
          <w:rFonts w:hint="eastAsia"/>
        </w:rPr>
        <w:t xml:space="preserve">s are </w:t>
      </w:r>
      <w:r>
        <w:t>200</w:t>
      </w:r>
      <w:r w:rsidR="00F40E27">
        <w:rPr>
          <w:rFonts w:hint="eastAsia"/>
        </w:rPr>
        <w:t xml:space="preserve"> </w:t>
      </w:r>
      <w:proofErr w:type="spellStart"/>
      <w:r>
        <w:t>μm</w:t>
      </w:r>
      <w:proofErr w:type="spellEnd"/>
      <w:r>
        <w:rPr>
          <w:rFonts w:hint="eastAsia"/>
        </w:rPr>
        <w:t>.</w:t>
      </w:r>
    </w:p>
    <w:p w14:paraId="635E90CC" w14:textId="77777777" w:rsidR="006B0EE7" w:rsidRDefault="00000000" w:rsidP="00C6780B">
      <w:r>
        <w:br w:type="page"/>
      </w:r>
    </w:p>
    <w:p w14:paraId="3DE5D799" w14:textId="77777777" w:rsidR="006B0EE7" w:rsidRDefault="00000000" w:rsidP="00C6780B">
      <w:r>
        <w:rPr>
          <w:rFonts w:hint="eastAsia"/>
          <w:noProof/>
        </w:rPr>
        <w:lastRenderedPageBreak/>
        <w:drawing>
          <wp:inline distT="0" distB="0" distL="114300" distR="114300" wp14:anchorId="73AF2395" wp14:editId="20F51021">
            <wp:extent cx="5662295" cy="5620385"/>
            <wp:effectExtent l="0" t="0" r="0" b="0"/>
            <wp:docPr id="8" name="图片 8" descr="五脏拼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五脏拼图"/>
                    <pic:cNvPicPr>
                      <a:picLocks noChangeAspect="1"/>
                    </pic:cNvPicPr>
                  </pic:nvPicPr>
                  <pic:blipFill>
                    <a:blip r:embed="rId22"/>
                    <a:srcRect b="25566"/>
                    <a:stretch>
                      <a:fillRect/>
                    </a:stretch>
                  </pic:blipFill>
                  <pic:spPr>
                    <a:xfrm>
                      <a:off x="0" y="0"/>
                      <a:ext cx="5662295" cy="5620385"/>
                    </a:xfrm>
                    <a:prstGeom prst="rect">
                      <a:avLst/>
                    </a:prstGeom>
                  </pic:spPr>
                </pic:pic>
              </a:graphicData>
            </a:graphic>
          </wp:inline>
        </w:drawing>
      </w:r>
    </w:p>
    <w:p w14:paraId="358CDB3B" w14:textId="6B20A6B1" w:rsidR="006B0EE7" w:rsidRDefault="00000000" w:rsidP="00C6780B">
      <w:r>
        <w:t>Fig.</w:t>
      </w:r>
      <w:r>
        <w:rPr>
          <w:rFonts w:hint="eastAsia"/>
        </w:rPr>
        <w:t xml:space="preserve"> </w:t>
      </w:r>
      <w:r>
        <w:t>S</w:t>
      </w:r>
      <w:r>
        <w:rPr>
          <w:rFonts w:hint="eastAsia"/>
        </w:rPr>
        <w:t>8</w:t>
      </w:r>
      <w:r>
        <w:t xml:space="preserve"> Representative H&amp;E-stained histological sections of heart,</w:t>
      </w:r>
      <w:r w:rsidR="00F40E27">
        <w:rPr>
          <w:rFonts w:hint="eastAsia"/>
        </w:rPr>
        <w:t xml:space="preserve"> </w:t>
      </w:r>
      <w:r>
        <w:t>liver,</w:t>
      </w:r>
      <w:r w:rsidR="00F40E27">
        <w:rPr>
          <w:rFonts w:hint="eastAsia"/>
        </w:rPr>
        <w:t xml:space="preserve"> </w:t>
      </w:r>
      <w:r>
        <w:t>spleen,</w:t>
      </w:r>
      <w:r w:rsidR="00F40E27">
        <w:rPr>
          <w:rFonts w:hint="eastAsia"/>
        </w:rPr>
        <w:t xml:space="preserve"> </w:t>
      </w:r>
      <w:proofErr w:type="gramStart"/>
      <w:r>
        <w:t>lung</w:t>
      </w:r>
      <w:proofErr w:type="gramEnd"/>
      <w:r>
        <w:t xml:space="preserve"> and kidney tissue sections of mice in each treatment group.</w:t>
      </w:r>
      <w:r w:rsidR="00F40E27">
        <w:rPr>
          <w:rFonts w:hint="eastAsia"/>
        </w:rPr>
        <w:t xml:space="preserve"> </w:t>
      </w:r>
      <w:r>
        <w:t>Scale bars are 200</w:t>
      </w:r>
      <w:r w:rsidR="00F40E27">
        <w:rPr>
          <w:rFonts w:hint="eastAsia"/>
        </w:rPr>
        <w:t xml:space="preserve"> </w:t>
      </w:r>
      <w:proofErr w:type="spellStart"/>
      <w:r>
        <w:t>μm</w:t>
      </w:r>
      <w:proofErr w:type="spellEnd"/>
      <w:r>
        <w:t>.</w:t>
      </w:r>
    </w:p>
    <w:sectPr w:rsidR="006B0EE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D22B61" w14:textId="77777777" w:rsidR="009A3833" w:rsidRDefault="009A3833" w:rsidP="00C6780B">
      <w:r>
        <w:separator/>
      </w:r>
    </w:p>
  </w:endnote>
  <w:endnote w:type="continuationSeparator" w:id="0">
    <w:p w14:paraId="36FB1706" w14:textId="77777777" w:rsidR="009A3833" w:rsidRDefault="009A3833" w:rsidP="00C678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80A5C5" w14:textId="77777777" w:rsidR="006B0EE7" w:rsidRDefault="006B0EE7" w:rsidP="00C6780B">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B6095" w14:textId="77777777" w:rsidR="006B0EE7" w:rsidRDefault="00000000" w:rsidP="00C6780B">
    <w:pPr>
      <w:pStyle w:val="a6"/>
    </w:pPr>
    <w:r>
      <w:rPr>
        <w:noProof/>
      </w:rPr>
      <mc:AlternateContent>
        <mc:Choice Requires="wps">
          <w:drawing>
            <wp:anchor distT="0" distB="0" distL="114300" distR="114300" simplePos="0" relativeHeight="251658240" behindDoc="0" locked="0" layoutInCell="1" allowOverlap="1" wp14:anchorId="7D0FEB09" wp14:editId="66B8BF70">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951F9A" w14:textId="77777777" w:rsidR="006B0EE7" w:rsidRDefault="00000000" w:rsidP="00C6780B">
                          <w:pPr>
                            <w:pStyle w:val="a6"/>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D0FEB09" id="_x0000_t202" coordsize="21600,21600" o:spt="202" path="m,l,21600r21600,l21600,xe">
              <v:stroke joinstyle="miter"/>
              <v:path gradientshapeok="t" o:connecttype="rect"/>
            </v:shapetype>
            <v:shape id="文本框 12"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8951F9A" w14:textId="77777777" w:rsidR="006B0EE7" w:rsidRDefault="00000000" w:rsidP="00C6780B">
                    <w:pPr>
                      <w:pStyle w:val="a6"/>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AA5533" w14:textId="77777777" w:rsidR="006B0EE7" w:rsidRDefault="006B0EE7" w:rsidP="00C6780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8BA7BA" w14:textId="77777777" w:rsidR="009A3833" w:rsidRDefault="009A3833" w:rsidP="00C6780B">
      <w:r>
        <w:separator/>
      </w:r>
    </w:p>
  </w:footnote>
  <w:footnote w:type="continuationSeparator" w:id="0">
    <w:p w14:paraId="7704252D" w14:textId="77777777" w:rsidR="009A3833" w:rsidRDefault="009A3833" w:rsidP="00C678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18D42" w14:textId="77777777" w:rsidR="006B0EE7" w:rsidRDefault="006B0EE7" w:rsidP="00C6780B">
    <w:pPr>
      <w:pStyle w:val="a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6407E" w14:textId="77777777" w:rsidR="006B0EE7" w:rsidRDefault="006B0EE7" w:rsidP="00C6780B">
    <w:pPr>
      <w:pStyle w:val="a8"/>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E06D27" w14:textId="77777777" w:rsidR="006B0EE7" w:rsidRDefault="006B0EE7" w:rsidP="00C6780B">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12A9001"/>
    <w:multiLevelType w:val="singleLevel"/>
    <w:tmpl w:val="B12A9001"/>
    <w:lvl w:ilvl="0">
      <w:start w:val="1"/>
      <w:numFmt w:val="decimal"/>
      <w:lvlText w:val="%1."/>
      <w:lvlJc w:val="left"/>
      <w:pPr>
        <w:ind w:left="425" w:hanging="425"/>
      </w:pPr>
      <w:rPr>
        <w:rFonts w:hint="default"/>
      </w:rPr>
    </w:lvl>
  </w:abstractNum>
  <w:num w:numId="1" w16cid:durableId="7242572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IyZmJlZjIwNjMwZTQ5NTg0OTMwMDMzODc1MTVkZjMifQ=="/>
  </w:docVars>
  <w:rsids>
    <w:rsidRoot w:val="29687746"/>
    <w:rsid w:val="001914DD"/>
    <w:rsid w:val="002012A4"/>
    <w:rsid w:val="002C03E3"/>
    <w:rsid w:val="00301D38"/>
    <w:rsid w:val="00383816"/>
    <w:rsid w:val="00411473"/>
    <w:rsid w:val="004B0234"/>
    <w:rsid w:val="004C307B"/>
    <w:rsid w:val="004E411E"/>
    <w:rsid w:val="005475E7"/>
    <w:rsid w:val="005A3047"/>
    <w:rsid w:val="00632FDC"/>
    <w:rsid w:val="00681E33"/>
    <w:rsid w:val="006B0EE7"/>
    <w:rsid w:val="0077538F"/>
    <w:rsid w:val="007D6238"/>
    <w:rsid w:val="00891488"/>
    <w:rsid w:val="008A4700"/>
    <w:rsid w:val="009A3833"/>
    <w:rsid w:val="009B6114"/>
    <w:rsid w:val="00A3654A"/>
    <w:rsid w:val="00A53F0E"/>
    <w:rsid w:val="00B57407"/>
    <w:rsid w:val="00C5702B"/>
    <w:rsid w:val="00C6780B"/>
    <w:rsid w:val="00C819FD"/>
    <w:rsid w:val="00CB7074"/>
    <w:rsid w:val="00CC0E41"/>
    <w:rsid w:val="00CC2C9B"/>
    <w:rsid w:val="00D051D3"/>
    <w:rsid w:val="00D66B6E"/>
    <w:rsid w:val="00E87A67"/>
    <w:rsid w:val="00F40E27"/>
    <w:rsid w:val="00F84C69"/>
    <w:rsid w:val="00FE6BA4"/>
    <w:rsid w:val="058C508B"/>
    <w:rsid w:val="0BDA367B"/>
    <w:rsid w:val="16487348"/>
    <w:rsid w:val="1FDB47B4"/>
    <w:rsid w:val="26E612F7"/>
    <w:rsid w:val="29687746"/>
    <w:rsid w:val="2B832B88"/>
    <w:rsid w:val="32B7164B"/>
    <w:rsid w:val="372D2945"/>
    <w:rsid w:val="41052493"/>
    <w:rsid w:val="422363B0"/>
    <w:rsid w:val="450D6A4D"/>
    <w:rsid w:val="4BD525C4"/>
    <w:rsid w:val="54523851"/>
    <w:rsid w:val="624A590A"/>
    <w:rsid w:val="680A54BA"/>
    <w:rsid w:val="6CBB6D27"/>
    <w:rsid w:val="70452BBF"/>
    <w:rsid w:val="709571F3"/>
    <w:rsid w:val="72EE5E3E"/>
    <w:rsid w:val="75EC0BC7"/>
    <w:rsid w:val="76E7597A"/>
    <w:rsid w:val="7B7B14B6"/>
    <w:rsid w:val="7BE874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3EC733"/>
  <w15:docId w15:val="{DAF6A6DB-F62E-4B5C-8B18-D2D4AE25A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9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rsid w:val="00C6780B"/>
    <w:pPr>
      <w:spacing w:line="360" w:lineRule="auto"/>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autoRedefine/>
    <w:unhideWhenUsed/>
    <w:qFormat/>
    <w:pPr>
      <w:spacing w:before="312" w:after="312"/>
      <w:jc w:val="center"/>
    </w:pPr>
    <w:rPr>
      <w:rFonts w:eastAsia="Times New Roman"/>
      <w:b/>
      <w:sz w:val="20"/>
      <w:szCs w:val="20"/>
    </w:rPr>
  </w:style>
  <w:style w:type="paragraph" w:styleId="a4">
    <w:name w:val="Balloon Text"/>
    <w:basedOn w:val="a"/>
    <w:link w:val="a5"/>
    <w:autoRedefine/>
    <w:qFormat/>
    <w:pPr>
      <w:spacing w:line="240" w:lineRule="auto"/>
    </w:pPr>
    <w:rPr>
      <w:sz w:val="18"/>
      <w:szCs w:val="18"/>
    </w:rPr>
  </w:style>
  <w:style w:type="paragraph" w:styleId="a6">
    <w:name w:val="footer"/>
    <w:basedOn w:val="a"/>
    <w:link w:val="a7"/>
    <w:autoRedefine/>
    <w:uiPriority w:val="99"/>
    <w:qFormat/>
    <w:pPr>
      <w:tabs>
        <w:tab w:val="center" w:pos="4153"/>
        <w:tab w:val="right" w:pos="8306"/>
      </w:tabs>
      <w:snapToGrid w:val="0"/>
    </w:pPr>
    <w:rPr>
      <w:sz w:val="18"/>
    </w:rPr>
  </w:style>
  <w:style w:type="paragraph" w:styleId="a8">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table" w:styleId="a9">
    <w:name w:val="Table Grid"/>
    <w:basedOn w:val="a1"/>
    <w:autoRedefine/>
    <w:uiPriority w:val="99"/>
    <w:unhideWhenUsed/>
    <w:qFormat/>
    <w:pPr>
      <w:widowControl w:val="0"/>
      <w:jc w:val="both"/>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autoRedefine/>
    <w:qFormat/>
    <w:rPr>
      <w:color w:val="0000FF"/>
      <w:u w:val="single"/>
    </w:rPr>
  </w:style>
  <w:style w:type="character" w:customStyle="1" w:styleId="a5">
    <w:name w:val="批注框文本 字符"/>
    <w:basedOn w:val="a0"/>
    <w:link w:val="a4"/>
    <w:autoRedefine/>
    <w:qFormat/>
    <w:rPr>
      <w:rFonts w:ascii="Times New Roman" w:eastAsia="宋体" w:hAnsi="Times New Roman" w:cs="Times New Roman"/>
      <w:kern w:val="2"/>
      <w:sz w:val="18"/>
      <w:szCs w:val="18"/>
    </w:rPr>
  </w:style>
  <w:style w:type="character" w:customStyle="1" w:styleId="a7">
    <w:name w:val="页脚 字符"/>
    <w:basedOn w:val="a0"/>
    <w:link w:val="a6"/>
    <w:autoRedefine/>
    <w:uiPriority w:val="99"/>
    <w:qFormat/>
    <w:rPr>
      <w:rFonts w:ascii="Times New Roman" w:eastAsia="宋体" w:hAnsi="Times New Roman" w:cs="Times New Roman"/>
      <w:kern w:val="2"/>
      <w:sz w:val="18"/>
      <w:szCs w:val="24"/>
    </w:rPr>
  </w:style>
  <w:style w:type="paragraph" w:styleId="ab">
    <w:name w:val="List Paragraph"/>
    <w:basedOn w:val="a"/>
    <w:uiPriority w:val="99"/>
    <w:unhideWhenUsed/>
    <w:rsid w:val="00C6780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4.tiff"/><Relationship Id="rId3" Type="http://schemas.openxmlformats.org/officeDocument/2006/relationships/numbering" Target="numbering.xml"/><Relationship Id="rId21" Type="http://schemas.openxmlformats.org/officeDocument/2006/relationships/image" Target="media/image7.tiff"/><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3.tiff"/><Relationship Id="rId2" Type="http://schemas.openxmlformats.org/officeDocument/2006/relationships/customXml" Target="../customXml/item2.xml"/><Relationship Id="rId16" Type="http://schemas.openxmlformats.org/officeDocument/2006/relationships/image" Target="media/image2.tiff"/><Relationship Id="rId20" Type="http://schemas.openxmlformats.org/officeDocument/2006/relationships/image" Target="media/image6.tif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1.tiff"/><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5.tiff"/><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8.tif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E5A7FD8-7A91-421A-BD3D-40196B1A6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2094</Words>
  <Characters>11939</Characters>
  <Application>Microsoft Office Word</Application>
  <DocSecurity>0</DocSecurity>
  <Lines>99</Lines>
  <Paragraphs>28</Paragraphs>
  <ScaleCrop>false</ScaleCrop>
  <Company>HP</Company>
  <LinksUpToDate>false</LinksUpToDate>
  <CharactersWithSpaces>14005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刘康宁</dc:creator>
  <cp:lastModifiedBy>楠 高</cp:lastModifiedBy>
  <cp:revision>2</cp:revision>
  <dcterms:created xsi:type="dcterms:W3CDTF">2024-03-22T00:53:00Z</dcterms:created>
  <dcterms:modified xsi:type="dcterms:W3CDTF">2024-03-22T00:53:00Z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CA4AAB31DFC542D1B71BD09744704DAB_11</vt:lpwstr>
  </property>
</Properties>
</file>