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B95E6D" w14:textId="17020970" w:rsidR="00EF0BBE" w:rsidRPr="00A609B9" w:rsidRDefault="00EF0BBE" w:rsidP="00966DEC">
      <w:pPr>
        <w:pStyle w:val="Caption"/>
        <w:keepNext/>
        <w:spacing w:after="0" w:line="480" w:lineRule="auto"/>
        <w:jc w:val="center"/>
        <w:rPr>
          <w:color w:val="auto"/>
          <w:sz w:val="20"/>
          <w:szCs w:val="20"/>
        </w:rPr>
      </w:pPr>
      <w:bookmarkStart w:id="0" w:name="_Ref32701641"/>
      <w:r w:rsidRPr="00A609B9">
        <w:rPr>
          <w:color w:val="auto"/>
          <w:sz w:val="20"/>
          <w:szCs w:val="20"/>
        </w:rPr>
        <w:t xml:space="preserve">Table </w:t>
      </w:r>
      <w:r w:rsidR="005F2C99">
        <w:rPr>
          <w:color w:val="auto"/>
          <w:sz w:val="20"/>
          <w:szCs w:val="20"/>
        </w:rPr>
        <w:t>S</w:t>
      </w:r>
      <w:r w:rsidRPr="00A609B9">
        <w:rPr>
          <w:color w:val="auto"/>
          <w:sz w:val="20"/>
          <w:szCs w:val="20"/>
        </w:rPr>
        <w:fldChar w:fldCharType="begin"/>
      </w:r>
      <w:r w:rsidRPr="00A609B9">
        <w:rPr>
          <w:color w:val="auto"/>
          <w:sz w:val="20"/>
          <w:szCs w:val="20"/>
        </w:rPr>
        <w:instrText xml:space="preserve"> SEQ Table \* ARABIC </w:instrText>
      </w:r>
      <w:r w:rsidRPr="00A609B9">
        <w:rPr>
          <w:color w:val="auto"/>
          <w:sz w:val="20"/>
          <w:szCs w:val="20"/>
        </w:rPr>
        <w:fldChar w:fldCharType="separate"/>
      </w:r>
      <w:r>
        <w:rPr>
          <w:noProof/>
          <w:color w:val="auto"/>
          <w:sz w:val="20"/>
          <w:szCs w:val="20"/>
        </w:rPr>
        <w:t>1</w:t>
      </w:r>
      <w:r w:rsidRPr="00A609B9">
        <w:rPr>
          <w:color w:val="auto"/>
          <w:sz w:val="20"/>
          <w:szCs w:val="20"/>
        </w:rPr>
        <w:fldChar w:fldCharType="end"/>
      </w:r>
      <w:bookmarkEnd w:id="0"/>
      <w:r w:rsidRPr="00A609B9">
        <w:rPr>
          <w:rFonts w:eastAsiaTheme="minorEastAsia"/>
          <w:color w:val="auto"/>
          <w:sz w:val="20"/>
          <w:szCs w:val="20"/>
        </w:rPr>
        <w:t xml:space="preserve"> Top 10 </w:t>
      </w:r>
      <w:r>
        <w:rPr>
          <w:rFonts w:eastAsiaTheme="minorEastAsia"/>
          <w:color w:val="auto"/>
          <w:sz w:val="20"/>
          <w:szCs w:val="20"/>
        </w:rPr>
        <w:t>Most U</w:t>
      </w:r>
      <w:r w:rsidRPr="00F0135E">
        <w:rPr>
          <w:rFonts w:eastAsiaTheme="minorEastAsia"/>
          <w:color w:val="auto"/>
          <w:sz w:val="20"/>
          <w:szCs w:val="20"/>
        </w:rPr>
        <w:t>niversal</w:t>
      </w:r>
      <w:r>
        <w:rPr>
          <w:rFonts w:eastAsiaTheme="minorEastAsia"/>
          <w:color w:val="auto"/>
          <w:sz w:val="20"/>
          <w:szCs w:val="20"/>
        </w:rPr>
        <w:t xml:space="preserve"> (</w:t>
      </w:r>
      <w:r w:rsidRPr="00A609B9">
        <w:rPr>
          <w:rFonts w:eastAsiaTheme="minorEastAsia"/>
          <w:color w:val="auto"/>
          <w:sz w:val="20"/>
          <w:szCs w:val="20"/>
        </w:rPr>
        <w:t>Lowest sf-</w:t>
      </w:r>
      <w:proofErr w:type="spellStart"/>
      <w:r w:rsidRPr="00A609B9">
        <w:rPr>
          <w:rFonts w:eastAsiaTheme="minorEastAsia"/>
          <w:color w:val="auto"/>
          <w:sz w:val="20"/>
          <w:szCs w:val="20"/>
        </w:rPr>
        <w:t>ipf</w:t>
      </w:r>
      <w:proofErr w:type="spellEnd"/>
      <w:r>
        <w:rPr>
          <w:rFonts w:eastAsiaTheme="minorEastAsia"/>
          <w:color w:val="auto"/>
          <w:sz w:val="20"/>
          <w:szCs w:val="20"/>
        </w:rPr>
        <w:t>)</w:t>
      </w:r>
      <w:r>
        <w:rPr>
          <w:rFonts w:eastAsiaTheme="minorEastAsia"/>
        </w:rPr>
        <w:t xml:space="preserve"> </w:t>
      </w:r>
      <w:r w:rsidRPr="00A609B9">
        <w:rPr>
          <w:rFonts w:eastAsiaTheme="minorEastAsia"/>
          <w:color w:val="auto"/>
          <w:sz w:val="20"/>
          <w:szCs w:val="20"/>
        </w:rPr>
        <w:t>Sentences</w:t>
      </w:r>
    </w:p>
    <w:tbl>
      <w:tblPr>
        <w:tblStyle w:val="TableGrid"/>
        <w:tblW w:w="4746" w:type="pct"/>
        <w:tblInd w:w="198" w:type="dxa"/>
        <w:tblLayout w:type="fixed"/>
        <w:tblLook w:val="04A0" w:firstRow="1" w:lastRow="0" w:firstColumn="1" w:lastColumn="0" w:noHBand="0" w:noVBand="1"/>
      </w:tblPr>
      <w:tblGrid>
        <w:gridCol w:w="7290"/>
        <w:gridCol w:w="629"/>
        <w:gridCol w:w="1171"/>
      </w:tblGrid>
      <w:tr w:rsidR="00EF0BBE" w:rsidRPr="00A609B9" w14:paraId="351525FA" w14:textId="77777777" w:rsidTr="005D71BD">
        <w:tc>
          <w:tcPr>
            <w:tcW w:w="4010" w:type="pct"/>
            <w:vAlign w:val="bottom"/>
          </w:tcPr>
          <w:p w14:paraId="0C685524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 xml:space="preserve">KEYWORD </w:t>
            </w:r>
            <w:r w:rsidRPr="00A609B9">
              <w:rPr>
                <w:color w:val="000000"/>
                <w:sz w:val="20"/>
                <w:szCs w:val="20"/>
              </w:rPr>
              <w:t>CONTAINING SENTENCE</w:t>
            </w:r>
          </w:p>
        </w:tc>
        <w:tc>
          <w:tcPr>
            <w:tcW w:w="346" w:type="pct"/>
            <w:vAlign w:val="bottom"/>
          </w:tcPr>
          <w:p w14:paraId="1996FBE1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proofErr w:type="spellStart"/>
            <w:r w:rsidRPr="00A609B9">
              <w:rPr>
                <w:color w:val="000000"/>
                <w:sz w:val="20"/>
                <w:szCs w:val="20"/>
              </w:rPr>
              <w:t>sfipf</w:t>
            </w:r>
            <w:proofErr w:type="spellEnd"/>
          </w:p>
        </w:tc>
        <w:tc>
          <w:tcPr>
            <w:tcW w:w="644" w:type="pct"/>
            <w:vAlign w:val="bottom"/>
          </w:tcPr>
          <w:p w14:paraId="5049AA3F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Topic</w:t>
            </w:r>
          </w:p>
        </w:tc>
      </w:tr>
      <w:tr w:rsidR="00EF0BBE" w:rsidRPr="00A609B9" w14:paraId="0C9E0BE8" w14:textId="77777777" w:rsidTr="005D71BD">
        <w:tc>
          <w:tcPr>
            <w:tcW w:w="4010" w:type="pct"/>
            <w:vAlign w:val="bottom"/>
          </w:tcPr>
          <w:p w14:paraId="075EC1AA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Approximately 5-10% of breast cancer and 10-25% of ovarian cancer is hereditary and is usually due to mutations in BRCA1 and BRCA2 genes.</w:t>
            </w:r>
          </w:p>
        </w:tc>
        <w:tc>
          <w:tcPr>
            <w:tcW w:w="346" w:type="pct"/>
            <w:vAlign w:val="bottom"/>
          </w:tcPr>
          <w:p w14:paraId="59384211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44" w:type="pct"/>
            <w:vAlign w:val="bottom"/>
          </w:tcPr>
          <w:p w14:paraId="5E4B5F90" w14:textId="77777777" w:rsidR="00EF0BBE" w:rsidRPr="00A609B9" w:rsidRDefault="00EF0BBE" w:rsidP="00966DEC">
            <w:pPr>
              <w:spacing w:line="480" w:lineRule="auto"/>
              <w:rPr>
                <w:rFonts w:eastAsiaTheme="minorEastAsia"/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Discuss</w:t>
            </w:r>
            <w:r>
              <w:rPr>
                <w:rFonts w:eastAsiaTheme="minorEastAsia"/>
                <w:color w:val="000000"/>
                <w:sz w:val="20"/>
                <w:szCs w:val="20"/>
              </w:rPr>
              <w:t>ion</w:t>
            </w:r>
          </w:p>
        </w:tc>
      </w:tr>
      <w:tr w:rsidR="00EF0BBE" w:rsidRPr="00A609B9" w14:paraId="17F93746" w14:textId="77777777" w:rsidTr="005D71BD">
        <w:tc>
          <w:tcPr>
            <w:tcW w:w="4010" w:type="pct"/>
            <w:vAlign w:val="bottom"/>
          </w:tcPr>
          <w:p w14:paraId="263B68AC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Individuals who carry a mutation in BRCA1 or BRCA2 have an inherited susceptibility to develop cancer.</w:t>
            </w:r>
          </w:p>
        </w:tc>
        <w:tc>
          <w:tcPr>
            <w:tcW w:w="346" w:type="pct"/>
            <w:vAlign w:val="bottom"/>
          </w:tcPr>
          <w:p w14:paraId="502B5A76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44" w:type="pct"/>
            <w:vAlign w:val="bottom"/>
          </w:tcPr>
          <w:p w14:paraId="2A3A41C0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Discuss</w:t>
            </w:r>
            <w:r>
              <w:rPr>
                <w:rFonts w:eastAsiaTheme="minorEastAsia"/>
                <w:color w:val="000000"/>
                <w:sz w:val="20"/>
                <w:szCs w:val="20"/>
              </w:rPr>
              <w:t>ion</w:t>
            </w:r>
          </w:p>
        </w:tc>
      </w:tr>
      <w:tr w:rsidR="00EF0BBE" w:rsidRPr="00A609B9" w14:paraId="29F3CBC7" w14:textId="77777777" w:rsidTr="005D71BD">
        <w:tc>
          <w:tcPr>
            <w:tcW w:w="4010" w:type="pct"/>
            <w:vAlign w:val="bottom"/>
          </w:tcPr>
          <w:p w14:paraId="4ECA27B5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 xml:space="preserve">We explained that BRCA1 and BRCA2 gene mutations account for </w:t>
            </w:r>
            <w:bookmarkStart w:id="1" w:name="_GoBack"/>
            <w:bookmarkEnd w:id="1"/>
            <w:r w:rsidRPr="00A609B9">
              <w:rPr>
                <w:color w:val="000000"/>
                <w:sz w:val="20"/>
                <w:szCs w:val="20"/>
              </w:rPr>
              <w:t>84% of hereditary breast and ovarian cancer (HBOC) and that the remaining 16% is caused by other genes that we have not discovered yet and other hereditary conditions.</w:t>
            </w:r>
          </w:p>
        </w:tc>
        <w:tc>
          <w:tcPr>
            <w:tcW w:w="346" w:type="pct"/>
            <w:vAlign w:val="bottom"/>
          </w:tcPr>
          <w:p w14:paraId="3C623C32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44" w:type="pct"/>
            <w:vAlign w:val="bottom"/>
          </w:tcPr>
          <w:p w14:paraId="1FAC2428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Discuss</w:t>
            </w:r>
            <w:r>
              <w:rPr>
                <w:rFonts w:eastAsiaTheme="minorEastAsia"/>
                <w:color w:val="000000"/>
                <w:sz w:val="20"/>
                <w:szCs w:val="20"/>
              </w:rPr>
              <w:t>ion</w:t>
            </w:r>
          </w:p>
        </w:tc>
      </w:tr>
      <w:tr w:rsidR="00EF0BBE" w:rsidRPr="00A609B9" w14:paraId="64A48BBE" w14:textId="77777777" w:rsidTr="005D71BD">
        <w:tc>
          <w:tcPr>
            <w:tcW w:w="4010" w:type="pct"/>
            <w:vAlign w:val="bottom"/>
          </w:tcPr>
          <w:p w14:paraId="08DD6272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Males and females with BRCA1/BRCA2 mutations also face a slightly increased risk for pancreatic cancer.</w:t>
            </w:r>
          </w:p>
        </w:tc>
        <w:tc>
          <w:tcPr>
            <w:tcW w:w="346" w:type="pct"/>
            <w:vAlign w:val="bottom"/>
          </w:tcPr>
          <w:p w14:paraId="30165807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44" w:type="pct"/>
            <w:vAlign w:val="bottom"/>
          </w:tcPr>
          <w:p w14:paraId="643BC940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Discuss</w:t>
            </w:r>
            <w:r>
              <w:rPr>
                <w:rFonts w:eastAsiaTheme="minorEastAsia"/>
                <w:color w:val="000000"/>
                <w:sz w:val="20"/>
                <w:szCs w:val="20"/>
              </w:rPr>
              <w:t>ion</w:t>
            </w:r>
          </w:p>
        </w:tc>
      </w:tr>
      <w:tr w:rsidR="00EF0BBE" w:rsidRPr="00A609B9" w14:paraId="680F1A1D" w14:textId="77777777" w:rsidTr="005D71BD">
        <w:tc>
          <w:tcPr>
            <w:tcW w:w="4010" w:type="pct"/>
            <w:vAlign w:val="bottom"/>
          </w:tcPr>
          <w:p w14:paraId="1791DCA8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There is also an increased risk for prostate and breast cancer among males with a BRCA1/BRCA2 mutation.</w:t>
            </w:r>
          </w:p>
        </w:tc>
        <w:tc>
          <w:tcPr>
            <w:tcW w:w="346" w:type="pct"/>
            <w:vAlign w:val="bottom"/>
          </w:tcPr>
          <w:p w14:paraId="51CACA55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44" w:type="pct"/>
            <w:vAlign w:val="bottom"/>
          </w:tcPr>
          <w:p w14:paraId="6BC10CA6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Discuss</w:t>
            </w:r>
            <w:r>
              <w:rPr>
                <w:rFonts w:eastAsiaTheme="minorEastAsia"/>
                <w:color w:val="000000"/>
                <w:sz w:val="20"/>
                <w:szCs w:val="20"/>
              </w:rPr>
              <w:t>ion</w:t>
            </w:r>
          </w:p>
        </w:tc>
      </w:tr>
      <w:tr w:rsidR="00EF0BBE" w:rsidRPr="00A609B9" w14:paraId="54FADC76" w14:textId="77777777" w:rsidTr="005D71BD">
        <w:tc>
          <w:tcPr>
            <w:tcW w:w="4010" w:type="pct"/>
            <w:vAlign w:val="bottom"/>
          </w:tcPr>
          <w:p w14:paraId="2669B443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FF0000"/>
                <w:sz w:val="20"/>
                <w:szCs w:val="20"/>
              </w:rPr>
              <w:t>Germline BRCA1/2 wild-type.</w:t>
            </w:r>
          </w:p>
        </w:tc>
        <w:tc>
          <w:tcPr>
            <w:tcW w:w="346" w:type="pct"/>
            <w:vAlign w:val="bottom"/>
          </w:tcPr>
          <w:p w14:paraId="40352D21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44" w:type="pct"/>
            <w:vAlign w:val="bottom"/>
          </w:tcPr>
          <w:p w14:paraId="53112D12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N</w:t>
            </w:r>
            <w:r w:rsidRPr="00A609B9">
              <w:rPr>
                <w:color w:val="000000"/>
                <w:sz w:val="20"/>
                <w:szCs w:val="20"/>
              </w:rPr>
              <w:t>egative</w:t>
            </w:r>
            <w:r>
              <w:rPr>
                <w:color w:val="000000"/>
                <w:sz w:val="20"/>
                <w:szCs w:val="20"/>
              </w:rPr>
              <w:t xml:space="preserve"> Mutation</w:t>
            </w:r>
          </w:p>
        </w:tc>
      </w:tr>
      <w:tr w:rsidR="00EF0BBE" w:rsidRPr="00A609B9" w14:paraId="534F7CFA" w14:textId="77777777" w:rsidTr="005D71BD">
        <w:tc>
          <w:tcPr>
            <w:tcW w:w="4010" w:type="pct"/>
            <w:vAlign w:val="bottom"/>
          </w:tcPr>
          <w:p w14:paraId="36E87B4D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The lifetime risk for breast cancer in women with a BRCA1/BRCA2 mutation is approximately 50%-87% and the lifetime risk for ovarian cancer is 15%-44%, depending on the specified gene.</w:t>
            </w:r>
          </w:p>
        </w:tc>
        <w:tc>
          <w:tcPr>
            <w:tcW w:w="346" w:type="pct"/>
            <w:vAlign w:val="bottom"/>
          </w:tcPr>
          <w:p w14:paraId="0FCF0A0C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44" w:type="pct"/>
            <w:vAlign w:val="bottom"/>
          </w:tcPr>
          <w:p w14:paraId="14C1365E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Discuss</w:t>
            </w:r>
            <w:r>
              <w:rPr>
                <w:rFonts w:eastAsiaTheme="minorEastAsia"/>
                <w:color w:val="000000"/>
                <w:sz w:val="20"/>
                <w:szCs w:val="20"/>
              </w:rPr>
              <w:t>ion</w:t>
            </w:r>
          </w:p>
        </w:tc>
      </w:tr>
      <w:tr w:rsidR="00EF0BBE" w:rsidRPr="00A609B9" w14:paraId="3BE90C7D" w14:textId="77777777" w:rsidTr="005D71BD">
        <w:tc>
          <w:tcPr>
            <w:tcW w:w="4010" w:type="pct"/>
            <w:vAlign w:val="bottom"/>
          </w:tcPr>
          <w:p w14:paraId="2B7A71F1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Mutations in either BRCA1 or BRCA2 cause Hereditary Breast and Ovarian Cancer syndrome (HBOC).</w:t>
            </w:r>
          </w:p>
        </w:tc>
        <w:tc>
          <w:tcPr>
            <w:tcW w:w="346" w:type="pct"/>
            <w:vAlign w:val="bottom"/>
          </w:tcPr>
          <w:p w14:paraId="1371EC57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44" w:type="pct"/>
            <w:vAlign w:val="bottom"/>
          </w:tcPr>
          <w:p w14:paraId="14848B84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Discuss</w:t>
            </w:r>
            <w:r>
              <w:rPr>
                <w:rFonts w:eastAsiaTheme="minorEastAsia"/>
                <w:color w:val="000000"/>
                <w:sz w:val="20"/>
                <w:szCs w:val="20"/>
              </w:rPr>
              <w:t>ion</w:t>
            </w:r>
          </w:p>
        </w:tc>
      </w:tr>
      <w:tr w:rsidR="00EF0BBE" w:rsidRPr="00A609B9" w14:paraId="587B842C" w14:textId="77777777" w:rsidTr="005D71BD">
        <w:tc>
          <w:tcPr>
            <w:tcW w:w="4010" w:type="pct"/>
            <w:vAlign w:val="bottom"/>
          </w:tcPr>
          <w:p w14:paraId="7690E076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BRCA1/BRCA2 testing includes both gene sequencing and deletion/duplication analysis.</w:t>
            </w:r>
          </w:p>
        </w:tc>
        <w:tc>
          <w:tcPr>
            <w:tcW w:w="346" w:type="pct"/>
            <w:vAlign w:val="bottom"/>
          </w:tcPr>
          <w:p w14:paraId="2F0012E4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44" w:type="pct"/>
            <w:vAlign w:val="bottom"/>
          </w:tcPr>
          <w:p w14:paraId="30E190C4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Discuss</w:t>
            </w:r>
            <w:r>
              <w:rPr>
                <w:rFonts w:eastAsiaTheme="minorEastAsia"/>
                <w:color w:val="000000"/>
                <w:sz w:val="20"/>
                <w:szCs w:val="20"/>
              </w:rPr>
              <w:t>ion</w:t>
            </w:r>
          </w:p>
        </w:tc>
      </w:tr>
      <w:tr w:rsidR="00EF0BBE" w:rsidRPr="00A609B9" w14:paraId="115BEEC6" w14:textId="77777777" w:rsidTr="005D71BD">
        <w:tc>
          <w:tcPr>
            <w:tcW w:w="4010" w:type="pct"/>
            <w:vAlign w:val="bottom"/>
          </w:tcPr>
          <w:p w14:paraId="158A6514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We discussed BRCA1 and BRCA2, two genes that are responsible for the majority of hereditary breast and ovarian cancer.</w:t>
            </w:r>
          </w:p>
        </w:tc>
        <w:tc>
          <w:tcPr>
            <w:tcW w:w="346" w:type="pct"/>
            <w:vAlign w:val="bottom"/>
          </w:tcPr>
          <w:p w14:paraId="7954629D" w14:textId="77777777" w:rsidR="00EF0BBE" w:rsidRPr="00A609B9" w:rsidRDefault="00EF0BBE" w:rsidP="00966DEC">
            <w:pPr>
              <w:spacing w:line="480" w:lineRule="auto"/>
              <w:jc w:val="right"/>
              <w:rPr>
                <w:color w:val="000000"/>
                <w:sz w:val="20"/>
                <w:szCs w:val="20"/>
              </w:rPr>
            </w:pPr>
            <w:r w:rsidRPr="00A609B9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44" w:type="pct"/>
            <w:vAlign w:val="bottom"/>
          </w:tcPr>
          <w:p w14:paraId="355823A3" w14:textId="77777777" w:rsidR="00EF0BBE" w:rsidRPr="00A609B9" w:rsidRDefault="00EF0BBE" w:rsidP="00966DEC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A609B9">
              <w:rPr>
                <w:rFonts w:eastAsiaTheme="minorEastAsia"/>
                <w:color w:val="000000"/>
                <w:sz w:val="20"/>
                <w:szCs w:val="20"/>
              </w:rPr>
              <w:t>Discuss</w:t>
            </w:r>
            <w:r>
              <w:rPr>
                <w:rFonts w:eastAsiaTheme="minorEastAsia"/>
                <w:color w:val="000000"/>
                <w:sz w:val="20"/>
                <w:szCs w:val="20"/>
              </w:rPr>
              <w:t>ion</w:t>
            </w:r>
          </w:p>
        </w:tc>
      </w:tr>
    </w:tbl>
    <w:p w14:paraId="0EE3CB25" w14:textId="77777777" w:rsidR="008503FA" w:rsidRDefault="00966DEC" w:rsidP="00966DEC">
      <w:pPr>
        <w:spacing w:line="480" w:lineRule="auto"/>
        <w:rPr>
          <w:rFonts w:eastAsiaTheme="minorEastAsia"/>
        </w:rPr>
      </w:pPr>
    </w:p>
    <w:p w14:paraId="203ABADB" w14:textId="77777777" w:rsidR="00EF0BBE" w:rsidRPr="00EF0BBE" w:rsidRDefault="00EF0BBE" w:rsidP="00966DEC">
      <w:pPr>
        <w:spacing w:line="480" w:lineRule="auto"/>
        <w:rPr>
          <w:rFonts w:eastAsiaTheme="minorEastAsia"/>
        </w:rPr>
      </w:pPr>
    </w:p>
    <w:sectPr w:rsidR="00EF0BBE" w:rsidRPr="00EF0B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646D0"/>
    <w:multiLevelType w:val="hybridMultilevel"/>
    <w:tmpl w:val="9F028772"/>
    <w:lvl w:ilvl="0" w:tplc="EF760BBC">
      <w:start w:val="1"/>
      <w:numFmt w:val="decimal"/>
      <w:pStyle w:val="EndNoteBibliography"/>
      <w:lvlText w:val="(%1)"/>
      <w:lvlJc w:val="left"/>
      <w:pPr>
        <w:ind w:left="360" w:hanging="360"/>
      </w:pPr>
      <w:rPr>
        <w:rFonts w:eastAsia="Times New Roman"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8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0BBE"/>
    <w:rsid w:val="00446E37"/>
    <w:rsid w:val="005F2C99"/>
    <w:rsid w:val="007C0C24"/>
    <w:rsid w:val="00825CF4"/>
    <w:rsid w:val="00920488"/>
    <w:rsid w:val="00966DEC"/>
    <w:rsid w:val="009B505B"/>
    <w:rsid w:val="00DB0C03"/>
    <w:rsid w:val="00EF0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48CAD"/>
  <w15:docId w15:val="{25FFE848-7018-4E48-B317-6622B62BF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0B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0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F0BBE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rsid w:val="00EF0BBE"/>
    <w:pPr>
      <w:numPr>
        <w:numId w:val="1"/>
      </w:numPr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F0BBE"/>
    <w:rPr>
      <w:rFonts w:ascii="Times New Roman" w:eastAsia="Times New Roman" w:hAnsi="Times New Roman" w:cs="Times New Roman"/>
      <w:noProof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B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BB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Yiqing  Zhao</dc:creator>
  <cp:lastModifiedBy>Yiqing Zhao</cp:lastModifiedBy>
  <cp:revision>4</cp:revision>
  <dcterms:created xsi:type="dcterms:W3CDTF">2020-04-07T17:13:00Z</dcterms:created>
  <dcterms:modified xsi:type="dcterms:W3CDTF">2020-06-17T20:48:00Z</dcterms:modified>
</cp:coreProperties>
</file>