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43394" w14:textId="77777777" w:rsidR="002A7294" w:rsidRPr="00A63CE4" w:rsidRDefault="00000000">
      <w:pPr>
        <w:jc w:val="center"/>
        <w:rPr>
          <w:b/>
          <w:u w:val="single"/>
          <w:lang w:val="en-US"/>
        </w:rPr>
      </w:pPr>
      <w:r w:rsidRPr="00A63CE4">
        <w:rPr>
          <w:i/>
          <w:sz w:val="32"/>
          <w:szCs w:val="32"/>
          <w:lang w:val="en-US"/>
        </w:rPr>
        <w:t>SUPPLEMENTARY FIGURES</w:t>
      </w:r>
    </w:p>
    <w:p w14:paraId="6F6BB0EB" w14:textId="77777777" w:rsidR="002A7294" w:rsidRPr="00A63CE4" w:rsidRDefault="002A7294">
      <w:pPr>
        <w:jc w:val="center"/>
        <w:rPr>
          <w:b/>
          <w:u w:val="single"/>
          <w:lang w:val="en-US"/>
        </w:rPr>
      </w:pPr>
    </w:p>
    <w:p w14:paraId="59E3A939" w14:textId="77777777" w:rsidR="002A7294" w:rsidRPr="001A20AB" w:rsidRDefault="002A7294">
      <w:pPr>
        <w:widowControl w:val="0"/>
        <w:spacing w:line="256" w:lineRule="auto"/>
        <w:jc w:val="both"/>
        <w:rPr>
          <w:lang w:val="en-US"/>
        </w:rPr>
      </w:pPr>
    </w:p>
    <w:p w14:paraId="763CC863" w14:textId="77777777" w:rsidR="002A7294" w:rsidRPr="001A20AB" w:rsidRDefault="002A7294">
      <w:pPr>
        <w:widowControl w:val="0"/>
        <w:spacing w:line="256" w:lineRule="auto"/>
        <w:jc w:val="both"/>
        <w:rPr>
          <w:lang w:val="en-US"/>
        </w:rPr>
      </w:pPr>
    </w:p>
    <w:p w14:paraId="14E062D2" w14:textId="77777777" w:rsidR="002A7294" w:rsidRPr="001A20AB" w:rsidRDefault="002A7294">
      <w:pPr>
        <w:jc w:val="both"/>
        <w:rPr>
          <w:b/>
          <w:u w:val="single"/>
          <w:lang w:val="en-US"/>
        </w:rPr>
      </w:pPr>
    </w:p>
    <w:p w14:paraId="7F3BD8A5" w14:textId="17801C22" w:rsidR="002A7294" w:rsidRPr="004C22E2" w:rsidRDefault="00000000">
      <w:pPr>
        <w:widowControl w:val="0"/>
        <w:spacing w:line="240" w:lineRule="auto"/>
        <w:jc w:val="both"/>
        <w:rPr>
          <w:lang w:val="en-US"/>
        </w:rPr>
      </w:pPr>
      <w:r w:rsidRPr="004C22E2">
        <w:rPr>
          <w:b/>
          <w:lang w:val="en-US"/>
        </w:rPr>
        <w:t>Table S1.</w:t>
      </w:r>
      <w:r w:rsidRPr="004C22E2">
        <w:rPr>
          <w:lang w:val="en-US"/>
        </w:rPr>
        <w:t xml:space="preserve"> Double logistic </w:t>
      </w:r>
      <w:r w:rsidR="00321ECC">
        <w:rPr>
          <w:lang w:val="en-US"/>
        </w:rPr>
        <w:t xml:space="preserve">with seven </w:t>
      </w:r>
      <w:r w:rsidRPr="004C22E2">
        <w:rPr>
          <w:lang w:val="en-US"/>
        </w:rPr>
        <w:t xml:space="preserve">parameters of the </w:t>
      </w:r>
      <w:r w:rsidR="001A20AB">
        <w:rPr>
          <w:lang w:val="en-US"/>
        </w:rPr>
        <w:t>three</w:t>
      </w:r>
      <w:r w:rsidRPr="004C22E2">
        <w:rPr>
          <w:lang w:val="en-US"/>
        </w:rPr>
        <w:t xml:space="preserve"> clusters retained in this study.</w:t>
      </w:r>
    </w:p>
    <w:tbl>
      <w:tblPr>
        <w:tblStyle w:val="a"/>
        <w:tblW w:w="973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433"/>
        <w:gridCol w:w="2433"/>
        <w:gridCol w:w="2433"/>
        <w:gridCol w:w="2433"/>
      </w:tblGrid>
      <w:tr w:rsidR="002A7294" w14:paraId="0768785D" w14:textId="77777777" w:rsidTr="001A20AB">
        <w:trPr>
          <w:cnfStyle w:val="100000000000" w:firstRow="1" w:lastRow="0" w:firstColumn="0" w:lastColumn="0" w:oddVBand="0" w:evenVBand="0" w:oddHBand="0"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433" w:type="dxa"/>
            <w:shd w:val="clear" w:color="auto" w:fill="FFFFFF"/>
            <w:tcMar>
              <w:top w:w="0" w:type="dxa"/>
              <w:left w:w="100" w:type="dxa"/>
              <w:bottom w:w="0" w:type="dxa"/>
              <w:right w:w="100" w:type="dxa"/>
            </w:tcMar>
          </w:tcPr>
          <w:p w14:paraId="35F32149" w14:textId="77777777" w:rsidR="002A7294" w:rsidRDefault="00000000">
            <w:pPr>
              <w:widowControl w:val="0"/>
              <w:spacing w:line="256" w:lineRule="auto"/>
              <w:jc w:val="center"/>
            </w:pPr>
            <w:r>
              <w:rPr>
                <w:b w:val="0"/>
                <w:color w:val="000000"/>
              </w:rPr>
              <w:t xml:space="preserve">DL </w:t>
            </w:r>
            <w:proofErr w:type="spellStart"/>
            <w:r>
              <w:rPr>
                <w:b w:val="0"/>
                <w:color w:val="000000"/>
              </w:rPr>
              <w:t>Parameters</w:t>
            </w:r>
            <w:proofErr w:type="spellEnd"/>
          </w:p>
        </w:tc>
        <w:tc>
          <w:tcPr>
            <w:tcW w:w="2433" w:type="dxa"/>
            <w:shd w:val="clear" w:color="auto" w:fill="FFFFFF"/>
            <w:tcMar>
              <w:top w:w="0" w:type="dxa"/>
              <w:left w:w="100" w:type="dxa"/>
              <w:bottom w:w="0" w:type="dxa"/>
              <w:right w:w="100" w:type="dxa"/>
            </w:tcMar>
          </w:tcPr>
          <w:p w14:paraId="4B50C45C" w14:textId="00F9CC44" w:rsidR="002A7294" w:rsidRDefault="001A20AB">
            <w:pPr>
              <w:widowControl w:val="0"/>
              <w:spacing w:line="256" w:lineRule="auto"/>
              <w:jc w:val="center"/>
              <w:cnfStyle w:val="100000000000" w:firstRow="1" w:lastRow="0" w:firstColumn="0" w:lastColumn="0" w:oddVBand="0" w:evenVBand="0" w:oddHBand="0" w:evenHBand="0" w:firstRowFirstColumn="0" w:firstRowLastColumn="0" w:lastRowFirstColumn="0" w:lastRowLastColumn="0"/>
            </w:pPr>
            <w:proofErr w:type="spellStart"/>
            <w:r>
              <w:rPr>
                <w:b w:val="0"/>
                <w:color w:val="000000"/>
              </w:rPr>
              <w:t>Early</w:t>
            </w:r>
            <w:proofErr w:type="spellEnd"/>
            <w:r>
              <w:rPr>
                <w:b w:val="0"/>
                <w:color w:val="000000"/>
              </w:rPr>
              <w:t xml:space="preserve"> </w:t>
            </w:r>
            <w:proofErr w:type="spellStart"/>
            <w:r>
              <w:rPr>
                <w:b w:val="0"/>
                <w:color w:val="000000"/>
              </w:rPr>
              <w:t>snowmelt</w:t>
            </w:r>
            <w:proofErr w:type="spellEnd"/>
            <w:r>
              <w:rPr>
                <w:b w:val="0"/>
                <w:color w:val="000000"/>
              </w:rPr>
              <w:t xml:space="preserve"> </w:t>
            </w:r>
            <w:proofErr w:type="spellStart"/>
            <w:r>
              <w:rPr>
                <w:b w:val="0"/>
                <w:color w:val="000000"/>
              </w:rPr>
              <w:t>grasslands</w:t>
            </w:r>
            <w:proofErr w:type="spellEnd"/>
          </w:p>
        </w:tc>
        <w:tc>
          <w:tcPr>
            <w:tcW w:w="2433" w:type="dxa"/>
            <w:shd w:val="clear" w:color="auto" w:fill="FFFFFF"/>
            <w:tcMar>
              <w:top w:w="0" w:type="dxa"/>
              <w:left w:w="100" w:type="dxa"/>
              <w:bottom w:w="0" w:type="dxa"/>
              <w:right w:w="100" w:type="dxa"/>
            </w:tcMar>
          </w:tcPr>
          <w:p w14:paraId="7489EB44" w14:textId="72BEB9A9" w:rsidR="002A7294" w:rsidRDefault="00000000">
            <w:pPr>
              <w:widowControl w:val="0"/>
              <w:spacing w:line="256" w:lineRule="auto"/>
              <w:jc w:val="center"/>
              <w:cnfStyle w:val="100000000000" w:firstRow="1" w:lastRow="0" w:firstColumn="0" w:lastColumn="0" w:oddVBand="0" w:evenVBand="0" w:oddHBand="0" w:evenHBand="0" w:firstRowFirstColumn="0" w:firstRowLastColumn="0" w:lastRowFirstColumn="0" w:lastRowLastColumn="0"/>
            </w:pPr>
            <w:proofErr w:type="spellStart"/>
            <w:r>
              <w:rPr>
                <w:b w:val="0"/>
                <w:color w:val="000000"/>
              </w:rPr>
              <w:t>Intermediate</w:t>
            </w:r>
            <w:proofErr w:type="spellEnd"/>
            <w:r w:rsidR="001A20AB">
              <w:rPr>
                <w:b w:val="0"/>
                <w:color w:val="000000"/>
              </w:rPr>
              <w:t xml:space="preserve"> </w:t>
            </w:r>
            <w:proofErr w:type="spellStart"/>
            <w:r w:rsidR="001A20AB">
              <w:rPr>
                <w:b w:val="0"/>
                <w:color w:val="000000"/>
              </w:rPr>
              <w:t>snowmelt</w:t>
            </w:r>
            <w:proofErr w:type="spellEnd"/>
            <w:r>
              <w:rPr>
                <w:b w:val="0"/>
                <w:color w:val="000000"/>
              </w:rPr>
              <w:t xml:space="preserve"> </w:t>
            </w:r>
            <w:proofErr w:type="spellStart"/>
            <w:r>
              <w:rPr>
                <w:b w:val="0"/>
                <w:color w:val="000000"/>
              </w:rPr>
              <w:t>grasslands</w:t>
            </w:r>
            <w:proofErr w:type="spellEnd"/>
          </w:p>
        </w:tc>
        <w:tc>
          <w:tcPr>
            <w:tcW w:w="2433" w:type="dxa"/>
            <w:shd w:val="clear" w:color="auto" w:fill="FFFFFF"/>
            <w:tcMar>
              <w:top w:w="0" w:type="dxa"/>
              <w:left w:w="100" w:type="dxa"/>
              <w:bottom w:w="0" w:type="dxa"/>
              <w:right w:w="100" w:type="dxa"/>
            </w:tcMar>
          </w:tcPr>
          <w:p w14:paraId="6A13747B" w14:textId="71FE56CF" w:rsidR="002A7294" w:rsidRDefault="001A20AB">
            <w:pPr>
              <w:widowControl w:val="0"/>
              <w:spacing w:line="256" w:lineRule="auto"/>
              <w:jc w:val="center"/>
              <w:cnfStyle w:val="100000000000" w:firstRow="1" w:lastRow="0" w:firstColumn="0" w:lastColumn="0" w:oddVBand="0" w:evenVBand="0" w:oddHBand="0" w:evenHBand="0" w:firstRowFirstColumn="0" w:firstRowLastColumn="0" w:lastRowFirstColumn="0" w:lastRowLastColumn="0"/>
            </w:pPr>
            <w:proofErr w:type="spellStart"/>
            <w:r>
              <w:rPr>
                <w:b w:val="0"/>
                <w:color w:val="000000"/>
              </w:rPr>
              <w:t>Late</w:t>
            </w:r>
            <w:proofErr w:type="spellEnd"/>
            <w:r>
              <w:rPr>
                <w:b w:val="0"/>
                <w:color w:val="000000"/>
              </w:rPr>
              <w:t xml:space="preserve"> </w:t>
            </w:r>
            <w:proofErr w:type="spellStart"/>
            <w:r>
              <w:rPr>
                <w:b w:val="0"/>
                <w:color w:val="000000"/>
              </w:rPr>
              <w:t>snowmelt</w:t>
            </w:r>
            <w:proofErr w:type="spellEnd"/>
            <w:r>
              <w:rPr>
                <w:b w:val="0"/>
                <w:color w:val="000000"/>
              </w:rPr>
              <w:t xml:space="preserve"> </w:t>
            </w:r>
            <w:proofErr w:type="spellStart"/>
            <w:r>
              <w:rPr>
                <w:b w:val="0"/>
                <w:color w:val="000000"/>
              </w:rPr>
              <w:t>grasslands</w:t>
            </w:r>
            <w:proofErr w:type="spellEnd"/>
          </w:p>
        </w:tc>
      </w:tr>
      <w:tr w:rsidR="008F7A40" w14:paraId="60EC2046" w14:textId="77777777" w:rsidTr="001A20AB">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433" w:type="dxa"/>
            <w:shd w:val="clear" w:color="auto" w:fill="FFFFFF"/>
            <w:tcMar>
              <w:top w:w="0" w:type="dxa"/>
              <w:left w:w="100" w:type="dxa"/>
              <w:bottom w:w="0" w:type="dxa"/>
              <w:right w:w="100" w:type="dxa"/>
            </w:tcMar>
          </w:tcPr>
          <w:p w14:paraId="4DDE4DEB" w14:textId="6093C746" w:rsidR="008F7A40" w:rsidRDefault="008F7A40" w:rsidP="008F7A40">
            <w:pPr>
              <w:widowControl w:val="0"/>
              <w:spacing w:line="256" w:lineRule="auto"/>
              <w:jc w:val="center"/>
            </w:pPr>
            <w:proofErr w:type="gramStart"/>
            <w:r>
              <w:rPr>
                <w:b w:val="0"/>
                <w:color w:val="000000"/>
              </w:rPr>
              <w:t>m</w:t>
            </w:r>
            <w:proofErr w:type="gramEnd"/>
            <w:r>
              <w:rPr>
                <w:b w:val="0"/>
                <w:color w:val="000000"/>
              </w:rPr>
              <w:t>1</w:t>
            </w:r>
          </w:p>
        </w:tc>
        <w:tc>
          <w:tcPr>
            <w:tcW w:w="2433" w:type="dxa"/>
            <w:shd w:val="clear" w:color="auto" w:fill="FFFFFF"/>
            <w:tcMar>
              <w:top w:w="0" w:type="dxa"/>
              <w:left w:w="100" w:type="dxa"/>
              <w:bottom w:w="0" w:type="dxa"/>
              <w:right w:w="100" w:type="dxa"/>
            </w:tcMar>
          </w:tcPr>
          <w:p w14:paraId="64600ACF" w14:textId="2050C078" w:rsidR="008F7A40" w:rsidRDefault="008F7A40" w:rsidP="008F7A40">
            <w:pPr>
              <w:widowControl w:val="0"/>
              <w:spacing w:line="256" w:lineRule="auto"/>
              <w:jc w:val="center"/>
              <w:cnfStyle w:val="000000100000" w:firstRow="0" w:lastRow="0" w:firstColumn="0" w:lastColumn="0" w:oddVBand="0" w:evenVBand="0" w:oddHBand="1" w:evenHBand="0" w:firstRowFirstColumn="0" w:firstRowLastColumn="0" w:lastRowFirstColumn="0" w:lastRowLastColumn="0"/>
            </w:pPr>
            <w:r>
              <w:t>-0.0289</w:t>
            </w:r>
          </w:p>
        </w:tc>
        <w:tc>
          <w:tcPr>
            <w:tcW w:w="2433" w:type="dxa"/>
            <w:shd w:val="clear" w:color="auto" w:fill="FFFFFF"/>
            <w:tcMar>
              <w:top w:w="0" w:type="dxa"/>
              <w:left w:w="100" w:type="dxa"/>
              <w:bottom w:w="0" w:type="dxa"/>
              <w:right w:w="100" w:type="dxa"/>
            </w:tcMar>
          </w:tcPr>
          <w:p w14:paraId="538B8A41" w14:textId="54F46E9E" w:rsidR="008F7A40" w:rsidRDefault="008F7A40" w:rsidP="008F7A40">
            <w:pPr>
              <w:widowControl w:val="0"/>
              <w:spacing w:line="256" w:lineRule="auto"/>
              <w:jc w:val="center"/>
              <w:cnfStyle w:val="000000100000" w:firstRow="0" w:lastRow="0" w:firstColumn="0" w:lastColumn="0" w:oddVBand="0" w:evenVBand="0" w:oddHBand="1" w:evenHBand="0" w:firstRowFirstColumn="0" w:firstRowLastColumn="0" w:lastRowFirstColumn="0" w:lastRowLastColumn="0"/>
            </w:pPr>
            <w:r>
              <w:t>-0.0383</w:t>
            </w:r>
          </w:p>
        </w:tc>
        <w:tc>
          <w:tcPr>
            <w:tcW w:w="2433" w:type="dxa"/>
            <w:shd w:val="clear" w:color="auto" w:fill="FFFFFF"/>
            <w:tcMar>
              <w:top w:w="0" w:type="dxa"/>
              <w:left w:w="100" w:type="dxa"/>
              <w:bottom w:w="0" w:type="dxa"/>
              <w:right w:w="100" w:type="dxa"/>
            </w:tcMar>
          </w:tcPr>
          <w:p w14:paraId="2B43BE66" w14:textId="404497FD" w:rsidR="008F7A40" w:rsidRDefault="005744EC" w:rsidP="008F7A40">
            <w:pPr>
              <w:widowControl w:val="0"/>
              <w:spacing w:line="256" w:lineRule="auto"/>
              <w:jc w:val="center"/>
              <w:cnfStyle w:val="000000100000" w:firstRow="0" w:lastRow="0" w:firstColumn="0" w:lastColumn="0" w:oddVBand="0" w:evenVBand="0" w:oddHBand="1" w:evenHBand="0" w:firstRowFirstColumn="0" w:firstRowLastColumn="0" w:lastRowFirstColumn="0" w:lastRowLastColumn="0"/>
            </w:pPr>
            <w:r>
              <w:t>-0.0393</w:t>
            </w:r>
          </w:p>
        </w:tc>
      </w:tr>
      <w:tr w:rsidR="008F7A40" w14:paraId="70BBEEC4" w14:textId="77777777" w:rsidTr="001A20AB">
        <w:trPr>
          <w:trHeight w:val="236"/>
        </w:trPr>
        <w:tc>
          <w:tcPr>
            <w:cnfStyle w:val="001000000000" w:firstRow="0" w:lastRow="0" w:firstColumn="1" w:lastColumn="0" w:oddVBand="0" w:evenVBand="0" w:oddHBand="0" w:evenHBand="0" w:firstRowFirstColumn="0" w:firstRowLastColumn="0" w:lastRowFirstColumn="0" w:lastRowLastColumn="0"/>
            <w:tcW w:w="2433" w:type="dxa"/>
            <w:shd w:val="clear" w:color="auto" w:fill="FFFFFF"/>
            <w:tcMar>
              <w:top w:w="0" w:type="dxa"/>
              <w:left w:w="100" w:type="dxa"/>
              <w:bottom w:w="0" w:type="dxa"/>
              <w:right w:w="100" w:type="dxa"/>
            </w:tcMar>
          </w:tcPr>
          <w:p w14:paraId="5D9F19BC" w14:textId="228790AA" w:rsidR="008F7A40" w:rsidRDefault="008F7A40" w:rsidP="008F7A40">
            <w:pPr>
              <w:widowControl w:val="0"/>
              <w:spacing w:line="256" w:lineRule="auto"/>
              <w:jc w:val="center"/>
            </w:pPr>
            <w:proofErr w:type="gramStart"/>
            <w:r>
              <w:rPr>
                <w:b w:val="0"/>
                <w:color w:val="000000"/>
              </w:rPr>
              <w:t>m</w:t>
            </w:r>
            <w:proofErr w:type="gramEnd"/>
            <w:r>
              <w:rPr>
                <w:b w:val="0"/>
                <w:color w:val="000000"/>
              </w:rPr>
              <w:t>2</w:t>
            </w:r>
          </w:p>
        </w:tc>
        <w:tc>
          <w:tcPr>
            <w:tcW w:w="2433" w:type="dxa"/>
            <w:shd w:val="clear" w:color="auto" w:fill="FFFFFF"/>
            <w:tcMar>
              <w:top w:w="0" w:type="dxa"/>
              <w:left w:w="100" w:type="dxa"/>
              <w:bottom w:w="0" w:type="dxa"/>
              <w:right w:w="100" w:type="dxa"/>
            </w:tcMar>
          </w:tcPr>
          <w:p w14:paraId="3BAB2840" w14:textId="45C595BC" w:rsidR="008F7A40" w:rsidRDefault="008F7A40" w:rsidP="008F7A40">
            <w:pPr>
              <w:widowControl w:val="0"/>
              <w:spacing w:line="256" w:lineRule="auto"/>
              <w:jc w:val="center"/>
              <w:cnfStyle w:val="000000000000" w:firstRow="0" w:lastRow="0" w:firstColumn="0" w:lastColumn="0" w:oddVBand="0" w:evenVBand="0" w:oddHBand="0" w:evenHBand="0" w:firstRowFirstColumn="0" w:firstRowLastColumn="0" w:lastRowFirstColumn="0" w:lastRowLastColumn="0"/>
            </w:pPr>
            <w:r>
              <w:t>1.</w:t>
            </w:r>
            <w:r w:rsidR="005744EC">
              <w:t>2640</w:t>
            </w:r>
          </w:p>
        </w:tc>
        <w:tc>
          <w:tcPr>
            <w:tcW w:w="2433" w:type="dxa"/>
            <w:shd w:val="clear" w:color="auto" w:fill="FFFFFF"/>
            <w:tcMar>
              <w:top w:w="0" w:type="dxa"/>
              <w:left w:w="100" w:type="dxa"/>
              <w:bottom w:w="0" w:type="dxa"/>
              <w:right w:w="100" w:type="dxa"/>
            </w:tcMar>
          </w:tcPr>
          <w:p w14:paraId="3033E8C2" w14:textId="480E2E2E" w:rsidR="008F7A40" w:rsidRDefault="008F7A40" w:rsidP="008F7A40">
            <w:pPr>
              <w:widowControl w:val="0"/>
              <w:spacing w:line="256" w:lineRule="auto"/>
              <w:jc w:val="center"/>
              <w:cnfStyle w:val="000000000000" w:firstRow="0" w:lastRow="0" w:firstColumn="0" w:lastColumn="0" w:oddVBand="0" w:evenVBand="0" w:oddHBand="0" w:evenHBand="0" w:firstRowFirstColumn="0" w:firstRowLastColumn="0" w:lastRowFirstColumn="0" w:lastRowLastColumn="0"/>
            </w:pPr>
            <w:r>
              <w:t>1.0419</w:t>
            </w:r>
          </w:p>
        </w:tc>
        <w:tc>
          <w:tcPr>
            <w:tcW w:w="2433" w:type="dxa"/>
            <w:shd w:val="clear" w:color="auto" w:fill="FFFFFF"/>
            <w:tcMar>
              <w:top w:w="0" w:type="dxa"/>
              <w:left w:w="100" w:type="dxa"/>
              <w:bottom w:w="0" w:type="dxa"/>
              <w:right w:w="100" w:type="dxa"/>
            </w:tcMar>
          </w:tcPr>
          <w:p w14:paraId="52751538" w14:textId="630E6F3A" w:rsidR="008F7A40" w:rsidRDefault="008F7A40" w:rsidP="008F7A40">
            <w:pPr>
              <w:widowControl w:val="0"/>
              <w:spacing w:line="256" w:lineRule="auto"/>
              <w:jc w:val="center"/>
              <w:cnfStyle w:val="000000000000" w:firstRow="0" w:lastRow="0" w:firstColumn="0" w:lastColumn="0" w:oddVBand="0" w:evenVBand="0" w:oddHBand="0" w:evenHBand="0" w:firstRowFirstColumn="0" w:firstRowLastColumn="0" w:lastRowFirstColumn="0" w:lastRowLastColumn="0"/>
            </w:pPr>
            <w:r>
              <w:t>0.</w:t>
            </w:r>
            <w:r w:rsidR="005744EC">
              <w:t>4204</w:t>
            </w:r>
          </w:p>
        </w:tc>
      </w:tr>
      <w:tr w:rsidR="008F7A40" w14:paraId="1C177E5B" w14:textId="77777777" w:rsidTr="001A20AB">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433" w:type="dxa"/>
            <w:shd w:val="clear" w:color="auto" w:fill="FFFFFF"/>
            <w:tcMar>
              <w:top w:w="0" w:type="dxa"/>
              <w:left w:w="100" w:type="dxa"/>
              <w:bottom w:w="0" w:type="dxa"/>
              <w:right w:w="100" w:type="dxa"/>
            </w:tcMar>
          </w:tcPr>
          <w:p w14:paraId="74C3C4D8" w14:textId="3BCE0014" w:rsidR="008F7A40" w:rsidRDefault="008F7A40" w:rsidP="008F7A40">
            <w:pPr>
              <w:widowControl w:val="0"/>
              <w:spacing w:line="256" w:lineRule="auto"/>
              <w:jc w:val="center"/>
            </w:pPr>
            <w:proofErr w:type="gramStart"/>
            <w:r>
              <w:rPr>
                <w:b w:val="0"/>
                <w:color w:val="000000"/>
              </w:rPr>
              <w:t>m</w:t>
            </w:r>
            <w:proofErr w:type="gramEnd"/>
            <w:r>
              <w:rPr>
                <w:b w:val="0"/>
                <w:color w:val="000000"/>
              </w:rPr>
              <w:t>3</w:t>
            </w:r>
          </w:p>
        </w:tc>
        <w:tc>
          <w:tcPr>
            <w:tcW w:w="2433" w:type="dxa"/>
            <w:shd w:val="clear" w:color="auto" w:fill="FFFFFF"/>
            <w:tcMar>
              <w:top w:w="0" w:type="dxa"/>
              <w:left w:w="100" w:type="dxa"/>
              <w:bottom w:w="0" w:type="dxa"/>
              <w:right w:w="100" w:type="dxa"/>
            </w:tcMar>
          </w:tcPr>
          <w:p w14:paraId="15638530" w14:textId="68E5CA57" w:rsidR="008F7A40" w:rsidRDefault="005744EC" w:rsidP="008F7A40">
            <w:pPr>
              <w:widowControl w:val="0"/>
              <w:spacing w:line="256" w:lineRule="auto"/>
              <w:jc w:val="center"/>
              <w:cnfStyle w:val="000000100000" w:firstRow="0" w:lastRow="0" w:firstColumn="0" w:lastColumn="0" w:oddVBand="0" w:evenVBand="0" w:oddHBand="1" w:evenHBand="0" w:firstRowFirstColumn="0" w:firstRowLastColumn="0" w:lastRowFirstColumn="0" w:lastRowLastColumn="0"/>
            </w:pPr>
            <w:r>
              <w:t>154.30</w:t>
            </w:r>
          </w:p>
        </w:tc>
        <w:tc>
          <w:tcPr>
            <w:tcW w:w="2433" w:type="dxa"/>
            <w:shd w:val="clear" w:color="auto" w:fill="FFFFFF"/>
            <w:tcMar>
              <w:top w:w="0" w:type="dxa"/>
              <w:left w:w="100" w:type="dxa"/>
              <w:bottom w:w="0" w:type="dxa"/>
              <w:right w:w="100" w:type="dxa"/>
            </w:tcMar>
          </w:tcPr>
          <w:p w14:paraId="25F93983" w14:textId="52906BF5" w:rsidR="008F7A40" w:rsidRDefault="008F7A40" w:rsidP="008F7A40">
            <w:pPr>
              <w:widowControl w:val="0"/>
              <w:spacing w:line="256" w:lineRule="auto"/>
              <w:jc w:val="center"/>
              <w:cnfStyle w:val="000000100000" w:firstRow="0" w:lastRow="0" w:firstColumn="0" w:lastColumn="0" w:oddVBand="0" w:evenVBand="0" w:oddHBand="1" w:evenHBand="0" w:firstRowFirstColumn="0" w:firstRowLastColumn="0" w:lastRowFirstColumn="0" w:lastRowLastColumn="0"/>
            </w:pPr>
            <w:r>
              <w:t>170.53</w:t>
            </w:r>
          </w:p>
        </w:tc>
        <w:tc>
          <w:tcPr>
            <w:tcW w:w="2433" w:type="dxa"/>
            <w:shd w:val="clear" w:color="auto" w:fill="FFFFFF"/>
            <w:tcMar>
              <w:top w:w="0" w:type="dxa"/>
              <w:left w:w="100" w:type="dxa"/>
              <w:bottom w:w="0" w:type="dxa"/>
              <w:right w:w="100" w:type="dxa"/>
            </w:tcMar>
          </w:tcPr>
          <w:p w14:paraId="65201D78" w14:textId="098A759E" w:rsidR="008F7A40" w:rsidRDefault="005744EC" w:rsidP="008F7A40">
            <w:pPr>
              <w:widowControl w:val="0"/>
              <w:spacing w:line="256" w:lineRule="auto"/>
              <w:jc w:val="center"/>
              <w:cnfStyle w:val="000000100000" w:firstRow="0" w:lastRow="0" w:firstColumn="0" w:lastColumn="0" w:oddVBand="0" w:evenVBand="0" w:oddHBand="1" w:evenHBand="0" w:firstRowFirstColumn="0" w:firstRowLastColumn="0" w:lastRowFirstColumn="0" w:lastRowLastColumn="0"/>
            </w:pPr>
            <w:r>
              <w:t>180.39</w:t>
            </w:r>
          </w:p>
        </w:tc>
      </w:tr>
      <w:tr w:rsidR="008F7A40" w14:paraId="60F53BE9" w14:textId="77777777" w:rsidTr="001A20AB">
        <w:trPr>
          <w:trHeight w:val="236"/>
        </w:trPr>
        <w:tc>
          <w:tcPr>
            <w:cnfStyle w:val="001000000000" w:firstRow="0" w:lastRow="0" w:firstColumn="1" w:lastColumn="0" w:oddVBand="0" w:evenVBand="0" w:oddHBand="0" w:evenHBand="0" w:firstRowFirstColumn="0" w:firstRowLastColumn="0" w:lastRowFirstColumn="0" w:lastRowLastColumn="0"/>
            <w:tcW w:w="2433" w:type="dxa"/>
            <w:shd w:val="clear" w:color="auto" w:fill="FFFFFF"/>
            <w:tcMar>
              <w:top w:w="0" w:type="dxa"/>
              <w:left w:w="100" w:type="dxa"/>
              <w:bottom w:w="0" w:type="dxa"/>
              <w:right w:w="100" w:type="dxa"/>
            </w:tcMar>
          </w:tcPr>
          <w:p w14:paraId="4C5722E7" w14:textId="1FCED92F" w:rsidR="008F7A40" w:rsidRDefault="008F7A40" w:rsidP="008F7A40">
            <w:pPr>
              <w:widowControl w:val="0"/>
              <w:spacing w:line="256" w:lineRule="auto"/>
              <w:jc w:val="center"/>
            </w:pPr>
            <w:proofErr w:type="gramStart"/>
            <w:r>
              <w:rPr>
                <w:b w:val="0"/>
                <w:color w:val="000000"/>
              </w:rPr>
              <w:t>m</w:t>
            </w:r>
            <w:proofErr w:type="gramEnd"/>
            <w:r>
              <w:rPr>
                <w:b w:val="0"/>
                <w:color w:val="000000"/>
              </w:rPr>
              <w:t>4</w:t>
            </w:r>
          </w:p>
        </w:tc>
        <w:tc>
          <w:tcPr>
            <w:tcW w:w="2433" w:type="dxa"/>
            <w:shd w:val="clear" w:color="auto" w:fill="FFFFFF"/>
            <w:tcMar>
              <w:top w:w="0" w:type="dxa"/>
              <w:left w:w="100" w:type="dxa"/>
              <w:bottom w:w="0" w:type="dxa"/>
              <w:right w:w="100" w:type="dxa"/>
            </w:tcMar>
          </w:tcPr>
          <w:p w14:paraId="45E2DA73" w14:textId="5D6EAF0C" w:rsidR="008F7A40" w:rsidRDefault="005744EC" w:rsidP="008F7A40">
            <w:pPr>
              <w:widowControl w:val="0"/>
              <w:spacing w:line="256" w:lineRule="auto"/>
              <w:jc w:val="center"/>
              <w:cnfStyle w:val="000000000000" w:firstRow="0" w:lastRow="0" w:firstColumn="0" w:lastColumn="0" w:oddVBand="0" w:evenVBand="0" w:oddHBand="0" w:evenHBand="0" w:firstRowFirstColumn="0" w:firstRowLastColumn="0" w:lastRowFirstColumn="0" w:lastRowLastColumn="0"/>
            </w:pPr>
            <w:r>
              <w:t>0.0678</w:t>
            </w:r>
          </w:p>
        </w:tc>
        <w:tc>
          <w:tcPr>
            <w:tcW w:w="2433" w:type="dxa"/>
            <w:shd w:val="clear" w:color="auto" w:fill="FFFFFF"/>
            <w:tcMar>
              <w:top w:w="0" w:type="dxa"/>
              <w:left w:w="100" w:type="dxa"/>
              <w:bottom w:w="0" w:type="dxa"/>
              <w:right w:w="100" w:type="dxa"/>
            </w:tcMar>
          </w:tcPr>
          <w:p w14:paraId="2AE34226" w14:textId="7A3E4A6E" w:rsidR="008F7A40" w:rsidRDefault="008F7A40" w:rsidP="008F7A40">
            <w:pPr>
              <w:widowControl w:val="0"/>
              <w:spacing w:line="256" w:lineRule="auto"/>
              <w:jc w:val="center"/>
              <w:cnfStyle w:val="000000000000" w:firstRow="0" w:lastRow="0" w:firstColumn="0" w:lastColumn="0" w:oddVBand="0" w:evenVBand="0" w:oddHBand="0" w:evenHBand="0" w:firstRowFirstColumn="0" w:firstRowLastColumn="0" w:lastRowFirstColumn="0" w:lastRowLastColumn="0"/>
            </w:pPr>
            <w:r>
              <w:t>0.0784</w:t>
            </w:r>
          </w:p>
        </w:tc>
        <w:tc>
          <w:tcPr>
            <w:tcW w:w="2433" w:type="dxa"/>
            <w:shd w:val="clear" w:color="auto" w:fill="FFFFFF"/>
            <w:tcMar>
              <w:top w:w="0" w:type="dxa"/>
              <w:left w:w="100" w:type="dxa"/>
              <w:bottom w:w="0" w:type="dxa"/>
              <w:right w:w="100" w:type="dxa"/>
            </w:tcMar>
          </w:tcPr>
          <w:p w14:paraId="6B6D7382" w14:textId="42BA4D74" w:rsidR="008F7A40" w:rsidRDefault="005744EC" w:rsidP="008F7A40">
            <w:pPr>
              <w:widowControl w:val="0"/>
              <w:spacing w:line="256" w:lineRule="auto"/>
              <w:jc w:val="center"/>
              <w:cnfStyle w:val="000000000000" w:firstRow="0" w:lastRow="0" w:firstColumn="0" w:lastColumn="0" w:oddVBand="0" w:evenVBand="0" w:oddHBand="0" w:evenHBand="0" w:firstRowFirstColumn="0" w:firstRowLastColumn="0" w:lastRowFirstColumn="0" w:lastRowLastColumn="0"/>
            </w:pPr>
            <w:r>
              <w:t>0.0799</w:t>
            </w:r>
          </w:p>
        </w:tc>
      </w:tr>
      <w:tr w:rsidR="008F7A40" w14:paraId="37367FFB" w14:textId="77777777" w:rsidTr="001A20AB">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433" w:type="dxa"/>
            <w:shd w:val="clear" w:color="auto" w:fill="FFFFFF"/>
            <w:tcMar>
              <w:top w:w="0" w:type="dxa"/>
              <w:left w:w="100" w:type="dxa"/>
              <w:bottom w:w="0" w:type="dxa"/>
              <w:right w:w="100" w:type="dxa"/>
            </w:tcMar>
          </w:tcPr>
          <w:p w14:paraId="3B0832E2" w14:textId="003A3FC6" w:rsidR="008F7A40" w:rsidRDefault="008F7A40" w:rsidP="008F7A40">
            <w:pPr>
              <w:widowControl w:val="0"/>
              <w:spacing w:line="256" w:lineRule="auto"/>
              <w:jc w:val="center"/>
            </w:pPr>
            <w:proofErr w:type="gramStart"/>
            <w:r>
              <w:rPr>
                <w:b w:val="0"/>
                <w:color w:val="000000"/>
              </w:rPr>
              <w:t>m</w:t>
            </w:r>
            <w:proofErr w:type="gramEnd"/>
            <w:r>
              <w:rPr>
                <w:b w:val="0"/>
                <w:color w:val="000000"/>
              </w:rPr>
              <w:t>5</w:t>
            </w:r>
          </w:p>
        </w:tc>
        <w:tc>
          <w:tcPr>
            <w:tcW w:w="2433" w:type="dxa"/>
            <w:shd w:val="clear" w:color="auto" w:fill="FFFFFF"/>
            <w:tcMar>
              <w:top w:w="0" w:type="dxa"/>
              <w:left w:w="100" w:type="dxa"/>
              <w:bottom w:w="0" w:type="dxa"/>
              <w:right w:w="100" w:type="dxa"/>
            </w:tcMar>
          </w:tcPr>
          <w:p w14:paraId="4494EEC1" w14:textId="55AD403B" w:rsidR="008F7A40" w:rsidRDefault="005744EC" w:rsidP="008F7A40">
            <w:pPr>
              <w:widowControl w:val="0"/>
              <w:spacing w:line="256" w:lineRule="auto"/>
              <w:jc w:val="center"/>
              <w:cnfStyle w:val="000000100000" w:firstRow="0" w:lastRow="0" w:firstColumn="0" w:lastColumn="0" w:oddVBand="0" w:evenVBand="0" w:oddHBand="1" w:evenHBand="0" w:firstRowFirstColumn="0" w:firstRowLastColumn="0" w:lastRowFirstColumn="0" w:lastRowLastColumn="0"/>
            </w:pPr>
            <w:r>
              <w:t>313.26</w:t>
            </w:r>
          </w:p>
        </w:tc>
        <w:tc>
          <w:tcPr>
            <w:tcW w:w="2433" w:type="dxa"/>
            <w:shd w:val="clear" w:color="auto" w:fill="FFFFFF"/>
            <w:tcMar>
              <w:top w:w="0" w:type="dxa"/>
              <w:left w:w="100" w:type="dxa"/>
              <w:bottom w:w="0" w:type="dxa"/>
              <w:right w:w="100" w:type="dxa"/>
            </w:tcMar>
          </w:tcPr>
          <w:p w14:paraId="2098361C" w14:textId="72860534" w:rsidR="008F7A40" w:rsidRDefault="008F7A40" w:rsidP="008F7A40">
            <w:pPr>
              <w:widowControl w:val="0"/>
              <w:spacing w:line="256" w:lineRule="auto"/>
              <w:jc w:val="center"/>
              <w:cnfStyle w:val="000000100000" w:firstRow="0" w:lastRow="0" w:firstColumn="0" w:lastColumn="0" w:oddVBand="0" w:evenVBand="0" w:oddHBand="1" w:evenHBand="0" w:firstRowFirstColumn="0" w:firstRowLastColumn="0" w:lastRowFirstColumn="0" w:lastRowLastColumn="0"/>
            </w:pPr>
            <w:r>
              <w:t>305.23</w:t>
            </w:r>
          </w:p>
        </w:tc>
        <w:tc>
          <w:tcPr>
            <w:tcW w:w="2433" w:type="dxa"/>
            <w:shd w:val="clear" w:color="auto" w:fill="FFFFFF"/>
            <w:tcMar>
              <w:top w:w="0" w:type="dxa"/>
              <w:left w:w="100" w:type="dxa"/>
              <w:bottom w:w="0" w:type="dxa"/>
              <w:right w:w="100" w:type="dxa"/>
            </w:tcMar>
          </w:tcPr>
          <w:p w14:paraId="0A609B67" w14:textId="1A828817" w:rsidR="008F7A40" w:rsidRDefault="005744EC" w:rsidP="008F7A40">
            <w:pPr>
              <w:widowControl w:val="0"/>
              <w:spacing w:line="256" w:lineRule="auto"/>
              <w:jc w:val="center"/>
              <w:cnfStyle w:val="000000100000" w:firstRow="0" w:lastRow="0" w:firstColumn="0" w:lastColumn="0" w:oddVBand="0" w:evenVBand="0" w:oddHBand="1" w:evenHBand="0" w:firstRowFirstColumn="0" w:firstRowLastColumn="0" w:lastRowFirstColumn="0" w:lastRowLastColumn="0"/>
            </w:pPr>
            <w:r>
              <w:t>292.51</w:t>
            </w:r>
          </w:p>
        </w:tc>
      </w:tr>
      <w:tr w:rsidR="008F7A40" w14:paraId="3026B47F" w14:textId="77777777" w:rsidTr="001A20AB">
        <w:trPr>
          <w:trHeight w:val="236"/>
        </w:trPr>
        <w:tc>
          <w:tcPr>
            <w:cnfStyle w:val="001000000000" w:firstRow="0" w:lastRow="0" w:firstColumn="1" w:lastColumn="0" w:oddVBand="0" w:evenVBand="0" w:oddHBand="0" w:evenHBand="0" w:firstRowFirstColumn="0" w:firstRowLastColumn="0" w:lastRowFirstColumn="0" w:lastRowLastColumn="0"/>
            <w:tcW w:w="2433" w:type="dxa"/>
            <w:shd w:val="clear" w:color="auto" w:fill="FFFFFF"/>
            <w:tcMar>
              <w:top w:w="0" w:type="dxa"/>
              <w:left w:w="100" w:type="dxa"/>
              <w:bottom w:w="0" w:type="dxa"/>
              <w:right w:w="100" w:type="dxa"/>
            </w:tcMar>
          </w:tcPr>
          <w:p w14:paraId="40D8978D" w14:textId="1CAB98EC" w:rsidR="008F7A40" w:rsidRDefault="008F7A40" w:rsidP="008F7A40">
            <w:pPr>
              <w:widowControl w:val="0"/>
              <w:spacing w:line="256" w:lineRule="auto"/>
              <w:jc w:val="center"/>
            </w:pPr>
            <w:proofErr w:type="gramStart"/>
            <w:r>
              <w:rPr>
                <w:b w:val="0"/>
                <w:color w:val="000000"/>
              </w:rPr>
              <w:t>m</w:t>
            </w:r>
            <w:proofErr w:type="gramEnd"/>
            <w:r>
              <w:rPr>
                <w:b w:val="0"/>
                <w:color w:val="000000"/>
              </w:rPr>
              <w:t>6</w:t>
            </w:r>
          </w:p>
        </w:tc>
        <w:tc>
          <w:tcPr>
            <w:tcW w:w="2433" w:type="dxa"/>
            <w:shd w:val="clear" w:color="auto" w:fill="FFFFFF"/>
            <w:tcMar>
              <w:top w:w="0" w:type="dxa"/>
              <w:left w:w="100" w:type="dxa"/>
              <w:bottom w:w="0" w:type="dxa"/>
              <w:right w:w="100" w:type="dxa"/>
            </w:tcMar>
          </w:tcPr>
          <w:p w14:paraId="503ACE1E" w14:textId="3BDD61EE" w:rsidR="008F7A40" w:rsidRDefault="005744EC" w:rsidP="008F7A40">
            <w:pPr>
              <w:widowControl w:val="0"/>
              <w:spacing w:line="256" w:lineRule="auto"/>
              <w:jc w:val="center"/>
              <w:cnfStyle w:val="000000000000" w:firstRow="0" w:lastRow="0" w:firstColumn="0" w:lastColumn="0" w:oddVBand="0" w:evenVBand="0" w:oddHBand="0" w:evenHBand="0" w:firstRowFirstColumn="0" w:firstRowLastColumn="0" w:lastRowFirstColumn="0" w:lastRowLastColumn="0"/>
            </w:pPr>
            <w:r>
              <w:t>0.1081</w:t>
            </w:r>
          </w:p>
        </w:tc>
        <w:tc>
          <w:tcPr>
            <w:tcW w:w="2433" w:type="dxa"/>
            <w:shd w:val="clear" w:color="auto" w:fill="FFFFFF"/>
            <w:tcMar>
              <w:top w:w="0" w:type="dxa"/>
              <w:left w:w="100" w:type="dxa"/>
              <w:bottom w:w="0" w:type="dxa"/>
              <w:right w:w="100" w:type="dxa"/>
            </w:tcMar>
          </w:tcPr>
          <w:p w14:paraId="7B024331" w14:textId="3702C6D8" w:rsidR="008F7A40" w:rsidRDefault="008F7A40" w:rsidP="008F7A40">
            <w:pPr>
              <w:widowControl w:val="0"/>
              <w:spacing w:line="256" w:lineRule="auto"/>
              <w:jc w:val="center"/>
              <w:cnfStyle w:val="000000000000" w:firstRow="0" w:lastRow="0" w:firstColumn="0" w:lastColumn="0" w:oddVBand="0" w:evenVBand="0" w:oddHBand="0" w:evenHBand="0" w:firstRowFirstColumn="0" w:firstRowLastColumn="0" w:lastRowFirstColumn="0" w:lastRowLastColumn="0"/>
            </w:pPr>
            <w:r>
              <w:t>0.1162</w:t>
            </w:r>
          </w:p>
        </w:tc>
        <w:tc>
          <w:tcPr>
            <w:tcW w:w="2433" w:type="dxa"/>
            <w:shd w:val="clear" w:color="auto" w:fill="FFFFFF"/>
            <w:tcMar>
              <w:top w:w="0" w:type="dxa"/>
              <w:left w:w="100" w:type="dxa"/>
              <w:bottom w:w="0" w:type="dxa"/>
              <w:right w:w="100" w:type="dxa"/>
            </w:tcMar>
          </w:tcPr>
          <w:p w14:paraId="20D89707" w14:textId="00932F14" w:rsidR="008F7A40" w:rsidRDefault="005744EC" w:rsidP="008F7A40">
            <w:pPr>
              <w:widowControl w:val="0"/>
              <w:spacing w:line="256" w:lineRule="auto"/>
              <w:jc w:val="center"/>
              <w:cnfStyle w:val="000000000000" w:firstRow="0" w:lastRow="0" w:firstColumn="0" w:lastColumn="0" w:oddVBand="0" w:evenVBand="0" w:oddHBand="0" w:evenHBand="0" w:firstRowFirstColumn="0" w:firstRowLastColumn="0" w:lastRowFirstColumn="0" w:lastRowLastColumn="0"/>
            </w:pPr>
            <w:r>
              <w:t>0.0965</w:t>
            </w:r>
          </w:p>
        </w:tc>
      </w:tr>
      <w:tr w:rsidR="008F7A40" w14:paraId="494051B3" w14:textId="77777777" w:rsidTr="001A20AB">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433" w:type="dxa"/>
            <w:shd w:val="clear" w:color="auto" w:fill="FFFFFF"/>
            <w:tcMar>
              <w:top w:w="0" w:type="dxa"/>
              <w:left w:w="100" w:type="dxa"/>
              <w:bottom w:w="0" w:type="dxa"/>
              <w:right w:w="100" w:type="dxa"/>
            </w:tcMar>
          </w:tcPr>
          <w:p w14:paraId="55AE4319" w14:textId="06ACE48B" w:rsidR="008F7A40" w:rsidDel="008F7A40" w:rsidRDefault="008F7A40" w:rsidP="008F7A40">
            <w:pPr>
              <w:widowControl w:val="0"/>
              <w:spacing w:line="256" w:lineRule="auto"/>
              <w:jc w:val="center"/>
              <w:rPr>
                <w:color w:val="000000"/>
              </w:rPr>
            </w:pPr>
            <w:proofErr w:type="gramStart"/>
            <w:r>
              <w:rPr>
                <w:b w:val="0"/>
                <w:color w:val="000000"/>
              </w:rPr>
              <w:t>m</w:t>
            </w:r>
            <w:proofErr w:type="gramEnd"/>
            <w:r>
              <w:rPr>
                <w:b w:val="0"/>
                <w:color w:val="000000"/>
              </w:rPr>
              <w:t>7</w:t>
            </w:r>
          </w:p>
        </w:tc>
        <w:tc>
          <w:tcPr>
            <w:tcW w:w="2433" w:type="dxa"/>
            <w:shd w:val="clear" w:color="auto" w:fill="FFFFFF"/>
            <w:tcMar>
              <w:top w:w="0" w:type="dxa"/>
              <w:left w:w="100" w:type="dxa"/>
              <w:bottom w:w="0" w:type="dxa"/>
              <w:right w:w="100" w:type="dxa"/>
            </w:tcMar>
          </w:tcPr>
          <w:p w14:paraId="1950F252" w14:textId="0E8F5D51" w:rsidR="008F7A40" w:rsidRDefault="008F7A40" w:rsidP="008F7A40">
            <w:pPr>
              <w:widowControl w:val="0"/>
              <w:spacing w:line="256" w:lineRule="auto"/>
              <w:jc w:val="center"/>
              <w:cnfStyle w:val="000000100000" w:firstRow="0" w:lastRow="0" w:firstColumn="0" w:lastColumn="0" w:oddVBand="0" w:evenVBand="0" w:oddHBand="1" w:evenHBand="0" w:firstRowFirstColumn="0" w:firstRowLastColumn="0" w:lastRowFirstColumn="0" w:lastRowLastColumn="0"/>
            </w:pPr>
            <w:r>
              <w:t>0.002</w:t>
            </w:r>
            <w:r w:rsidR="005744EC">
              <w:t>2</w:t>
            </w:r>
          </w:p>
        </w:tc>
        <w:tc>
          <w:tcPr>
            <w:tcW w:w="2433" w:type="dxa"/>
            <w:shd w:val="clear" w:color="auto" w:fill="FFFFFF"/>
            <w:tcMar>
              <w:top w:w="0" w:type="dxa"/>
              <w:left w:w="100" w:type="dxa"/>
              <w:bottom w:w="0" w:type="dxa"/>
              <w:right w:w="100" w:type="dxa"/>
            </w:tcMar>
          </w:tcPr>
          <w:p w14:paraId="516CFE44" w14:textId="767A0526" w:rsidR="008F7A40" w:rsidRDefault="008F7A40" w:rsidP="008F7A40">
            <w:pPr>
              <w:widowControl w:val="0"/>
              <w:spacing w:line="256" w:lineRule="auto"/>
              <w:jc w:val="center"/>
              <w:cnfStyle w:val="000000100000" w:firstRow="0" w:lastRow="0" w:firstColumn="0" w:lastColumn="0" w:oddVBand="0" w:evenVBand="0" w:oddHBand="1" w:evenHBand="0" w:firstRowFirstColumn="0" w:firstRowLastColumn="0" w:lastRowFirstColumn="0" w:lastRowLastColumn="0"/>
            </w:pPr>
            <w:r>
              <w:t>0.0020</w:t>
            </w:r>
          </w:p>
        </w:tc>
        <w:tc>
          <w:tcPr>
            <w:tcW w:w="2433" w:type="dxa"/>
            <w:shd w:val="clear" w:color="auto" w:fill="FFFFFF"/>
            <w:tcMar>
              <w:top w:w="0" w:type="dxa"/>
              <w:left w:w="100" w:type="dxa"/>
              <w:bottom w:w="0" w:type="dxa"/>
              <w:right w:w="100" w:type="dxa"/>
            </w:tcMar>
          </w:tcPr>
          <w:p w14:paraId="5D6365AC" w14:textId="1E1FA8AE" w:rsidR="008F7A40" w:rsidRDefault="005744EC" w:rsidP="008F7A40">
            <w:pPr>
              <w:widowControl w:val="0"/>
              <w:spacing w:line="256" w:lineRule="auto"/>
              <w:jc w:val="center"/>
              <w:cnfStyle w:val="000000100000" w:firstRow="0" w:lastRow="0" w:firstColumn="0" w:lastColumn="0" w:oddVBand="0" w:evenVBand="0" w:oddHBand="1" w:evenHBand="0" w:firstRowFirstColumn="0" w:firstRowLastColumn="0" w:lastRowFirstColumn="0" w:lastRowLastColumn="0"/>
            </w:pPr>
            <w:r>
              <w:t>0.0005</w:t>
            </w:r>
          </w:p>
        </w:tc>
      </w:tr>
    </w:tbl>
    <w:p w14:paraId="57E73484" w14:textId="77777777" w:rsidR="002A7294" w:rsidRDefault="002A7294">
      <w:pPr>
        <w:jc w:val="both"/>
        <w:rPr>
          <w:b/>
          <w:u w:val="single"/>
        </w:rPr>
      </w:pPr>
    </w:p>
    <w:p w14:paraId="5EFFF61A" w14:textId="77777777" w:rsidR="002F362B" w:rsidRPr="001D6303" w:rsidRDefault="002F362B" w:rsidP="002F362B">
      <w:pPr>
        <w:spacing w:line="360" w:lineRule="auto"/>
        <w:jc w:val="center"/>
        <w:rPr>
          <w:rFonts w:ascii="Times New Roman" w:eastAsia="Times New Roman" w:hAnsi="Times New Roman" w:cs="Times New Roman"/>
          <w:i/>
        </w:rPr>
      </w:pPr>
      <w:r>
        <w:rPr>
          <w:rFonts w:ascii="Times New Roman" w:eastAsia="Times New Roman" w:hAnsi="Times New Roman" w:cs="Times New Roman"/>
          <w:i/>
          <w:noProof/>
        </w:rPr>
        <w:drawing>
          <wp:inline distT="0" distB="0" distL="0" distR="0" wp14:anchorId="0A6A39AA" wp14:editId="2832DC51">
            <wp:extent cx="5730875" cy="5337810"/>
            <wp:effectExtent l="0" t="0" r="3175" b="0"/>
            <wp:docPr id="1483536347" name="Image 1" descr="Une image contenant texte, capture d’écran,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536347" name="Image 1" descr="Une image contenant texte, capture d’écran, Police&#10;&#10;Description générée automatiquemen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0875" cy="5337810"/>
                    </a:xfrm>
                    <a:prstGeom prst="rect">
                      <a:avLst/>
                    </a:prstGeom>
                    <a:noFill/>
                    <a:ln>
                      <a:noFill/>
                    </a:ln>
                  </pic:spPr>
                </pic:pic>
              </a:graphicData>
            </a:graphic>
          </wp:inline>
        </w:drawing>
      </w:r>
    </w:p>
    <w:p w14:paraId="1C9139FC" w14:textId="68F889CE" w:rsidR="002F362B" w:rsidRPr="001F4282" w:rsidRDefault="002F362B" w:rsidP="002F362B">
      <w:pPr>
        <w:widowControl w:val="0"/>
        <w:spacing w:line="360" w:lineRule="auto"/>
        <w:jc w:val="both"/>
        <w:rPr>
          <w:rFonts w:eastAsia="Times New Roman"/>
          <w:lang w:val="en-US"/>
        </w:rPr>
      </w:pPr>
      <w:r w:rsidRPr="001F4282">
        <w:rPr>
          <w:rFonts w:eastAsia="Times New Roman"/>
          <w:b/>
          <w:color w:val="000000"/>
          <w:lang w:val="en-US"/>
        </w:rPr>
        <w:t xml:space="preserve">Figure </w:t>
      </w:r>
      <w:r w:rsidRPr="001F4282">
        <w:rPr>
          <w:rFonts w:eastAsia="Times New Roman"/>
          <w:b/>
          <w:color w:val="000000"/>
          <w:lang w:val="en-US"/>
        </w:rPr>
        <w:t>S</w:t>
      </w:r>
      <w:r w:rsidRPr="001F4282">
        <w:rPr>
          <w:rFonts w:eastAsia="Times New Roman"/>
          <w:b/>
          <w:lang w:val="en-US"/>
        </w:rPr>
        <w:t>1</w:t>
      </w:r>
      <w:r w:rsidRPr="001F4282">
        <w:rPr>
          <w:rFonts w:eastAsia="Times New Roman"/>
          <w:b/>
          <w:color w:val="000000"/>
          <w:lang w:val="en-US"/>
        </w:rPr>
        <w:t xml:space="preserve">. </w:t>
      </w:r>
      <w:r w:rsidRPr="001F4282">
        <w:rPr>
          <w:rFonts w:eastAsia="Times New Roman"/>
          <w:color w:val="000000"/>
          <w:lang w:val="en-US"/>
        </w:rPr>
        <w:t xml:space="preserve">Flow chart illustrating the procedure to investigate the Landsat sampling bias and its </w:t>
      </w:r>
      <w:r w:rsidRPr="001F4282">
        <w:rPr>
          <w:rFonts w:eastAsia="Times New Roman"/>
          <w:lang w:val="en-US"/>
        </w:rPr>
        <w:t xml:space="preserve">effects </w:t>
      </w:r>
      <w:r w:rsidRPr="001F4282">
        <w:rPr>
          <w:rFonts w:eastAsia="Times New Roman"/>
          <w:color w:val="000000"/>
          <w:lang w:val="en-US"/>
        </w:rPr>
        <w:t xml:space="preserve">on estimation of greening trends in the European Alps. </w:t>
      </w:r>
      <w:r w:rsidRPr="001F4282">
        <w:rPr>
          <w:rFonts w:eastAsia="Times New Roman"/>
          <w:lang w:val="en-US"/>
        </w:rPr>
        <w:t xml:space="preserve">Following </w:t>
      </w:r>
      <w:r w:rsidRPr="001F4282">
        <w:rPr>
          <w:rFonts w:eastAsia="Times New Roman"/>
          <w:color w:val="000000"/>
          <w:lang w:val="en-US"/>
        </w:rPr>
        <w:t xml:space="preserve">conventional </w:t>
      </w:r>
      <w:r w:rsidRPr="001F4282">
        <w:rPr>
          <w:rFonts w:eastAsia="Times New Roman"/>
          <w:color w:val="000000"/>
          <w:lang w:val="en-US"/>
        </w:rPr>
        <w:lastRenderedPageBreak/>
        <w:t xml:space="preserve">symbology, datasets are represented by rectangles and processing is represented by ovals. Initial unprocessed datasets are represented in green shaded rectangles while red shaded rectangles correspond to final metrics. The dotted rectangles represent the </w:t>
      </w:r>
      <w:r w:rsidRPr="001F4282">
        <w:rPr>
          <w:rFonts w:eastAsia="Times New Roman"/>
          <w:lang w:val="en-US"/>
        </w:rPr>
        <w:t>three</w:t>
      </w:r>
      <w:r w:rsidRPr="001F4282">
        <w:rPr>
          <w:rFonts w:eastAsia="Times New Roman"/>
          <w:color w:val="000000"/>
          <w:lang w:val="en-US"/>
        </w:rPr>
        <w:t xml:space="preserve"> main processing steps and </w:t>
      </w:r>
      <w:r w:rsidRPr="001F4282">
        <w:rPr>
          <w:rFonts w:eastAsia="Times New Roman"/>
          <w:lang w:val="en-US"/>
        </w:rPr>
        <w:t>correspond</w:t>
      </w:r>
      <w:r w:rsidRPr="001F4282">
        <w:rPr>
          <w:rFonts w:eastAsia="Times New Roman"/>
          <w:color w:val="000000"/>
          <w:lang w:val="en-US"/>
        </w:rPr>
        <w:t xml:space="preserve"> to </w:t>
      </w:r>
      <w:r w:rsidRPr="001F4282">
        <w:rPr>
          <w:rFonts w:eastAsia="Times New Roman"/>
          <w:lang w:val="en-US"/>
        </w:rPr>
        <w:t>sections</w:t>
      </w:r>
      <w:r w:rsidRPr="001F4282">
        <w:rPr>
          <w:rFonts w:eastAsia="Times New Roman"/>
          <w:color w:val="000000"/>
          <w:lang w:val="en-US"/>
        </w:rPr>
        <w:t xml:space="preserve"> presented in the Material and Methods section. </w:t>
      </w:r>
    </w:p>
    <w:p w14:paraId="7D30E935" w14:textId="77777777" w:rsidR="002F362B" w:rsidRPr="001F4282" w:rsidRDefault="002F362B">
      <w:pPr>
        <w:jc w:val="both"/>
        <w:rPr>
          <w:b/>
          <w:u w:val="single"/>
          <w:lang w:val="en-US"/>
        </w:rPr>
      </w:pPr>
    </w:p>
    <w:p w14:paraId="08B77EBA" w14:textId="77777777" w:rsidR="002F362B" w:rsidRPr="001F4282" w:rsidRDefault="002F362B">
      <w:pPr>
        <w:jc w:val="both"/>
        <w:rPr>
          <w:b/>
          <w:u w:val="single"/>
          <w:lang w:val="en-US"/>
        </w:rPr>
      </w:pPr>
    </w:p>
    <w:p w14:paraId="4A435532" w14:textId="77777777" w:rsidR="00804333" w:rsidRPr="004C22E2" w:rsidRDefault="00804333" w:rsidP="00A63CE4">
      <w:pPr>
        <w:widowControl w:val="0"/>
        <w:spacing w:line="256" w:lineRule="auto"/>
        <w:jc w:val="center"/>
        <w:rPr>
          <w:lang w:val="en-US"/>
        </w:rPr>
      </w:pPr>
      <w:r>
        <w:rPr>
          <w:noProof/>
          <w:lang w:val="en-US"/>
        </w:rPr>
        <w:drawing>
          <wp:inline distT="0" distB="0" distL="0" distR="0" wp14:anchorId="1EFFC846" wp14:editId="5B0FA83D">
            <wp:extent cx="4863734" cy="3933585"/>
            <wp:effectExtent l="0" t="0" r="0" b="0"/>
            <wp:docPr id="597681656" name="Image 2" descr="Une image contenant texte, ligne, diagramme, Tracé&#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681656" name="Image 2" descr="Une image contenant texte, ligne, diagramme, Tracé&#10;&#10;Description générée automatiquemen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68954" cy="3937806"/>
                    </a:xfrm>
                    <a:prstGeom prst="rect">
                      <a:avLst/>
                    </a:prstGeom>
                    <a:noFill/>
                    <a:ln>
                      <a:noFill/>
                    </a:ln>
                  </pic:spPr>
                </pic:pic>
              </a:graphicData>
            </a:graphic>
          </wp:inline>
        </w:drawing>
      </w:r>
    </w:p>
    <w:p w14:paraId="14282A18" w14:textId="77777777" w:rsidR="00804333" w:rsidRPr="004C22E2" w:rsidRDefault="00804333" w:rsidP="00804333">
      <w:pPr>
        <w:widowControl w:val="0"/>
        <w:spacing w:line="256" w:lineRule="auto"/>
        <w:jc w:val="both"/>
        <w:rPr>
          <w:lang w:val="en-US"/>
        </w:rPr>
      </w:pPr>
    </w:p>
    <w:p w14:paraId="63E3A6C5" w14:textId="77777777" w:rsidR="00804333" w:rsidRPr="004C22E2" w:rsidRDefault="00804333" w:rsidP="00804333">
      <w:pPr>
        <w:widowControl w:val="0"/>
        <w:spacing w:line="256" w:lineRule="auto"/>
        <w:jc w:val="both"/>
        <w:rPr>
          <w:lang w:val="en-US"/>
        </w:rPr>
      </w:pPr>
    </w:p>
    <w:p w14:paraId="2F81BB6B" w14:textId="0352394A" w:rsidR="00804333" w:rsidRPr="004C22E2" w:rsidRDefault="00804333" w:rsidP="00804333">
      <w:pPr>
        <w:widowControl w:val="0"/>
        <w:spacing w:line="256" w:lineRule="auto"/>
        <w:jc w:val="both"/>
        <w:rPr>
          <w:lang w:val="en-US"/>
        </w:rPr>
      </w:pPr>
      <w:r w:rsidRPr="004C22E2">
        <w:rPr>
          <w:b/>
          <w:lang w:val="en-US"/>
        </w:rPr>
        <w:t xml:space="preserve">Figure </w:t>
      </w:r>
      <w:r w:rsidR="001F4282" w:rsidRPr="004C22E2">
        <w:rPr>
          <w:b/>
          <w:lang w:val="en-US"/>
        </w:rPr>
        <w:t>S</w:t>
      </w:r>
      <w:r w:rsidR="001F4282">
        <w:rPr>
          <w:b/>
          <w:lang w:val="en-US"/>
        </w:rPr>
        <w:t>2</w:t>
      </w:r>
      <w:r w:rsidRPr="004C22E2">
        <w:rPr>
          <w:b/>
          <w:lang w:val="en-US"/>
        </w:rPr>
        <w:t>.</w:t>
      </w:r>
      <w:r w:rsidRPr="004C22E2">
        <w:rPr>
          <w:lang w:val="en-US"/>
        </w:rPr>
        <w:t xml:space="preserve"> Relative underestimation of NDVImax as a function of the number of usable observations during the growing season. Full lines are obtained </w:t>
      </w:r>
      <w:r>
        <w:rPr>
          <w:lang w:val="en-US"/>
        </w:rPr>
        <w:t>with a 16-day simulated Landsat acquisition. Dashed lines are obtained with a 4-day simulated Landsat acquisition.</w:t>
      </w:r>
    </w:p>
    <w:p w14:paraId="20F5EA3E" w14:textId="77777777" w:rsidR="002A7294" w:rsidRPr="004C22E2" w:rsidRDefault="002A7294">
      <w:pPr>
        <w:widowControl w:val="0"/>
        <w:spacing w:line="256" w:lineRule="auto"/>
        <w:jc w:val="both"/>
        <w:rPr>
          <w:lang w:val="en-US"/>
        </w:rPr>
      </w:pPr>
    </w:p>
    <w:p w14:paraId="152800D4" w14:textId="77777777" w:rsidR="002A7294" w:rsidRPr="004C22E2" w:rsidRDefault="002A7294">
      <w:pPr>
        <w:widowControl w:val="0"/>
        <w:spacing w:line="256" w:lineRule="auto"/>
        <w:jc w:val="both"/>
        <w:rPr>
          <w:lang w:val="en-US"/>
        </w:rPr>
      </w:pPr>
    </w:p>
    <w:p w14:paraId="3AB47040" w14:textId="77777777" w:rsidR="002A7294" w:rsidRPr="004C22E2" w:rsidRDefault="002A7294">
      <w:pPr>
        <w:widowControl w:val="0"/>
        <w:spacing w:line="256" w:lineRule="auto"/>
        <w:jc w:val="both"/>
        <w:rPr>
          <w:lang w:val="en-US"/>
        </w:rPr>
      </w:pPr>
    </w:p>
    <w:p w14:paraId="243CADD5" w14:textId="4A57ECB1" w:rsidR="002A7294" w:rsidRPr="004C22E2" w:rsidRDefault="002A7294" w:rsidP="00A63CE4">
      <w:pPr>
        <w:widowControl w:val="0"/>
        <w:spacing w:line="256" w:lineRule="auto"/>
        <w:jc w:val="center"/>
        <w:rPr>
          <w:lang w:val="en-US"/>
        </w:rPr>
      </w:pPr>
    </w:p>
    <w:p w14:paraId="46E58FC2" w14:textId="77777777" w:rsidR="002A7294" w:rsidRDefault="002A7294">
      <w:pPr>
        <w:widowControl w:val="0"/>
        <w:spacing w:line="256" w:lineRule="auto"/>
        <w:jc w:val="both"/>
        <w:rPr>
          <w:lang w:val="en-US"/>
        </w:rPr>
      </w:pPr>
    </w:p>
    <w:p w14:paraId="12A0E300" w14:textId="500C024F" w:rsidR="003B120A" w:rsidRPr="004C22E2" w:rsidRDefault="003B120A">
      <w:pPr>
        <w:widowControl w:val="0"/>
        <w:spacing w:line="256" w:lineRule="auto"/>
        <w:jc w:val="both"/>
        <w:rPr>
          <w:lang w:val="en-US"/>
        </w:rPr>
      </w:pPr>
    </w:p>
    <w:p w14:paraId="0830A434" w14:textId="77777777" w:rsidR="002A7294" w:rsidRPr="004C22E2" w:rsidRDefault="002A7294">
      <w:pPr>
        <w:widowControl w:val="0"/>
        <w:spacing w:line="256" w:lineRule="auto"/>
        <w:jc w:val="both"/>
        <w:rPr>
          <w:lang w:val="en-US"/>
        </w:rPr>
      </w:pPr>
    </w:p>
    <w:p w14:paraId="4D181DE8" w14:textId="77777777" w:rsidR="002A7294" w:rsidRPr="004C22E2" w:rsidRDefault="002A7294">
      <w:pPr>
        <w:widowControl w:val="0"/>
        <w:spacing w:line="256" w:lineRule="auto"/>
        <w:jc w:val="both"/>
        <w:rPr>
          <w:lang w:val="en-US"/>
        </w:rPr>
      </w:pPr>
    </w:p>
    <w:p w14:paraId="31401DE8" w14:textId="79A04700" w:rsidR="002A7294" w:rsidRDefault="00D16C68">
      <w:pPr>
        <w:jc w:val="both"/>
        <w:rPr>
          <w:highlight w:val="white"/>
        </w:rPr>
      </w:pPr>
      <w:r>
        <w:rPr>
          <w:noProof/>
          <w:highlight w:val="white"/>
        </w:rPr>
        <w:lastRenderedPageBreak/>
        <w:drawing>
          <wp:inline distT="0" distB="0" distL="0" distR="0" wp14:anchorId="479A039D" wp14:editId="50FEBF11">
            <wp:extent cx="5727700" cy="3407410"/>
            <wp:effectExtent l="0" t="0" r="6350" b="2540"/>
            <wp:docPr id="4150806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27700" cy="3407410"/>
                    </a:xfrm>
                    <a:prstGeom prst="rect">
                      <a:avLst/>
                    </a:prstGeom>
                    <a:noFill/>
                    <a:ln>
                      <a:noFill/>
                    </a:ln>
                  </pic:spPr>
                </pic:pic>
              </a:graphicData>
            </a:graphic>
          </wp:inline>
        </w:drawing>
      </w:r>
    </w:p>
    <w:p w14:paraId="03C811D8" w14:textId="508727CB" w:rsidR="002A7294" w:rsidRPr="001A20AB" w:rsidRDefault="00000000">
      <w:pPr>
        <w:jc w:val="both"/>
        <w:rPr>
          <w:lang w:val="en-US"/>
        </w:rPr>
      </w:pPr>
      <w:r w:rsidRPr="004C22E2">
        <w:rPr>
          <w:b/>
          <w:highlight w:val="white"/>
          <w:lang w:val="en-US"/>
        </w:rPr>
        <w:t xml:space="preserve">Figure </w:t>
      </w:r>
      <w:r w:rsidR="001F4282" w:rsidRPr="004C22E2">
        <w:rPr>
          <w:b/>
          <w:highlight w:val="white"/>
          <w:lang w:val="en-US"/>
        </w:rPr>
        <w:t>S</w:t>
      </w:r>
      <w:r w:rsidR="001F4282">
        <w:rPr>
          <w:b/>
          <w:highlight w:val="white"/>
          <w:lang w:val="en-US"/>
        </w:rPr>
        <w:t>3</w:t>
      </w:r>
      <w:r w:rsidRPr="004C22E2">
        <w:rPr>
          <w:b/>
          <w:highlight w:val="white"/>
          <w:lang w:val="en-US"/>
        </w:rPr>
        <w:t xml:space="preserve">. </w:t>
      </w:r>
      <w:r w:rsidRPr="004C22E2">
        <w:rPr>
          <w:lang w:val="en-US"/>
        </w:rPr>
        <w:t xml:space="preserve">Relative underestimation of NDVImax as a function of the number of usable observations during the growing season. Each dashed line depicts the median bias for a specific type of alpine grassland, while the shaded area depicts the interquartile ranges. The underestimation is computed for median, q75, q80, q90 and q100 (maximum) </w:t>
      </w:r>
      <w:r w:rsidR="001A20AB">
        <w:rPr>
          <w:lang w:val="en-US"/>
        </w:rPr>
        <w:t>i</w:t>
      </w:r>
      <w:r w:rsidRPr="004C22E2">
        <w:rPr>
          <w:lang w:val="en-US"/>
        </w:rPr>
        <w:t xml:space="preserve">n R using the discontinuous sample quantile approach (type = 1 ). </w:t>
      </w:r>
      <w:r w:rsidRPr="001A20AB">
        <w:rPr>
          <w:lang w:val="en-US"/>
        </w:rPr>
        <w:t>Arrows indicate “ladder effect” patterns.</w:t>
      </w:r>
    </w:p>
    <w:p w14:paraId="2D6146AA" w14:textId="77777777" w:rsidR="002A7294" w:rsidRPr="001A20AB" w:rsidRDefault="002A7294">
      <w:pPr>
        <w:jc w:val="both"/>
        <w:rPr>
          <w:highlight w:val="white"/>
          <w:lang w:val="en-US"/>
        </w:rPr>
      </w:pPr>
    </w:p>
    <w:p w14:paraId="07E0AE45" w14:textId="6B13E05B" w:rsidR="002A7294" w:rsidRDefault="00D16C68">
      <w:pPr>
        <w:jc w:val="both"/>
        <w:rPr>
          <w:highlight w:val="white"/>
        </w:rPr>
      </w:pPr>
      <w:r>
        <w:rPr>
          <w:noProof/>
          <w:highlight w:val="white"/>
        </w:rPr>
        <w:lastRenderedPageBreak/>
        <w:drawing>
          <wp:inline distT="0" distB="0" distL="0" distR="0" wp14:anchorId="22C381C3" wp14:editId="2579E97A">
            <wp:extent cx="5719445" cy="6029960"/>
            <wp:effectExtent l="0" t="0" r="0" b="8890"/>
            <wp:docPr id="178169767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19445" cy="6029960"/>
                    </a:xfrm>
                    <a:prstGeom prst="rect">
                      <a:avLst/>
                    </a:prstGeom>
                    <a:noFill/>
                    <a:ln>
                      <a:noFill/>
                    </a:ln>
                  </pic:spPr>
                </pic:pic>
              </a:graphicData>
            </a:graphic>
          </wp:inline>
        </w:drawing>
      </w:r>
    </w:p>
    <w:p w14:paraId="518A3D9F" w14:textId="04B6357A" w:rsidR="002A7294" w:rsidRPr="004C22E2" w:rsidRDefault="00000000">
      <w:pPr>
        <w:jc w:val="both"/>
        <w:rPr>
          <w:lang w:val="en-US"/>
        </w:rPr>
      </w:pPr>
      <w:r w:rsidRPr="004C22E2">
        <w:rPr>
          <w:b/>
          <w:highlight w:val="white"/>
          <w:lang w:val="en-US"/>
        </w:rPr>
        <w:t xml:space="preserve">Figure </w:t>
      </w:r>
      <w:r w:rsidR="001F4282" w:rsidRPr="004C22E2">
        <w:rPr>
          <w:b/>
          <w:highlight w:val="white"/>
          <w:lang w:val="en-US"/>
        </w:rPr>
        <w:t>S</w:t>
      </w:r>
      <w:r w:rsidR="001F4282">
        <w:rPr>
          <w:b/>
          <w:highlight w:val="white"/>
          <w:lang w:val="en-US"/>
        </w:rPr>
        <w:t>4</w:t>
      </w:r>
      <w:r w:rsidRPr="004C22E2">
        <w:rPr>
          <w:b/>
          <w:highlight w:val="white"/>
          <w:lang w:val="en-US"/>
        </w:rPr>
        <w:t xml:space="preserve">. </w:t>
      </w:r>
      <w:r w:rsidRPr="004C22E2">
        <w:rPr>
          <w:lang w:val="en-US"/>
        </w:rPr>
        <w:t>Relative underestimation of NDVImax as a function of the number of usable observations during the growing season. Each dashed line depicts the median bias for a specific type of alpine grassland, while the shaded area depicts interquartile ranges.</w:t>
      </w:r>
    </w:p>
    <w:p w14:paraId="3F6ACB36" w14:textId="77777777" w:rsidR="002A7294" w:rsidRDefault="002A7294">
      <w:pPr>
        <w:jc w:val="both"/>
        <w:rPr>
          <w:lang w:val="en-US"/>
        </w:rPr>
      </w:pPr>
    </w:p>
    <w:p w14:paraId="368CB938" w14:textId="77777777" w:rsidR="00804333" w:rsidRDefault="00804333" w:rsidP="00804333">
      <w:pPr>
        <w:widowControl w:val="0"/>
        <w:spacing w:line="256" w:lineRule="auto"/>
        <w:jc w:val="center"/>
      </w:pPr>
      <w:r>
        <w:rPr>
          <w:noProof/>
        </w:rPr>
        <w:lastRenderedPageBreak/>
        <w:drawing>
          <wp:inline distT="0" distB="0" distL="0" distR="0" wp14:anchorId="5917637C" wp14:editId="7150838E">
            <wp:extent cx="4474147" cy="3985200"/>
            <wp:effectExtent l="0" t="0" r="3175" b="0"/>
            <wp:docPr id="1100379142" name="Image 3" descr="Une image contenant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379142" name="Image 3" descr="Une image contenant capture d’écran&#10;&#10;Description générée automatiquemen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77940" cy="3988578"/>
                    </a:xfrm>
                    <a:prstGeom prst="rect">
                      <a:avLst/>
                    </a:prstGeom>
                    <a:noFill/>
                    <a:ln>
                      <a:noFill/>
                    </a:ln>
                  </pic:spPr>
                </pic:pic>
              </a:graphicData>
            </a:graphic>
          </wp:inline>
        </w:drawing>
      </w:r>
    </w:p>
    <w:p w14:paraId="4FAA7355" w14:textId="54A80FB5" w:rsidR="00804333" w:rsidRPr="004C22E2" w:rsidRDefault="00804333" w:rsidP="00804333">
      <w:pPr>
        <w:widowControl w:val="0"/>
        <w:spacing w:line="256" w:lineRule="auto"/>
        <w:jc w:val="both"/>
        <w:rPr>
          <w:lang w:val="en-US"/>
        </w:rPr>
      </w:pPr>
      <w:r w:rsidRPr="004C22E2">
        <w:rPr>
          <w:b/>
          <w:lang w:val="en-US"/>
        </w:rPr>
        <w:t xml:space="preserve">Figure </w:t>
      </w:r>
      <w:r w:rsidR="001F4282" w:rsidRPr="004C22E2">
        <w:rPr>
          <w:b/>
          <w:lang w:val="en-US"/>
        </w:rPr>
        <w:t>S</w:t>
      </w:r>
      <w:r w:rsidR="001F4282">
        <w:rPr>
          <w:b/>
          <w:lang w:val="en-US"/>
        </w:rPr>
        <w:t>5</w:t>
      </w:r>
      <w:r w:rsidRPr="004C22E2">
        <w:rPr>
          <w:b/>
          <w:lang w:val="en-US"/>
        </w:rPr>
        <w:t>.</w:t>
      </w:r>
      <w:r w:rsidRPr="004C22E2">
        <w:rPr>
          <w:lang w:val="en-US"/>
        </w:rPr>
        <w:t xml:space="preserve"> Relative underestimation of NDVImax as a function of the number of usable observations during the growing season. Full lines are obtained </w:t>
      </w:r>
      <w:r>
        <w:rPr>
          <w:lang w:val="en-US"/>
        </w:rPr>
        <w:t>from</w:t>
      </w:r>
      <w:r w:rsidRPr="004C22E2">
        <w:rPr>
          <w:lang w:val="en-US"/>
        </w:rPr>
        <w:t xml:space="preserve"> randomization of observations</w:t>
      </w:r>
      <w:r>
        <w:rPr>
          <w:lang w:val="en-US"/>
        </w:rPr>
        <w:t xml:space="preserve"> acquisition dates</w:t>
      </w:r>
      <w:r w:rsidRPr="004C22E2">
        <w:rPr>
          <w:lang w:val="en-US"/>
        </w:rPr>
        <w:t xml:space="preserve"> while dashed lines are obtained using actual day of year </w:t>
      </w:r>
      <w:r>
        <w:rPr>
          <w:lang w:val="en-US"/>
        </w:rPr>
        <w:t xml:space="preserve">from Landsat </w:t>
      </w:r>
      <w:r w:rsidRPr="004C22E2">
        <w:rPr>
          <w:lang w:val="en-US"/>
        </w:rPr>
        <w:t>observations.</w:t>
      </w:r>
    </w:p>
    <w:p w14:paraId="14CB9BBB" w14:textId="77777777" w:rsidR="00804333" w:rsidRPr="004C22E2" w:rsidRDefault="00804333">
      <w:pPr>
        <w:jc w:val="both"/>
        <w:rPr>
          <w:lang w:val="en-US"/>
        </w:rPr>
      </w:pPr>
    </w:p>
    <w:p w14:paraId="7F02B745" w14:textId="77777777" w:rsidR="002A7294" w:rsidRDefault="00000000">
      <w:pPr>
        <w:jc w:val="center"/>
      </w:pPr>
      <w:r>
        <w:rPr>
          <w:noProof/>
        </w:rPr>
        <w:lastRenderedPageBreak/>
        <w:drawing>
          <wp:inline distT="19050" distB="19050" distL="19050" distR="19050" wp14:anchorId="003E2335" wp14:editId="6AD96AF0">
            <wp:extent cx="3907155" cy="4191000"/>
            <wp:effectExtent l="0" t="0" r="0" b="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3907155" cy="4191000"/>
                    </a:xfrm>
                    <a:prstGeom prst="rect">
                      <a:avLst/>
                    </a:prstGeom>
                    <a:ln/>
                  </pic:spPr>
                </pic:pic>
              </a:graphicData>
            </a:graphic>
          </wp:inline>
        </w:drawing>
      </w:r>
    </w:p>
    <w:p w14:paraId="263DDE69" w14:textId="25A57DDF" w:rsidR="002A7294" w:rsidRDefault="00000000">
      <w:pPr>
        <w:widowControl w:val="0"/>
        <w:spacing w:line="256" w:lineRule="auto"/>
        <w:jc w:val="both"/>
      </w:pPr>
      <w:r w:rsidRPr="004C22E2">
        <w:rPr>
          <w:b/>
          <w:lang w:val="en-US"/>
        </w:rPr>
        <w:t xml:space="preserve">Figure </w:t>
      </w:r>
      <w:r w:rsidR="001F4282" w:rsidRPr="004C22E2">
        <w:rPr>
          <w:b/>
          <w:lang w:val="en-US"/>
        </w:rPr>
        <w:t>S</w:t>
      </w:r>
      <w:r w:rsidR="001F4282">
        <w:rPr>
          <w:b/>
          <w:lang w:val="en-US"/>
        </w:rPr>
        <w:t>6</w:t>
      </w:r>
      <w:r w:rsidRPr="004C22E2">
        <w:rPr>
          <w:b/>
          <w:lang w:val="en-US"/>
        </w:rPr>
        <w:t>.</w:t>
      </w:r>
      <w:r w:rsidRPr="004C22E2">
        <w:rPr>
          <w:lang w:val="en-US"/>
        </w:rPr>
        <w:t xml:space="preserve"> Distribution of observed greening trends along elevational gradients from Rumpf et al. </w:t>
      </w:r>
      <w:r>
        <w:t xml:space="preserve">(2022) and </w:t>
      </w:r>
      <w:proofErr w:type="spellStart"/>
      <w:r>
        <w:t>this</w:t>
      </w:r>
      <w:proofErr w:type="spellEnd"/>
      <w:r>
        <w:t xml:space="preserve"> </w:t>
      </w:r>
      <w:proofErr w:type="spellStart"/>
      <w:r>
        <w:t>study</w:t>
      </w:r>
      <w:proofErr w:type="spellEnd"/>
      <w:r>
        <w:t>.</w:t>
      </w:r>
    </w:p>
    <w:p w14:paraId="2E8A1DDD" w14:textId="77777777" w:rsidR="002A7294" w:rsidRDefault="002A7294">
      <w:pPr>
        <w:widowControl w:val="0"/>
        <w:spacing w:line="256" w:lineRule="auto"/>
        <w:jc w:val="both"/>
      </w:pPr>
    </w:p>
    <w:p w14:paraId="03A87836" w14:textId="77777777" w:rsidR="002A7294" w:rsidRDefault="00000000">
      <w:pPr>
        <w:jc w:val="center"/>
        <w:rPr>
          <w:b/>
          <w:u w:val="single"/>
        </w:rPr>
      </w:pPr>
      <w:r>
        <w:rPr>
          <w:b/>
          <w:noProof/>
          <w:u w:val="single"/>
        </w:rPr>
        <w:lastRenderedPageBreak/>
        <w:drawing>
          <wp:inline distT="19050" distB="19050" distL="19050" distR="19050" wp14:anchorId="31E86C5B" wp14:editId="3C91A7F7">
            <wp:extent cx="5557838" cy="6783831"/>
            <wp:effectExtent l="0" t="0" r="0" b="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5557838" cy="6783831"/>
                    </a:xfrm>
                    <a:prstGeom prst="rect">
                      <a:avLst/>
                    </a:prstGeom>
                    <a:ln/>
                  </pic:spPr>
                </pic:pic>
              </a:graphicData>
            </a:graphic>
          </wp:inline>
        </w:drawing>
      </w:r>
    </w:p>
    <w:p w14:paraId="711869AF" w14:textId="5788DEA9" w:rsidR="002A7294" w:rsidRPr="004C22E2" w:rsidRDefault="00000000">
      <w:pPr>
        <w:widowControl w:val="0"/>
        <w:spacing w:line="256" w:lineRule="auto"/>
        <w:jc w:val="both"/>
        <w:rPr>
          <w:lang w:val="en-US"/>
        </w:rPr>
      </w:pPr>
      <w:r w:rsidRPr="004C22E2">
        <w:rPr>
          <w:b/>
          <w:lang w:val="en-US"/>
        </w:rPr>
        <w:t xml:space="preserve">Figure </w:t>
      </w:r>
      <w:r w:rsidR="001F4282" w:rsidRPr="004C22E2">
        <w:rPr>
          <w:b/>
          <w:lang w:val="en-US"/>
        </w:rPr>
        <w:t>S</w:t>
      </w:r>
      <w:r w:rsidR="001F4282">
        <w:rPr>
          <w:b/>
          <w:lang w:val="en-US"/>
        </w:rPr>
        <w:t>7</w:t>
      </w:r>
      <w:r w:rsidRPr="004C22E2">
        <w:rPr>
          <w:b/>
          <w:lang w:val="en-US"/>
        </w:rPr>
        <w:t>.</w:t>
      </w:r>
      <w:r w:rsidRPr="004C22E2">
        <w:rPr>
          <w:lang w:val="en-US"/>
        </w:rPr>
        <w:t xml:space="preserve">  Distribution of </w:t>
      </w:r>
      <w:r w:rsidR="001A20AB">
        <w:rPr>
          <w:lang w:val="en-US"/>
        </w:rPr>
        <w:t xml:space="preserve">the </w:t>
      </w:r>
      <w:r w:rsidRPr="004C22E2">
        <w:rPr>
          <w:lang w:val="en-US"/>
        </w:rPr>
        <w:t xml:space="preserve">sum of usable observations, growing season length, </w:t>
      </w:r>
      <w:r w:rsidR="000C0F92">
        <w:rPr>
          <w:lang w:val="en-US"/>
        </w:rPr>
        <w:t xml:space="preserve">absolute </w:t>
      </w:r>
      <w:r w:rsidRPr="004C22E2">
        <w:rPr>
          <w:lang w:val="en-US"/>
        </w:rPr>
        <w:t xml:space="preserve">false trends, and </w:t>
      </w:r>
      <w:r w:rsidR="000C0F92">
        <w:rPr>
          <w:lang w:val="en-US"/>
        </w:rPr>
        <w:t>relative false trends</w:t>
      </w:r>
      <w:r w:rsidRPr="004C22E2">
        <w:rPr>
          <w:lang w:val="en-US"/>
        </w:rPr>
        <w:t xml:space="preserve"> along an elevation gradient in the European Alps with pixels within or outside overlapping tiles </w:t>
      </w:r>
      <w:r w:rsidR="001A20AB">
        <w:rPr>
          <w:lang w:val="en-US"/>
        </w:rPr>
        <w:t>shown separately</w:t>
      </w:r>
      <w:r w:rsidRPr="004C22E2">
        <w:rPr>
          <w:lang w:val="en-US"/>
        </w:rPr>
        <w:t>.</w:t>
      </w:r>
    </w:p>
    <w:p w14:paraId="509B5602" w14:textId="77777777" w:rsidR="002A7294" w:rsidRPr="004C22E2" w:rsidRDefault="002A7294">
      <w:pPr>
        <w:jc w:val="both"/>
        <w:rPr>
          <w:b/>
          <w:u w:val="single"/>
          <w:lang w:val="en-US"/>
        </w:rPr>
      </w:pPr>
    </w:p>
    <w:p w14:paraId="723F793E" w14:textId="77777777" w:rsidR="002A7294" w:rsidRPr="004C22E2" w:rsidRDefault="002A7294">
      <w:pPr>
        <w:jc w:val="center"/>
        <w:rPr>
          <w:b/>
          <w:u w:val="single"/>
          <w:lang w:val="en-US"/>
        </w:rPr>
      </w:pPr>
    </w:p>
    <w:p w14:paraId="081B3CA8" w14:textId="77777777" w:rsidR="002A7294" w:rsidRPr="004C22E2" w:rsidRDefault="002A7294">
      <w:pPr>
        <w:jc w:val="center"/>
        <w:rPr>
          <w:b/>
          <w:u w:val="single"/>
          <w:lang w:val="en-US"/>
        </w:rPr>
      </w:pPr>
    </w:p>
    <w:p w14:paraId="17F2B9B2" w14:textId="77777777" w:rsidR="002A7294" w:rsidRPr="004C22E2" w:rsidRDefault="002A7294">
      <w:pPr>
        <w:jc w:val="center"/>
        <w:rPr>
          <w:b/>
          <w:u w:val="single"/>
          <w:lang w:val="en-US"/>
        </w:rPr>
      </w:pPr>
    </w:p>
    <w:p w14:paraId="55CAB223" w14:textId="77777777" w:rsidR="002A7294" w:rsidRDefault="002A7294">
      <w:pPr>
        <w:jc w:val="center"/>
        <w:rPr>
          <w:b/>
          <w:u w:val="single"/>
          <w:lang w:val="en-US"/>
        </w:rPr>
      </w:pPr>
    </w:p>
    <w:p w14:paraId="1DBF2867" w14:textId="77777777" w:rsidR="00BB291B" w:rsidRDefault="00BB291B">
      <w:pPr>
        <w:jc w:val="center"/>
        <w:rPr>
          <w:b/>
          <w:u w:val="single"/>
          <w:lang w:val="en-US"/>
        </w:rPr>
      </w:pPr>
    </w:p>
    <w:p w14:paraId="0D742B34" w14:textId="77777777" w:rsidR="00BB291B" w:rsidRDefault="00BB291B">
      <w:pPr>
        <w:jc w:val="center"/>
        <w:rPr>
          <w:b/>
          <w:u w:val="single"/>
          <w:lang w:val="en-US"/>
        </w:rPr>
      </w:pPr>
    </w:p>
    <w:p w14:paraId="2591A471" w14:textId="77777777" w:rsidR="00BB291B" w:rsidRDefault="00BB291B">
      <w:pPr>
        <w:jc w:val="center"/>
        <w:rPr>
          <w:b/>
          <w:u w:val="single"/>
          <w:lang w:val="en-US"/>
        </w:rPr>
      </w:pPr>
    </w:p>
    <w:p w14:paraId="30BF493A" w14:textId="2CC8C5EE" w:rsidR="00BB291B" w:rsidRPr="00A63CE4" w:rsidRDefault="00BB291B">
      <w:pPr>
        <w:jc w:val="center"/>
        <w:rPr>
          <w:b/>
          <w:lang w:val="en-US"/>
        </w:rPr>
      </w:pPr>
      <w:r w:rsidRPr="00A63CE4">
        <w:rPr>
          <w:b/>
          <w:noProof/>
          <w:lang w:val="en-US"/>
        </w:rPr>
        <w:lastRenderedPageBreak/>
        <w:drawing>
          <wp:inline distT="0" distB="0" distL="0" distR="0" wp14:anchorId="6F24FF30" wp14:editId="0B47EB72">
            <wp:extent cx="5727700" cy="4295775"/>
            <wp:effectExtent l="0" t="0" r="6350" b="9525"/>
            <wp:docPr id="137385492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7700" cy="4295775"/>
                    </a:xfrm>
                    <a:prstGeom prst="rect">
                      <a:avLst/>
                    </a:prstGeom>
                    <a:noFill/>
                    <a:ln>
                      <a:noFill/>
                    </a:ln>
                  </pic:spPr>
                </pic:pic>
              </a:graphicData>
            </a:graphic>
          </wp:inline>
        </w:drawing>
      </w:r>
    </w:p>
    <w:p w14:paraId="0A7D3284" w14:textId="38D2DE79" w:rsidR="00BB291B" w:rsidRPr="00A63CE4" w:rsidRDefault="00BB291B" w:rsidP="00A63CE4">
      <w:pPr>
        <w:jc w:val="both"/>
        <w:rPr>
          <w:bCs/>
          <w:lang w:val="en-US"/>
        </w:rPr>
      </w:pPr>
      <w:r w:rsidRPr="00A63CE4">
        <w:rPr>
          <w:b/>
          <w:lang w:val="en-US"/>
        </w:rPr>
        <w:t xml:space="preserve">Figure </w:t>
      </w:r>
      <w:r w:rsidR="001F4282" w:rsidRPr="00A63CE4">
        <w:rPr>
          <w:b/>
          <w:lang w:val="en-US"/>
        </w:rPr>
        <w:t>S</w:t>
      </w:r>
      <w:r w:rsidR="001F4282">
        <w:rPr>
          <w:b/>
          <w:lang w:val="en-US"/>
        </w:rPr>
        <w:t>8</w:t>
      </w:r>
      <w:r>
        <w:rPr>
          <w:b/>
          <w:lang w:val="en-US"/>
        </w:rPr>
        <w:t xml:space="preserve">. </w:t>
      </w:r>
      <w:r w:rsidR="003D18CF">
        <w:rPr>
          <w:bCs/>
          <w:lang w:val="en-US"/>
        </w:rPr>
        <w:t xml:space="preserve">Spatio-temporal distribution of Landsat summer useable observations around the North Pole. For each of the five subregions, time series of </w:t>
      </w:r>
      <m:oMath>
        <m:sSub>
          <m:sSubPr>
            <m:ctrlPr>
              <w:rPr>
                <w:rFonts w:ascii="Cambria Math" w:eastAsia="Times New Roman" w:hAnsi="Cambria Math" w:cs="Times New Roman"/>
              </w:rPr>
            </m:ctrlPr>
          </m:sSubPr>
          <m:e>
            <m:r>
              <m:rPr>
                <m:sty m:val="p"/>
              </m:rPr>
              <w:rPr>
                <w:rFonts w:ascii="Cambria Math" w:eastAsia="Times New Roman" w:hAnsi="Cambria Math" w:cs="Times New Roman"/>
                <w:lang w:val="en-US"/>
              </w:rPr>
              <m:t>OBS</m:t>
            </m:r>
          </m:e>
          <m:sub>
            <m:r>
              <m:rPr>
                <m:sty m:val="p"/>
              </m:rPr>
              <w:rPr>
                <w:rFonts w:ascii="Cambria Math" w:eastAsia="Times New Roman" w:hAnsi="Cambria Math" w:cs="Times New Roman"/>
                <w:lang w:val="en-US"/>
              </w:rPr>
              <m:t>GS</m:t>
            </m:r>
          </m:sub>
        </m:sSub>
      </m:oMath>
      <w:r w:rsidR="003D18CF" w:rsidRPr="00A63CE4">
        <w:rPr>
          <w:lang w:val="en-US"/>
        </w:rPr>
        <w:t xml:space="preserve"> </w:t>
      </w:r>
      <w:r w:rsidR="003D18CF">
        <w:rPr>
          <w:lang w:val="en-US"/>
        </w:rPr>
        <w:t xml:space="preserve">is shown from 1984 to 2021 with the distribution of its sum. Median values of </w:t>
      </w:r>
      <m:oMath>
        <m:sSub>
          <m:sSubPr>
            <m:ctrlPr>
              <w:rPr>
                <w:rFonts w:ascii="Cambria Math" w:hAnsi="Cambria Math" w:cs="Times New Roman"/>
              </w:rPr>
            </m:ctrlPr>
          </m:sSubPr>
          <m:e>
            <m:r>
              <m:rPr>
                <m:sty m:val="p"/>
              </m:rPr>
              <w:rPr>
                <w:rFonts w:ascii="Cambria Math" w:hAnsi="Cambria Math" w:cs="Times New Roman"/>
              </w:rPr>
              <m:t>Σ</m:t>
            </m:r>
          </m:e>
          <m:sub>
            <m:sSub>
              <m:sSubPr>
                <m:ctrlPr>
                  <w:rPr>
                    <w:rFonts w:ascii="Cambria Math" w:eastAsia="Times New Roman" w:hAnsi="Cambria Math" w:cs="Times New Roman"/>
                    <w:highlight w:val="white"/>
                  </w:rPr>
                </m:ctrlPr>
              </m:sSubPr>
              <m:e>
                <m:r>
                  <m:rPr>
                    <m:sty m:val="p"/>
                  </m:rPr>
                  <w:rPr>
                    <w:rFonts w:ascii="Cambria Math" w:eastAsia="Times New Roman" w:hAnsi="Cambria Math" w:cs="Times New Roman"/>
                    <w:highlight w:val="white"/>
                    <w:lang w:val="en-US"/>
                  </w:rPr>
                  <m:t>OBS</m:t>
                </m:r>
              </m:e>
              <m:sub>
                <m:r>
                  <m:rPr>
                    <m:sty m:val="p"/>
                  </m:rPr>
                  <w:rPr>
                    <w:rFonts w:ascii="Cambria Math" w:eastAsia="Times New Roman" w:hAnsi="Cambria Math" w:cs="Times New Roman"/>
                    <w:highlight w:val="white"/>
                    <w:lang w:val="en-US"/>
                  </w:rPr>
                  <m:t>GS</m:t>
                </m:r>
              </m:sub>
            </m:sSub>
          </m:sub>
        </m:sSub>
      </m:oMath>
      <w:r w:rsidR="003D18CF" w:rsidRPr="00A63CE4">
        <w:rPr>
          <w:lang w:val="en-US"/>
        </w:rPr>
        <w:t xml:space="preserve"> are indicated </w:t>
      </w:r>
      <w:r w:rsidR="003D18CF">
        <w:rPr>
          <w:lang w:val="en-US"/>
        </w:rPr>
        <w:t xml:space="preserve">by red vertical lines and are also expressed in written form alongside the associated interquartile range. The map shows the spatial distribution of </w:t>
      </w:r>
      <m:oMath>
        <m:sSub>
          <m:sSubPr>
            <m:ctrlPr>
              <w:rPr>
                <w:rFonts w:ascii="Cambria Math" w:hAnsi="Cambria Math" w:cs="Times New Roman"/>
              </w:rPr>
            </m:ctrlPr>
          </m:sSubPr>
          <m:e>
            <m:r>
              <m:rPr>
                <m:sty m:val="p"/>
              </m:rPr>
              <w:rPr>
                <w:rFonts w:ascii="Cambria Math" w:hAnsi="Cambria Math" w:cs="Times New Roman"/>
              </w:rPr>
              <m:t>Σ</m:t>
            </m:r>
          </m:e>
          <m:sub>
            <m:sSub>
              <m:sSubPr>
                <m:ctrlPr>
                  <w:rPr>
                    <w:rFonts w:ascii="Cambria Math" w:eastAsia="Times New Roman" w:hAnsi="Cambria Math" w:cs="Times New Roman"/>
                    <w:highlight w:val="white"/>
                  </w:rPr>
                </m:ctrlPr>
              </m:sSubPr>
              <m:e>
                <m:r>
                  <m:rPr>
                    <m:sty m:val="p"/>
                  </m:rPr>
                  <w:rPr>
                    <w:rFonts w:ascii="Cambria Math" w:eastAsia="Times New Roman" w:hAnsi="Cambria Math" w:cs="Times New Roman"/>
                    <w:highlight w:val="white"/>
                    <w:lang w:val="en-US"/>
                  </w:rPr>
                  <m:t>OBS</m:t>
                </m:r>
              </m:e>
              <m:sub>
                <m:r>
                  <m:rPr>
                    <m:sty m:val="p"/>
                  </m:rPr>
                  <w:rPr>
                    <w:rFonts w:ascii="Cambria Math" w:eastAsia="Times New Roman" w:hAnsi="Cambria Math" w:cs="Times New Roman"/>
                    <w:highlight w:val="white"/>
                    <w:lang w:val="en-US"/>
                  </w:rPr>
                  <m:t>GS</m:t>
                </m:r>
              </m:sub>
            </m:sSub>
          </m:sub>
        </m:sSub>
      </m:oMath>
      <w:r w:rsidR="003D18CF" w:rsidRPr="00A63CE4">
        <w:rPr>
          <w:lang w:val="en-US"/>
        </w:rPr>
        <w:t xml:space="preserve"> </w:t>
      </w:r>
      <w:r w:rsidR="003D18CF">
        <w:rPr>
          <w:lang w:val="en-US"/>
        </w:rPr>
        <w:t>with inland and oceanic water removed with a spatial resolution of 1km.</w:t>
      </w:r>
    </w:p>
    <w:p w14:paraId="5C20C5B3" w14:textId="77777777" w:rsidR="002A7294" w:rsidRPr="004C22E2" w:rsidRDefault="002A7294">
      <w:pPr>
        <w:jc w:val="center"/>
        <w:rPr>
          <w:b/>
          <w:u w:val="single"/>
          <w:lang w:val="en-US"/>
        </w:rPr>
      </w:pPr>
    </w:p>
    <w:p w14:paraId="704D4DD3" w14:textId="77777777" w:rsidR="002A7294" w:rsidRDefault="002A7294">
      <w:pPr>
        <w:jc w:val="center"/>
        <w:rPr>
          <w:b/>
          <w:u w:val="single"/>
          <w:lang w:val="en-US"/>
        </w:rPr>
      </w:pPr>
    </w:p>
    <w:p w14:paraId="0AC6030E" w14:textId="77777777" w:rsidR="00F0113F" w:rsidRDefault="00F0113F">
      <w:pPr>
        <w:jc w:val="center"/>
        <w:rPr>
          <w:b/>
          <w:u w:val="single"/>
          <w:lang w:val="en-US"/>
        </w:rPr>
      </w:pPr>
    </w:p>
    <w:p w14:paraId="3EA274A3" w14:textId="0C186438" w:rsidR="00F0113F" w:rsidRPr="00A63CE4" w:rsidRDefault="00F0113F" w:rsidP="00A63CE4">
      <w:pPr>
        <w:jc w:val="both"/>
        <w:rPr>
          <w:b/>
          <w:lang w:val="en-US"/>
        </w:rPr>
      </w:pPr>
      <w:r w:rsidRPr="00A63CE4">
        <w:rPr>
          <w:b/>
          <w:noProof/>
          <w:lang w:val="en-US"/>
        </w:rPr>
        <w:lastRenderedPageBreak/>
        <w:drawing>
          <wp:inline distT="0" distB="0" distL="0" distR="0" wp14:anchorId="63533D8A" wp14:editId="4BC64104">
            <wp:extent cx="5727700" cy="4037330"/>
            <wp:effectExtent l="0" t="0" r="6350" b="1270"/>
            <wp:docPr id="1503146048"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27700" cy="4037330"/>
                    </a:xfrm>
                    <a:prstGeom prst="rect">
                      <a:avLst/>
                    </a:prstGeom>
                    <a:noFill/>
                    <a:ln>
                      <a:noFill/>
                    </a:ln>
                  </pic:spPr>
                </pic:pic>
              </a:graphicData>
            </a:graphic>
          </wp:inline>
        </w:drawing>
      </w:r>
    </w:p>
    <w:p w14:paraId="61616B37" w14:textId="0CADA313" w:rsidR="00F0113F" w:rsidRPr="00F0113F" w:rsidRDefault="00F0113F" w:rsidP="00F0113F">
      <w:pPr>
        <w:jc w:val="both"/>
        <w:rPr>
          <w:bCs/>
          <w:lang w:val="en-US"/>
        </w:rPr>
      </w:pPr>
      <w:r w:rsidRPr="00F0113F">
        <w:rPr>
          <w:b/>
          <w:lang w:val="en-US"/>
        </w:rPr>
        <w:t xml:space="preserve">Figure </w:t>
      </w:r>
      <w:r w:rsidR="001F4282" w:rsidRPr="00F0113F">
        <w:rPr>
          <w:b/>
          <w:lang w:val="en-US"/>
        </w:rPr>
        <w:t>S</w:t>
      </w:r>
      <w:r w:rsidR="001F4282">
        <w:rPr>
          <w:b/>
          <w:lang w:val="en-US"/>
        </w:rPr>
        <w:t>9</w:t>
      </w:r>
      <w:r w:rsidRPr="00F0113F">
        <w:rPr>
          <w:b/>
          <w:lang w:val="en-US"/>
        </w:rPr>
        <w:t xml:space="preserve">. </w:t>
      </w:r>
      <w:r w:rsidRPr="00F0113F">
        <w:rPr>
          <w:bCs/>
          <w:lang w:val="en-US"/>
        </w:rPr>
        <w:t xml:space="preserve">Spatio-temporal distribution of Landsat summer useable observations around the </w:t>
      </w:r>
      <w:r>
        <w:rPr>
          <w:bCs/>
          <w:lang w:val="en-US"/>
        </w:rPr>
        <w:t>Asian mountain ranges</w:t>
      </w:r>
      <w:r w:rsidRPr="00F0113F">
        <w:rPr>
          <w:bCs/>
          <w:lang w:val="en-US"/>
        </w:rPr>
        <w:t xml:space="preserve">. For each of the five subregions, time series of </w:t>
      </w:r>
      <m:oMath>
        <m:sSub>
          <m:sSubPr>
            <m:ctrlPr>
              <w:rPr>
                <w:rFonts w:ascii="Cambria Math" w:eastAsia="Times New Roman" w:hAnsi="Cambria Math" w:cs="Times New Roman"/>
              </w:rPr>
            </m:ctrlPr>
          </m:sSubPr>
          <m:e>
            <m:r>
              <m:rPr>
                <m:sty m:val="p"/>
              </m:rPr>
              <w:rPr>
                <w:rFonts w:ascii="Cambria Math" w:eastAsia="Times New Roman" w:hAnsi="Cambria Math" w:cs="Times New Roman"/>
                <w:lang w:val="en-US"/>
              </w:rPr>
              <m:t>OBS</m:t>
            </m:r>
          </m:e>
          <m:sub>
            <m:r>
              <m:rPr>
                <m:sty m:val="p"/>
              </m:rPr>
              <w:rPr>
                <w:rFonts w:ascii="Cambria Math" w:eastAsia="Times New Roman" w:hAnsi="Cambria Math" w:cs="Times New Roman"/>
                <w:lang w:val="en-US"/>
              </w:rPr>
              <m:t>GS</m:t>
            </m:r>
          </m:sub>
        </m:sSub>
      </m:oMath>
      <w:r w:rsidRPr="00F0113F">
        <w:rPr>
          <w:lang w:val="en-US"/>
        </w:rPr>
        <w:t xml:space="preserve"> is shown from 1984 to 2021 with the distribution of its sum. Median values of </w:t>
      </w:r>
      <m:oMath>
        <m:sSub>
          <m:sSubPr>
            <m:ctrlPr>
              <w:rPr>
                <w:rFonts w:ascii="Cambria Math" w:hAnsi="Cambria Math" w:cs="Times New Roman"/>
              </w:rPr>
            </m:ctrlPr>
          </m:sSubPr>
          <m:e>
            <m:r>
              <m:rPr>
                <m:sty m:val="p"/>
              </m:rPr>
              <w:rPr>
                <w:rFonts w:ascii="Cambria Math" w:hAnsi="Cambria Math" w:cs="Times New Roman"/>
              </w:rPr>
              <m:t>Σ</m:t>
            </m:r>
          </m:e>
          <m:sub>
            <m:sSub>
              <m:sSubPr>
                <m:ctrlPr>
                  <w:rPr>
                    <w:rFonts w:ascii="Cambria Math" w:eastAsia="Times New Roman" w:hAnsi="Cambria Math" w:cs="Times New Roman"/>
                    <w:highlight w:val="white"/>
                  </w:rPr>
                </m:ctrlPr>
              </m:sSubPr>
              <m:e>
                <m:r>
                  <m:rPr>
                    <m:sty m:val="p"/>
                  </m:rPr>
                  <w:rPr>
                    <w:rFonts w:ascii="Cambria Math" w:eastAsia="Times New Roman" w:hAnsi="Cambria Math" w:cs="Times New Roman"/>
                    <w:highlight w:val="white"/>
                    <w:lang w:val="en-US"/>
                  </w:rPr>
                  <m:t>OBS</m:t>
                </m:r>
              </m:e>
              <m:sub>
                <m:r>
                  <m:rPr>
                    <m:sty m:val="p"/>
                  </m:rPr>
                  <w:rPr>
                    <w:rFonts w:ascii="Cambria Math" w:eastAsia="Times New Roman" w:hAnsi="Cambria Math" w:cs="Times New Roman"/>
                    <w:highlight w:val="white"/>
                    <w:lang w:val="en-US"/>
                  </w:rPr>
                  <m:t>GS</m:t>
                </m:r>
              </m:sub>
            </m:sSub>
          </m:sub>
        </m:sSub>
      </m:oMath>
      <w:r w:rsidRPr="00F0113F">
        <w:rPr>
          <w:lang w:val="en-US"/>
        </w:rPr>
        <w:t xml:space="preserve"> are indicated by red vertical lines and are also expressed in written form alongside the associated interquartile range. The map shows the spatial distribution of </w:t>
      </w:r>
      <m:oMath>
        <m:sSub>
          <m:sSubPr>
            <m:ctrlPr>
              <w:rPr>
                <w:rFonts w:ascii="Cambria Math" w:hAnsi="Cambria Math" w:cs="Times New Roman"/>
              </w:rPr>
            </m:ctrlPr>
          </m:sSubPr>
          <m:e>
            <m:r>
              <m:rPr>
                <m:sty m:val="p"/>
              </m:rPr>
              <w:rPr>
                <w:rFonts w:ascii="Cambria Math" w:hAnsi="Cambria Math" w:cs="Times New Roman"/>
              </w:rPr>
              <m:t>Σ</m:t>
            </m:r>
          </m:e>
          <m:sub>
            <m:sSub>
              <m:sSubPr>
                <m:ctrlPr>
                  <w:rPr>
                    <w:rFonts w:ascii="Cambria Math" w:eastAsia="Times New Roman" w:hAnsi="Cambria Math" w:cs="Times New Roman"/>
                    <w:highlight w:val="white"/>
                  </w:rPr>
                </m:ctrlPr>
              </m:sSubPr>
              <m:e>
                <m:r>
                  <m:rPr>
                    <m:sty m:val="p"/>
                  </m:rPr>
                  <w:rPr>
                    <w:rFonts w:ascii="Cambria Math" w:eastAsia="Times New Roman" w:hAnsi="Cambria Math" w:cs="Times New Roman"/>
                    <w:highlight w:val="white"/>
                    <w:lang w:val="en-US"/>
                  </w:rPr>
                  <m:t>OBS</m:t>
                </m:r>
              </m:e>
              <m:sub>
                <m:r>
                  <m:rPr>
                    <m:sty m:val="p"/>
                  </m:rPr>
                  <w:rPr>
                    <w:rFonts w:ascii="Cambria Math" w:eastAsia="Times New Roman" w:hAnsi="Cambria Math" w:cs="Times New Roman"/>
                    <w:highlight w:val="white"/>
                    <w:lang w:val="en-US"/>
                  </w:rPr>
                  <m:t>GS</m:t>
                </m:r>
              </m:sub>
            </m:sSub>
          </m:sub>
        </m:sSub>
      </m:oMath>
      <w:r w:rsidRPr="00A63CE4">
        <w:rPr>
          <w:lang w:val="en-US"/>
        </w:rPr>
        <w:t>.</w:t>
      </w:r>
      <w:r w:rsidRPr="00F0113F">
        <w:rPr>
          <w:lang w:val="en-US"/>
        </w:rPr>
        <w:t xml:space="preserve"> </w:t>
      </w:r>
    </w:p>
    <w:p w14:paraId="5C474DFB" w14:textId="77777777" w:rsidR="00F0113F" w:rsidRDefault="00F0113F">
      <w:pPr>
        <w:jc w:val="center"/>
        <w:rPr>
          <w:b/>
          <w:u w:val="single"/>
          <w:lang w:val="en-US"/>
        </w:rPr>
      </w:pPr>
    </w:p>
    <w:p w14:paraId="6C73FD73" w14:textId="77777777" w:rsidR="00F0113F" w:rsidRPr="004C22E2" w:rsidRDefault="00F0113F">
      <w:pPr>
        <w:jc w:val="center"/>
        <w:rPr>
          <w:b/>
          <w:u w:val="single"/>
          <w:lang w:val="en-US"/>
        </w:rPr>
      </w:pPr>
    </w:p>
    <w:p w14:paraId="60AF83C6" w14:textId="77777777" w:rsidR="002A7294" w:rsidRPr="004C22E2" w:rsidRDefault="002A7294">
      <w:pPr>
        <w:jc w:val="center"/>
        <w:rPr>
          <w:b/>
          <w:u w:val="single"/>
          <w:lang w:val="en-US"/>
        </w:rPr>
      </w:pPr>
    </w:p>
    <w:p w14:paraId="485F20F7" w14:textId="77777777" w:rsidR="002A7294" w:rsidRPr="004C22E2" w:rsidRDefault="00000000">
      <w:pPr>
        <w:jc w:val="center"/>
        <w:rPr>
          <w:i/>
          <w:sz w:val="32"/>
          <w:szCs w:val="32"/>
          <w:lang w:val="en-US"/>
        </w:rPr>
      </w:pPr>
      <w:r w:rsidRPr="004C22E2">
        <w:rPr>
          <w:i/>
          <w:sz w:val="32"/>
          <w:szCs w:val="32"/>
          <w:lang w:val="en-US"/>
        </w:rPr>
        <w:t>SUPPLEMENTARY MATERIALS</w:t>
      </w:r>
    </w:p>
    <w:p w14:paraId="04807C00" w14:textId="77777777" w:rsidR="002A7294" w:rsidRPr="004C22E2" w:rsidRDefault="002A7294">
      <w:pPr>
        <w:jc w:val="both"/>
        <w:rPr>
          <w:b/>
          <w:u w:val="single"/>
          <w:lang w:val="en-US"/>
        </w:rPr>
      </w:pPr>
    </w:p>
    <w:p w14:paraId="772D04D7" w14:textId="77777777" w:rsidR="00A02976" w:rsidRPr="004C22E2" w:rsidRDefault="00A02976" w:rsidP="00A02976">
      <w:pPr>
        <w:jc w:val="both"/>
        <w:rPr>
          <w:b/>
          <w:lang w:val="en-US"/>
        </w:rPr>
      </w:pPr>
      <w:r w:rsidRPr="004C22E2">
        <w:rPr>
          <w:b/>
          <w:lang w:val="en-US"/>
        </w:rPr>
        <w:t>Effect of greenness metrics on the sampling bias</w:t>
      </w:r>
    </w:p>
    <w:p w14:paraId="151FA185" w14:textId="35482B83" w:rsidR="00A02976" w:rsidRPr="004C22E2" w:rsidRDefault="00A02976" w:rsidP="00A02976">
      <w:pPr>
        <w:jc w:val="both"/>
        <w:rPr>
          <w:highlight w:val="white"/>
          <w:lang w:val="en-US"/>
        </w:rPr>
      </w:pPr>
      <w:r w:rsidRPr="004C22E2">
        <w:rPr>
          <w:lang w:val="en-US"/>
        </w:rPr>
        <w:t xml:space="preserve">Annual maximum NDVI is a commonly used metric of vegetation greenness. However, as demonstrated in the main analysis, it is biased following an asymptotic relation with observation number and the </w:t>
      </w:r>
      <w:r>
        <w:rPr>
          <w:lang w:val="en-US"/>
        </w:rPr>
        <w:t>growing season length</w:t>
      </w:r>
      <w:r w:rsidRPr="004C22E2">
        <w:rPr>
          <w:lang w:val="en-US"/>
        </w:rPr>
        <w:t xml:space="preserve"> of the underlying annual NDVI curve. Other metrics besides maximum (i.e., q100) vegetation greenness could be more robust (e.g., q50). Here, we test how the sampling bias behaves when using quantile metrics (q50, q75, q80, and q90 compared to q100). Furthermore, there are nine different methods to compute quantiles according to </w:t>
      </w:r>
      <w:r w:rsidRPr="004C22E2">
        <w:rPr>
          <w:highlight w:val="white"/>
          <w:lang w:val="en-US"/>
        </w:rPr>
        <w:t xml:space="preserve">Hyndman and Fan (1996), so we further explored how sampling biases vary among quantile methods when computing q75. All methods are available in R using the “type” parameter in the function “quantile”. There are two main methods to compute quantiles. Algorithms either return the value of a score that exists in the set of scores (nearest-rank methods or discontinuous sample quantile) or interpolate between existing scores and are either exclusive or inclusive (continuous sample quantile). The discontinuous sample quantile method corresponds to types 1 to 3 in R, while types 4 to 9 correspond to continuous sample </w:t>
      </w:r>
      <w:r w:rsidRPr="004C22E2">
        <w:rPr>
          <w:highlight w:val="white"/>
          <w:lang w:val="en-US"/>
        </w:rPr>
        <w:lastRenderedPageBreak/>
        <w:t>quantiles (default is type 7). For visualization purposes, we compared the metrics to maximum NDVI and not the metric used to compare each method to a similar value.</w:t>
      </w:r>
    </w:p>
    <w:p w14:paraId="79843711" w14:textId="29C52AE2" w:rsidR="00A02976" w:rsidRPr="004C22E2" w:rsidRDefault="00A02976" w:rsidP="00A02976">
      <w:pPr>
        <w:ind w:firstLine="720"/>
        <w:jc w:val="both"/>
        <w:rPr>
          <w:highlight w:val="white"/>
          <w:lang w:val="en-US"/>
        </w:rPr>
      </w:pPr>
      <w:r w:rsidRPr="004C22E2">
        <w:rPr>
          <w:highlight w:val="white"/>
          <w:lang w:val="en-US"/>
        </w:rPr>
        <w:t>First, we reproduce</w:t>
      </w:r>
      <w:r>
        <w:rPr>
          <w:highlight w:val="white"/>
          <w:lang w:val="en-US"/>
        </w:rPr>
        <w:t>d</w:t>
      </w:r>
      <w:r w:rsidRPr="004C22E2">
        <w:rPr>
          <w:highlight w:val="white"/>
          <w:lang w:val="en-US"/>
        </w:rPr>
        <w:t xml:space="preserve"> Figure 4 of the main text using different quantiles with type = 1 (discontinuous quantile sample). We f</w:t>
      </w:r>
      <w:r>
        <w:rPr>
          <w:highlight w:val="white"/>
          <w:lang w:val="en-US"/>
        </w:rPr>
        <w:t>ound</w:t>
      </w:r>
      <w:r w:rsidRPr="004C22E2">
        <w:rPr>
          <w:highlight w:val="white"/>
          <w:lang w:val="en-US"/>
        </w:rPr>
        <w:t xml:space="preserve"> that </w:t>
      </w:r>
      <w:r w:rsidR="000C0F92">
        <w:rPr>
          <w:highlight w:val="white"/>
          <w:lang w:val="en-US"/>
        </w:rPr>
        <w:t>irrespective of the method</w:t>
      </w:r>
      <w:r w:rsidRPr="004C22E2">
        <w:rPr>
          <w:highlight w:val="white"/>
          <w:lang w:val="en-US"/>
        </w:rPr>
        <w:t>, estimates of maximum NDVI are biased according to the number of observations available (Figure S</w:t>
      </w:r>
      <w:r>
        <w:rPr>
          <w:highlight w:val="white"/>
          <w:lang w:val="en-US"/>
        </w:rPr>
        <w:t>2</w:t>
      </w:r>
      <w:r w:rsidRPr="004C22E2">
        <w:rPr>
          <w:highlight w:val="white"/>
          <w:lang w:val="en-US"/>
        </w:rPr>
        <w:t xml:space="preserve">). Interestingly, we found a so-called “ladder effect” in the asymptotic patterns. This pattern is due to using the nearest-rank method on lists with fewer than 100 distinct values, which result in the same value being used for more than one percentile. Hence, for q75, with </w:t>
      </w:r>
      <w:r>
        <w:rPr>
          <w:highlight w:val="white"/>
          <w:lang w:val="en-US"/>
        </w:rPr>
        <w:t>one</w:t>
      </w:r>
      <w:r w:rsidRPr="004C22E2">
        <w:rPr>
          <w:highlight w:val="white"/>
          <w:lang w:val="en-US"/>
        </w:rPr>
        <w:t xml:space="preserve">, </w:t>
      </w:r>
      <w:r>
        <w:rPr>
          <w:highlight w:val="white"/>
          <w:lang w:val="en-US"/>
        </w:rPr>
        <w:t>two</w:t>
      </w:r>
      <w:r w:rsidRPr="004C22E2">
        <w:rPr>
          <w:highlight w:val="white"/>
          <w:lang w:val="en-US"/>
        </w:rPr>
        <w:t xml:space="preserve"> and </w:t>
      </w:r>
      <w:r>
        <w:rPr>
          <w:highlight w:val="white"/>
          <w:lang w:val="en-US"/>
        </w:rPr>
        <w:t>three</w:t>
      </w:r>
      <w:r w:rsidRPr="004C22E2">
        <w:rPr>
          <w:highlight w:val="white"/>
          <w:lang w:val="en-US"/>
        </w:rPr>
        <w:t xml:space="preserve"> observations, it is the maximum value that is used and not the q75. With 4 observations, it is the third highe</w:t>
      </w:r>
      <w:r>
        <w:rPr>
          <w:highlight w:val="white"/>
          <w:lang w:val="en-US"/>
        </w:rPr>
        <w:t>st</w:t>
      </w:r>
      <w:r w:rsidRPr="004C22E2">
        <w:rPr>
          <w:highlight w:val="white"/>
          <w:lang w:val="en-US"/>
        </w:rPr>
        <w:t xml:space="preserve"> value that is used, which will be on average lower than the maximum value with </w:t>
      </w:r>
      <w:r>
        <w:rPr>
          <w:highlight w:val="white"/>
          <w:lang w:val="en-US"/>
        </w:rPr>
        <w:t>three</w:t>
      </w:r>
      <w:r w:rsidRPr="004C22E2">
        <w:rPr>
          <w:highlight w:val="white"/>
          <w:lang w:val="en-US"/>
        </w:rPr>
        <w:t xml:space="preserve"> observations. For q80, the same pattern is observed but for every </w:t>
      </w:r>
      <w:r>
        <w:rPr>
          <w:highlight w:val="white"/>
          <w:lang w:val="en-US"/>
        </w:rPr>
        <w:t>five</w:t>
      </w:r>
      <w:r w:rsidRPr="004C22E2">
        <w:rPr>
          <w:highlight w:val="white"/>
          <w:lang w:val="en-US"/>
        </w:rPr>
        <w:t xml:space="preserve"> observations (including </w:t>
      </w:r>
      <w:r>
        <w:rPr>
          <w:highlight w:val="white"/>
          <w:lang w:val="en-US"/>
        </w:rPr>
        <w:t>zero</w:t>
      </w:r>
      <w:r w:rsidRPr="004C22E2">
        <w:rPr>
          <w:highlight w:val="white"/>
          <w:lang w:val="en-US"/>
        </w:rPr>
        <w:t xml:space="preserve"> observation</w:t>
      </w:r>
      <w:r>
        <w:rPr>
          <w:highlight w:val="white"/>
          <w:lang w:val="en-US"/>
        </w:rPr>
        <w:t>s</w:t>
      </w:r>
      <w:r w:rsidRPr="004C22E2">
        <w:rPr>
          <w:highlight w:val="white"/>
          <w:lang w:val="en-US"/>
        </w:rPr>
        <w:t xml:space="preserve">). For the median, the pattern is hence observed every </w:t>
      </w:r>
      <w:r>
        <w:rPr>
          <w:highlight w:val="white"/>
          <w:lang w:val="en-US"/>
        </w:rPr>
        <w:t>two</w:t>
      </w:r>
      <w:r w:rsidRPr="004C22E2">
        <w:rPr>
          <w:highlight w:val="white"/>
          <w:lang w:val="en-US"/>
        </w:rPr>
        <w:t xml:space="preserve"> observations. In addition, we tested the q75 using each type of method to compute quantiles according to Hyndman and Fan (1996). As expected, we found that none of these methods prevent the </w:t>
      </w:r>
      <w:r w:rsidR="000C0F92">
        <w:rPr>
          <w:highlight w:val="white"/>
          <w:lang w:val="en-US"/>
        </w:rPr>
        <w:t xml:space="preserve">NDVImax </w:t>
      </w:r>
      <w:r w:rsidRPr="004C22E2">
        <w:rPr>
          <w:highlight w:val="white"/>
          <w:lang w:val="en-US"/>
        </w:rPr>
        <w:t>sampling bias (Figure S</w:t>
      </w:r>
      <w:r>
        <w:rPr>
          <w:highlight w:val="white"/>
          <w:lang w:val="en-US"/>
        </w:rPr>
        <w:t>3</w:t>
      </w:r>
      <w:r w:rsidRPr="004C22E2">
        <w:rPr>
          <w:highlight w:val="white"/>
          <w:lang w:val="en-US"/>
        </w:rPr>
        <w:t>). Continuous sample quantile methods exhibit similar patterns as the maximum metric.</w:t>
      </w:r>
    </w:p>
    <w:p w14:paraId="5021BE6D" w14:textId="77777777" w:rsidR="002A7294" w:rsidRPr="004C22E2" w:rsidRDefault="002A7294">
      <w:pPr>
        <w:jc w:val="both"/>
        <w:rPr>
          <w:b/>
          <w:u w:val="single"/>
          <w:lang w:val="en-US"/>
        </w:rPr>
      </w:pPr>
    </w:p>
    <w:p w14:paraId="39933ECE" w14:textId="77777777" w:rsidR="002A7294" w:rsidRPr="004C22E2" w:rsidRDefault="00000000">
      <w:pPr>
        <w:jc w:val="both"/>
        <w:rPr>
          <w:b/>
          <w:lang w:val="en-US"/>
        </w:rPr>
      </w:pPr>
      <w:r w:rsidRPr="004C22E2">
        <w:rPr>
          <w:b/>
          <w:lang w:val="en-US"/>
        </w:rPr>
        <w:t>Effect of randomizing observation day of year compared to using exact day of year</w:t>
      </w:r>
    </w:p>
    <w:p w14:paraId="60DD2B31" w14:textId="2E5C18AD" w:rsidR="002A7294" w:rsidRPr="004C22E2" w:rsidRDefault="00000000">
      <w:pPr>
        <w:jc w:val="both"/>
        <w:rPr>
          <w:lang w:val="en-US"/>
        </w:rPr>
      </w:pPr>
      <w:r w:rsidRPr="004C22E2">
        <w:rPr>
          <w:lang w:val="en-US"/>
        </w:rPr>
        <w:t xml:space="preserve">In the main analysis, we randomized the day of year (DOY) used when selecting NDVI observations, meaning that for </w:t>
      </w:r>
      <m:oMath>
        <m:sSub>
          <m:sSubPr>
            <m:ctrlPr>
              <w:rPr>
                <w:rFonts w:ascii="Cambria Math" w:hAnsi="Cambria Math"/>
              </w:rPr>
            </m:ctrlPr>
          </m:sSubPr>
          <m:e>
            <m:r>
              <w:rPr>
                <w:rFonts w:ascii="Cambria Math" w:hAnsi="Cambria Math"/>
              </w:rPr>
              <m:t>OBS</m:t>
            </m:r>
          </m:e>
          <m:sub>
            <m:r>
              <w:rPr>
                <w:rFonts w:ascii="Cambria Math" w:hAnsi="Cambria Math"/>
              </w:rPr>
              <m:t>GS</m:t>
            </m:r>
          </m:sub>
        </m:sSub>
      </m:oMath>
      <w:r w:rsidRPr="004C22E2">
        <w:rPr>
          <w:lang w:val="en-US"/>
        </w:rPr>
        <w:t xml:space="preserve"> = 3, the DOY of each of these 3 observations was randomized between DOY 152 and 243 (June through August). We used th</w:t>
      </w:r>
      <w:r w:rsidR="001A20AB">
        <w:rPr>
          <w:lang w:val="en-US"/>
        </w:rPr>
        <w:t>is</w:t>
      </w:r>
      <w:r w:rsidRPr="004C22E2">
        <w:rPr>
          <w:lang w:val="en-US"/>
        </w:rPr>
        <w:t xml:space="preserve"> approach because it drastically simplified the computation, but it might introduce bias as usable observations are not homogeneously distributed between DOY 152 and 243 due to cloud cover variability. Therefore, we randomly selected 30,000 points over the European Alps </w:t>
      </w:r>
      <w:r w:rsidR="001A20AB">
        <w:rPr>
          <w:lang w:val="en-US"/>
        </w:rPr>
        <w:t>for</w:t>
      </w:r>
      <w:r w:rsidRPr="004C22E2">
        <w:rPr>
          <w:lang w:val="en-US"/>
        </w:rPr>
        <w:t xml:space="preserve"> which we extracted the exact day of year of each observation from 1984 to 2021 using the R package ‘LandsatTS’ (Berner et al. 2023; Berner et al. 2020). We computed NDVImax of the ‘intermediate </w:t>
      </w:r>
      <w:r w:rsidR="001A20AB">
        <w:rPr>
          <w:lang w:val="en-US"/>
        </w:rPr>
        <w:t xml:space="preserve">snowmelt </w:t>
      </w:r>
      <w:r w:rsidRPr="004C22E2">
        <w:rPr>
          <w:lang w:val="en-US"/>
        </w:rPr>
        <w:t xml:space="preserve">grasslands’ phenological curve using either (1) the exact DOY for each observation, or (2) by randomizing the DOY of each observation. We then compared the relative underestimation of NDVImax of both methods and found </w:t>
      </w:r>
      <w:r w:rsidR="000C0F92">
        <w:rPr>
          <w:lang w:val="en-US"/>
        </w:rPr>
        <w:t>a maximum of</w:t>
      </w:r>
      <w:r w:rsidRPr="004C22E2">
        <w:rPr>
          <w:lang w:val="en-US"/>
        </w:rPr>
        <w:t xml:space="preserve"> 5% reduction in the underestimation of the NDVImax when using the first scenario (Figure </w:t>
      </w:r>
      <w:r w:rsidR="00A02976" w:rsidRPr="004C22E2">
        <w:rPr>
          <w:lang w:val="en-US"/>
        </w:rPr>
        <w:t>S</w:t>
      </w:r>
      <w:r w:rsidR="00A02976">
        <w:rPr>
          <w:lang w:val="en-US"/>
        </w:rPr>
        <w:t>4</w:t>
      </w:r>
      <w:r w:rsidRPr="004C22E2">
        <w:rPr>
          <w:lang w:val="en-US"/>
        </w:rPr>
        <w:t>). We argue that randomizing the DOY of observations does not substantially alter quantification of the sampling bias in our analysis.</w:t>
      </w:r>
    </w:p>
    <w:p w14:paraId="1FCEE626" w14:textId="77777777" w:rsidR="002A7294" w:rsidRPr="004C22E2" w:rsidRDefault="002A7294">
      <w:pPr>
        <w:jc w:val="both"/>
        <w:rPr>
          <w:b/>
          <w:u w:val="single"/>
          <w:lang w:val="en-US"/>
        </w:rPr>
      </w:pPr>
    </w:p>
    <w:p w14:paraId="02F01392" w14:textId="77777777" w:rsidR="002A7294" w:rsidRPr="004C22E2" w:rsidRDefault="002A7294">
      <w:pPr>
        <w:jc w:val="both"/>
        <w:rPr>
          <w:lang w:val="en-US"/>
        </w:rPr>
      </w:pPr>
    </w:p>
    <w:p w14:paraId="4F2B6EDA" w14:textId="77777777" w:rsidR="002A7294" w:rsidRPr="001A20AB" w:rsidRDefault="00000000">
      <w:pPr>
        <w:jc w:val="both"/>
        <w:rPr>
          <w:b/>
          <w:lang w:val="en-US"/>
        </w:rPr>
      </w:pPr>
      <w:r w:rsidRPr="004C22E2">
        <w:rPr>
          <w:b/>
          <w:lang w:val="en-US"/>
        </w:rPr>
        <w:t xml:space="preserve">Comparison between observed trends and Rumpf et al. </w:t>
      </w:r>
      <w:r w:rsidRPr="001A20AB">
        <w:rPr>
          <w:b/>
          <w:lang w:val="en-US"/>
        </w:rPr>
        <w:t>(2022) greening trends</w:t>
      </w:r>
    </w:p>
    <w:p w14:paraId="50487E7C" w14:textId="64D1274E" w:rsidR="002A7294" w:rsidRPr="004C22E2" w:rsidRDefault="00000000">
      <w:pPr>
        <w:jc w:val="both"/>
        <w:rPr>
          <w:lang w:val="en-US"/>
        </w:rPr>
      </w:pPr>
      <w:r w:rsidRPr="004C22E2">
        <w:rPr>
          <w:lang w:val="en-US"/>
        </w:rPr>
        <w:t>Rumpf et al. (2022) recently studied the alpine greening across the European Alps using the Landsat time series. We used this study as a reference and compared our observed trends with theirs. The main difference lies in the metric used as a proxy of vegetation greenness. They used the quantile 0.75 from GEE which relies on the nearest-rank method, while we used the maximum. We performed the same set of reflectance correction</w:t>
      </w:r>
      <w:r w:rsidR="001A20AB">
        <w:rPr>
          <w:lang w:val="en-US"/>
        </w:rPr>
        <w:t>s</w:t>
      </w:r>
      <w:r w:rsidRPr="004C22E2">
        <w:rPr>
          <w:lang w:val="en-US"/>
        </w:rPr>
        <w:t xml:space="preserve"> as the</w:t>
      </w:r>
      <w:r w:rsidR="001A20AB">
        <w:rPr>
          <w:lang w:val="en-US"/>
        </w:rPr>
        <w:t>y did</w:t>
      </w:r>
      <w:r w:rsidRPr="004C22E2">
        <w:rPr>
          <w:lang w:val="en-US"/>
        </w:rPr>
        <w:t xml:space="preserve"> and analyzed the distribution of both vegetation greenness trend datasets along the elevation gradient. </w:t>
      </w:r>
      <w:r w:rsidR="000C0F92">
        <w:rPr>
          <w:lang w:val="en-US"/>
        </w:rPr>
        <w:t>It is possible to estimates of NDVImax sampling bias on their results</w:t>
      </w:r>
      <w:r w:rsidRPr="004C22E2">
        <w:rPr>
          <w:lang w:val="en-US"/>
        </w:rPr>
        <w:t xml:space="preserve"> (Figure </w:t>
      </w:r>
      <w:r w:rsidR="00A02976" w:rsidRPr="004C22E2">
        <w:rPr>
          <w:lang w:val="en-US"/>
        </w:rPr>
        <w:t>S</w:t>
      </w:r>
      <w:r w:rsidR="00A02976">
        <w:rPr>
          <w:lang w:val="en-US"/>
        </w:rPr>
        <w:t>5</w:t>
      </w:r>
      <w:r w:rsidRPr="004C22E2">
        <w:rPr>
          <w:lang w:val="en-US"/>
        </w:rPr>
        <w:t xml:space="preserve">). </w:t>
      </w:r>
    </w:p>
    <w:p w14:paraId="08292B00" w14:textId="77777777" w:rsidR="002A7294" w:rsidRPr="004C22E2" w:rsidRDefault="002A7294">
      <w:pPr>
        <w:widowControl w:val="0"/>
        <w:spacing w:line="256" w:lineRule="auto"/>
        <w:jc w:val="both"/>
        <w:rPr>
          <w:lang w:val="en-US"/>
        </w:rPr>
      </w:pPr>
    </w:p>
    <w:p w14:paraId="2E634B36" w14:textId="77777777" w:rsidR="002A7294" w:rsidRPr="004C22E2" w:rsidRDefault="00000000">
      <w:pPr>
        <w:jc w:val="both"/>
        <w:rPr>
          <w:b/>
          <w:u w:val="single"/>
          <w:lang w:val="en-US"/>
        </w:rPr>
      </w:pPr>
      <w:r w:rsidRPr="004C22E2">
        <w:rPr>
          <w:b/>
          <w:lang w:val="en-US"/>
        </w:rPr>
        <w:t>Effect of overlapping tiles on observations and false trends</w:t>
      </w:r>
    </w:p>
    <w:p w14:paraId="3249108A" w14:textId="46DDCDD4" w:rsidR="002A7294" w:rsidRDefault="00000000">
      <w:pPr>
        <w:jc w:val="both"/>
        <w:rPr>
          <w:lang w:val="en-US"/>
        </w:rPr>
      </w:pPr>
      <w:r w:rsidRPr="004C22E2">
        <w:rPr>
          <w:lang w:val="en-US"/>
        </w:rPr>
        <w:t xml:space="preserve">We reproduce Figure 7 with pixels within and outside of overlapping tiles to test whether the increase in observation due to overlapping tiles was sufficient to overrule the sampling bias at high elevations. We found that </w:t>
      </w:r>
      <m:oMath>
        <m:sSub>
          <m:sSubPr>
            <m:ctrlPr>
              <w:rPr>
                <w:rFonts w:ascii="Cambria Math" w:hAnsi="Cambria Math"/>
              </w:rPr>
            </m:ctrlPr>
          </m:sSubPr>
          <m:e>
            <m:r>
              <w:rPr>
                <w:rFonts w:ascii="Cambria Math" w:hAnsi="Cambria Math"/>
              </w:rPr>
              <m:t>OBS</m:t>
            </m:r>
          </m:e>
          <m:sub>
            <m:r>
              <w:rPr>
                <w:rFonts w:ascii="Cambria Math" w:hAnsi="Cambria Math"/>
              </w:rPr>
              <m:t>GS</m:t>
            </m:r>
          </m:sub>
        </m:sSub>
      </m:oMath>
      <w:r w:rsidRPr="004C22E2">
        <w:rPr>
          <w:lang w:val="en-US"/>
        </w:rPr>
        <w:t xml:space="preserve"> tends to be increasingly similar as elevation increases (Figure S7) which was already observed in Figure 1. Consequently, the increase in </w:t>
      </w:r>
      <w:r w:rsidRPr="004C22E2">
        <w:rPr>
          <w:lang w:val="en-US"/>
        </w:rPr>
        <w:lastRenderedPageBreak/>
        <w:t>observation</w:t>
      </w:r>
      <w:r w:rsidR="001A20AB">
        <w:rPr>
          <w:lang w:val="en-US"/>
        </w:rPr>
        <w:t>s</w:t>
      </w:r>
      <w:r w:rsidRPr="004C22E2">
        <w:rPr>
          <w:lang w:val="en-US"/>
        </w:rPr>
        <w:t xml:space="preserve"> due to overlapping tiles is mostly observed at lower elevations, and false trends are not diminished at higher elevations (Figure </w:t>
      </w:r>
      <w:r w:rsidR="00A02976" w:rsidRPr="004C22E2">
        <w:rPr>
          <w:lang w:val="en-US"/>
        </w:rPr>
        <w:t>S</w:t>
      </w:r>
      <w:r w:rsidR="00A02976">
        <w:rPr>
          <w:lang w:val="en-US"/>
        </w:rPr>
        <w:t>6</w:t>
      </w:r>
      <w:r w:rsidRPr="004C22E2">
        <w:rPr>
          <w:lang w:val="en-US"/>
        </w:rPr>
        <w:t>). In the specific context of the European Alps, restraining the analysis to overlapping tiles is insufficient to avoid the sampling bias.</w:t>
      </w:r>
    </w:p>
    <w:p w14:paraId="49B60127" w14:textId="77777777" w:rsidR="00EB2D8B" w:rsidRDefault="00EB2D8B">
      <w:pPr>
        <w:jc w:val="both"/>
        <w:rPr>
          <w:lang w:val="en-US"/>
        </w:rPr>
      </w:pPr>
    </w:p>
    <w:p w14:paraId="575C5DD7" w14:textId="6058638F" w:rsidR="00BB291B" w:rsidRPr="00A63CE4" w:rsidRDefault="00BB291B">
      <w:pPr>
        <w:jc w:val="both"/>
        <w:rPr>
          <w:b/>
          <w:bCs/>
          <w:lang w:val="en-US"/>
        </w:rPr>
      </w:pPr>
      <w:r w:rsidRPr="00A63CE4">
        <w:rPr>
          <w:b/>
          <w:bCs/>
          <w:lang w:val="en-US"/>
        </w:rPr>
        <w:t>Spatio-temporal patterns of Landsat observations in the Arctic</w:t>
      </w:r>
      <w:r w:rsidR="00EB2D8B">
        <w:rPr>
          <w:b/>
          <w:bCs/>
          <w:lang w:val="en-US"/>
        </w:rPr>
        <w:t xml:space="preserve"> and Asian mountains</w:t>
      </w:r>
    </w:p>
    <w:p w14:paraId="128645D2" w14:textId="08D1291E" w:rsidR="00BB291B" w:rsidRPr="00715C53" w:rsidRDefault="00BB291B">
      <w:pPr>
        <w:jc w:val="both"/>
        <w:rPr>
          <w:lang w:val="en-US"/>
        </w:rPr>
      </w:pPr>
      <w:r>
        <w:rPr>
          <w:lang w:val="en-US"/>
        </w:rPr>
        <w:t>To illustrate how the Landsat NDVImax sampling bias could affect vegetation greenness trends in other regions,</w:t>
      </w:r>
      <w:r w:rsidR="00EB2D8B">
        <w:rPr>
          <w:lang w:val="en-US"/>
        </w:rPr>
        <w:t xml:space="preserve"> </w:t>
      </w:r>
      <w:r>
        <w:rPr>
          <w:lang w:val="en-US"/>
        </w:rPr>
        <w:t xml:space="preserve">we investigated the spatio-temporal variability of Landsat </w:t>
      </w:r>
      <m:oMath>
        <m:sSub>
          <m:sSubPr>
            <m:ctrlPr>
              <w:rPr>
                <w:rFonts w:ascii="Cambria Math" w:eastAsia="Times New Roman" w:hAnsi="Cambria Math" w:cs="Times New Roman"/>
              </w:rPr>
            </m:ctrlPr>
          </m:sSubPr>
          <m:e>
            <m:r>
              <m:rPr>
                <m:sty m:val="p"/>
              </m:rPr>
              <w:rPr>
                <w:rFonts w:ascii="Cambria Math" w:eastAsia="Times New Roman" w:hAnsi="Cambria Math" w:cs="Times New Roman"/>
                <w:lang w:val="en-US"/>
              </w:rPr>
              <m:t>OBS</m:t>
            </m:r>
          </m:e>
          <m:sub>
            <m:r>
              <m:rPr>
                <m:sty m:val="p"/>
              </m:rPr>
              <w:rPr>
                <w:rFonts w:ascii="Cambria Math" w:eastAsia="Times New Roman" w:hAnsi="Cambria Math" w:cs="Times New Roman"/>
                <w:lang w:val="en-US"/>
              </w:rPr>
              <m:t>GS</m:t>
            </m:r>
          </m:sub>
        </m:sSub>
      </m:oMath>
      <w:r w:rsidR="00715C53" w:rsidRPr="00A63CE4">
        <w:rPr>
          <w:lang w:val="en-US"/>
        </w:rPr>
        <w:t xml:space="preserve"> </w:t>
      </w:r>
      <w:r w:rsidR="00715C53">
        <w:rPr>
          <w:lang w:val="en-US"/>
        </w:rPr>
        <w:t>in t</w:t>
      </w:r>
      <w:r w:rsidR="00EB2D8B">
        <w:rPr>
          <w:lang w:val="en-US"/>
        </w:rPr>
        <w:t>wo of the most studied world’s cold regions, the Arctic (above 50° Latitude) and the Asian mountain ranges (extended Hindu Kush Himalaya Mountain ranges and Tibetan Plateau)</w:t>
      </w:r>
      <w:r w:rsidR="00715C53">
        <w:rPr>
          <w:lang w:val="en-US"/>
        </w:rPr>
        <w:t xml:space="preserve">. </w:t>
      </w:r>
      <w:r w:rsidR="00EB2D8B">
        <w:rPr>
          <w:lang w:val="en-US"/>
        </w:rPr>
        <w:t>For the North Pole, w</w:t>
      </w:r>
      <w:r w:rsidR="00715C53">
        <w:rPr>
          <w:lang w:val="en-US"/>
        </w:rPr>
        <w:t>e used the biozone delineation from Virtanen et al. (2016) that split the Arctic into the (i) High, (ii) Low and (iii) Oro Arctic as used in Berner et al. (2020). In addition, we used the Ecoregion from Dinerstein et al. (2017) to delineate sub-Arctic vegetation types using the Boreal Forests/Taiga biome. We differentiate between the (iv) North American and (v) Eurasian sub-Arctic as these domains exhibit different patterns of Landsat time series due to historical specificity in data acquisition</w:t>
      </w:r>
      <w:r w:rsidR="00EB2D8B">
        <w:rPr>
          <w:lang w:val="en-US"/>
        </w:rPr>
        <w:t xml:space="preserve"> (Figure S7)</w:t>
      </w:r>
      <w:r w:rsidR="00715C53">
        <w:rPr>
          <w:lang w:val="en-US"/>
        </w:rPr>
        <w:t xml:space="preserve">. </w:t>
      </w:r>
      <w:r w:rsidR="00EB2D8B" w:rsidRPr="00EB2D8B">
        <w:rPr>
          <w:lang w:val="en-US"/>
        </w:rPr>
        <w:t xml:space="preserve">For the </w:t>
      </w:r>
      <w:r w:rsidR="00EB2D8B">
        <w:rPr>
          <w:lang w:val="en-US"/>
        </w:rPr>
        <w:t>Asian mountain ranges</w:t>
      </w:r>
      <w:r w:rsidR="00EB2D8B" w:rsidRPr="00EB2D8B">
        <w:rPr>
          <w:lang w:val="en-US"/>
        </w:rPr>
        <w:t>, we used a combination of natural mountain ranges natural delineation and alpine biome bioclimatic classification from Testolin et al. (2020). We obtained 5 sub-regions: the (i) Tian shan, (ii) Extended Hindu Kush, (iii) Himalaya, (iv) Tibetan Plateau and (v) Hengduan mountain ranges</w:t>
      </w:r>
      <w:r w:rsidR="00EB2D8B">
        <w:rPr>
          <w:lang w:val="en-US"/>
        </w:rPr>
        <w:t xml:space="preserve"> (Figure S8)</w:t>
      </w:r>
      <w:r w:rsidR="00EB2D8B" w:rsidRPr="00EB2D8B">
        <w:rPr>
          <w:lang w:val="en-US"/>
        </w:rPr>
        <w:t xml:space="preserve">. </w:t>
      </w:r>
      <w:r w:rsidR="00715C53">
        <w:rPr>
          <w:lang w:val="en-US"/>
        </w:rPr>
        <w:t xml:space="preserve">For each of the </w:t>
      </w:r>
      <w:r w:rsidR="00EB2D8B">
        <w:rPr>
          <w:lang w:val="en-US"/>
        </w:rPr>
        <w:t>10</w:t>
      </w:r>
      <w:r w:rsidR="00715C53">
        <w:rPr>
          <w:lang w:val="en-US"/>
        </w:rPr>
        <w:t xml:space="preserve"> sub regions described above, we obtained time series of </w:t>
      </w:r>
      <m:oMath>
        <m:sSub>
          <m:sSubPr>
            <m:ctrlPr>
              <w:rPr>
                <w:rFonts w:ascii="Cambria Math" w:eastAsia="Times New Roman" w:hAnsi="Cambria Math" w:cs="Times New Roman"/>
              </w:rPr>
            </m:ctrlPr>
          </m:sSubPr>
          <m:e>
            <m:r>
              <m:rPr>
                <m:sty m:val="p"/>
              </m:rPr>
              <w:rPr>
                <w:rFonts w:ascii="Cambria Math" w:eastAsia="Times New Roman" w:hAnsi="Cambria Math" w:cs="Times New Roman"/>
                <w:lang w:val="en-US"/>
              </w:rPr>
              <m:t>OBS</m:t>
            </m:r>
          </m:e>
          <m:sub>
            <m:r>
              <m:rPr>
                <m:sty m:val="p"/>
              </m:rPr>
              <w:rPr>
                <w:rFonts w:ascii="Cambria Math" w:eastAsia="Times New Roman" w:hAnsi="Cambria Math" w:cs="Times New Roman"/>
                <w:lang w:val="en-US"/>
              </w:rPr>
              <m:t>GS</m:t>
            </m:r>
          </m:sub>
        </m:sSub>
      </m:oMath>
      <w:r w:rsidR="00715C53" w:rsidRPr="00A63CE4">
        <w:rPr>
          <w:lang w:val="en-US"/>
        </w:rPr>
        <w:t xml:space="preserve"> </w:t>
      </w:r>
      <w:r w:rsidR="00715C53">
        <w:rPr>
          <w:lang w:val="en-US"/>
        </w:rPr>
        <w:t>using the same procedure as described in section 2.1.</w:t>
      </w:r>
      <w:r w:rsidR="00FF3E1A">
        <w:rPr>
          <w:lang w:val="en-US"/>
        </w:rPr>
        <w:t xml:space="preserve"> (Figure S</w:t>
      </w:r>
      <w:r w:rsidR="00EB2D8B">
        <w:rPr>
          <w:lang w:val="en-US"/>
        </w:rPr>
        <w:t>8</w:t>
      </w:r>
      <w:r w:rsidR="00FF3E1A">
        <w:rPr>
          <w:lang w:val="en-US"/>
        </w:rPr>
        <w:t>).</w:t>
      </w:r>
    </w:p>
    <w:p w14:paraId="380C4145" w14:textId="77777777" w:rsidR="002A7294" w:rsidRDefault="002A7294">
      <w:pPr>
        <w:widowControl w:val="0"/>
        <w:spacing w:line="256" w:lineRule="auto"/>
        <w:jc w:val="both"/>
        <w:rPr>
          <w:b/>
          <w:u w:val="single"/>
          <w:lang w:val="en-US"/>
        </w:rPr>
      </w:pPr>
    </w:p>
    <w:p w14:paraId="78D8B7D8" w14:textId="7E3730F0" w:rsidR="00A02976" w:rsidRPr="004C22E2" w:rsidRDefault="00A02976">
      <w:pPr>
        <w:widowControl w:val="0"/>
        <w:spacing w:line="256" w:lineRule="auto"/>
        <w:jc w:val="both"/>
        <w:rPr>
          <w:b/>
          <w:u w:val="single"/>
          <w:lang w:val="en-US"/>
        </w:rPr>
      </w:pPr>
    </w:p>
    <w:sectPr w:rsidR="00A02976" w:rsidRPr="004C22E2">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7294"/>
    <w:rsid w:val="000C0F92"/>
    <w:rsid w:val="001A20AB"/>
    <w:rsid w:val="001F4282"/>
    <w:rsid w:val="002A7294"/>
    <w:rsid w:val="002F362B"/>
    <w:rsid w:val="00321ECC"/>
    <w:rsid w:val="003B120A"/>
    <w:rsid w:val="003D18CF"/>
    <w:rsid w:val="004A1BC1"/>
    <w:rsid w:val="004C22E2"/>
    <w:rsid w:val="005744EC"/>
    <w:rsid w:val="00715C53"/>
    <w:rsid w:val="00804333"/>
    <w:rsid w:val="008F7A40"/>
    <w:rsid w:val="00A02976"/>
    <w:rsid w:val="00A63CE4"/>
    <w:rsid w:val="00AA045A"/>
    <w:rsid w:val="00B41868"/>
    <w:rsid w:val="00BB291B"/>
    <w:rsid w:val="00CC7141"/>
    <w:rsid w:val="00D16C68"/>
    <w:rsid w:val="00EB2D8B"/>
    <w:rsid w:val="00F0113F"/>
    <w:rsid w:val="00FF3E1A"/>
    <w:rsid w:val="00FF737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10C2C"/>
  <w15:docId w15:val="{72950408-68F0-40C9-90FB-39558070C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customStyle="1" w:styleId="a">
    <w:basedOn w:val="TableNormal"/>
    <w:rPr>
      <w:color w:val="000000"/>
    </w:rPr>
    <w:tblPr>
      <w:tblStyleRowBandSize w:val="1"/>
      <w:tblStyleColBandSize w:val="1"/>
      <w:tblCellMar>
        <w:top w:w="100" w:type="dxa"/>
        <w:left w:w="100" w:type="dxa"/>
        <w:bottom w:w="100" w:type="dxa"/>
        <w:right w:w="100" w:type="dxa"/>
      </w:tblCellMar>
    </w:tblPr>
    <w:tcPr>
      <w:shd w:val="clear" w:color="auto" w:fill="E8EDFD"/>
    </w:tcPr>
    <w:tblStylePr w:type="firstRow">
      <w:rPr>
        <w:rFonts w:ascii="Arial" w:eastAsia="Arial" w:hAnsi="Arial" w:cs="Arial"/>
        <w:b/>
        <w:i w:val="0"/>
        <w:color w:val="FFFFFF"/>
      </w:rPr>
      <w:tblPr/>
      <w:tcPr>
        <w:shd w:val="clear" w:color="auto" w:fill="4285F4"/>
      </w:tcPr>
    </w:tblStylePr>
    <w:tblStylePr w:type="lastRow">
      <w:rPr>
        <w:rFonts w:ascii="Arial" w:eastAsia="Arial" w:hAnsi="Arial" w:cs="Arial"/>
        <w:b/>
        <w:i w:val="0"/>
        <w:color w:val="FFFFFF"/>
      </w:rPr>
      <w:tblPr/>
      <w:tcPr>
        <w:shd w:val="clear" w:color="auto" w:fill="4285F4"/>
      </w:tcPr>
    </w:tblStylePr>
    <w:tblStylePr w:type="firstCol">
      <w:rPr>
        <w:rFonts w:ascii="Arial" w:eastAsia="Arial" w:hAnsi="Arial" w:cs="Arial"/>
        <w:b/>
        <w:i w:val="0"/>
        <w:color w:val="FFFFFF"/>
      </w:rPr>
      <w:tblPr/>
      <w:tcPr>
        <w:shd w:val="clear" w:color="auto" w:fill="4285F4"/>
      </w:tcPr>
    </w:tblStylePr>
    <w:tblStylePr w:type="lastCol">
      <w:rPr>
        <w:rFonts w:ascii="Arial" w:eastAsia="Arial" w:hAnsi="Arial" w:cs="Arial"/>
        <w:b/>
        <w:i w:val="0"/>
        <w:color w:val="FFFFFF"/>
      </w:rPr>
      <w:tblPr/>
      <w:tcPr>
        <w:shd w:val="clear" w:color="auto" w:fill="4285F4"/>
      </w:tcPr>
    </w:tblStylePr>
    <w:tblStylePr w:type="band1Vert">
      <w:tblPr/>
      <w:tcPr>
        <w:shd w:val="clear" w:color="auto" w:fill="CDD8FB"/>
      </w:tcPr>
    </w:tblStylePr>
    <w:tblStylePr w:type="band1Horz">
      <w:tblPr/>
      <w:tcPr>
        <w:shd w:val="clear" w:color="auto" w:fill="CDD8FB"/>
      </w:tcPr>
    </w:tblStylePr>
  </w:style>
  <w:style w:type="paragraph" w:styleId="Rvision">
    <w:name w:val="Revision"/>
    <w:hidden/>
    <w:uiPriority w:val="99"/>
    <w:semiHidden/>
    <w:rsid w:val="00AA045A"/>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11</Pages>
  <Words>1590</Words>
  <Characters>8748</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ARTHUR BAYLE</cp:lastModifiedBy>
  <cp:revision>22</cp:revision>
  <dcterms:created xsi:type="dcterms:W3CDTF">2023-09-07T08:52:00Z</dcterms:created>
  <dcterms:modified xsi:type="dcterms:W3CDTF">2024-03-11T07:34:00Z</dcterms:modified>
</cp:coreProperties>
</file>