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Times New Roman Regular" w:hAnsi="Times New Roman Regular" w:cs="Times New Roman Regular"/>
          <w:b w:val="0"/>
          <w:bCs/>
          <w:sz w:val="24"/>
          <w:szCs w:val="24"/>
        </w:rPr>
      </w:pPr>
      <w:bookmarkStart w:id="0" w:name="_Hlk123246011"/>
      <w:r>
        <w:rPr>
          <w:rFonts w:hint="default" w:ascii="Times New Roman Bold" w:hAnsi="Times New Roman Bold" w:cs="Times New Roman Bold"/>
          <w:b/>
          <w:bCs w:val="0"/>
          <w:sz w:val="24"/>
          <w:szCs w:val="24"/>
        </w:rPr>
        <w:t xml:space="preserve">Table 1 </w:t>
      </w:r>
      <w:r>
        <w:rPr>
          <w:rFonts w:hint="default" w:ascii="Times New Roman Regular" w:hAnsi="Times New Roman Regular" w:cs="Times New Roman Regular"/>
          <w:b w:val="0"/>
          <w:bCs/>
          <w:sz w:val="24"/>
          <w:szCs w:val="24"/>
        </w:rPr>
        <w:t>Patient Demographics</w:t>
      </w:r>
    </w:p>
    <w:p>
      <w:pPr>
        <w:jc w:val="center"/>
        <w:rPr>
          <w:rFonts w:hint="default" w:ascii="Times New Roman Regular" w:hAnsi="Times New Roman Regular" w:cs="Times New Roman Regular"/>
          <w:b w:val="0"/>
          <w:bCs/>
          <w:sz w:val="24"/>
          <w:szCs w:val="24"/>
        </w:rPr>
      </w:pPr>
    </w:p>
    <w:tbl>
      <w:tblPr>
        <w:tblStyle w:val="5"/>
        <w:tblpPr w:leftFromText="180" w:rightFromText="180" w:vertAnchor="text" w:horzAnchor="margin" w:tblpXSpec="center" w:tblpY="-31"/>
        <w:tblOverlap w:val="never"/>
        <w:tblW w:w="6580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3"/>
        <w:gridCol w:w="2327"/>
      </w:tblGrid>
      <w:tr>
        <w:trPr>
          <w:trHeight w:val="340" w:hRule="atLeast"/>
          <w:jc w:val="center"/>
        </w:trPr>
        <w:tc>
          <w:tcPr>
            <w:tcW w:w="6580" w:type="dxa"/>
            <w:gridSpan w:val="2"/>
            <w:tcBorders>
              <w:top w:val="single" w:color="auto" w:sz="12" w:space="0"/>
              <w:bottom w:val="single" w:color="auto" w:sz="4" w:space="0"/>
            </w:tcBorders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Demographic 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40" w:hRule="atLeast"/>
          <w:jc w:val="center"/>
        </w:trPr>
        <w:tc>
          <w:tcPr>
            <w:tcW w:w="4253" w:type="dxa"/>
            <w:tcBorders>
              <w:top w:val="single" w:color="auto" w:sz="4" w:space="0"/>
              <w:bottom w:val="nil"/>
            </w:tcBorders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Patients (M/F)</w:t>
            </w:r>
          </w:p>
        </w:tc>
        <w:tc>
          <w:tcPr>
            <w:tcW w:w="2327" w:type="dxa"/>
            <w:tcBorders>
              <w:top w:val="single" w:color="auto" w:sz="4" w:space="0"/>
              <w:bottom w:val="nil"/>
            </w:tcBorders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40" w:hRule="atLeast"/>
          <w:jc w:val="center"/>
        </w:trPr>
        <w:tc>
          <w:tcPr>
            <w:tcW w:w="4253" w:type="dxa"/>
            <w:tcBorders>
              <w:top w:val="nil"/>
            </w:tcBorders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Male</w:t>
            </w:r>
          </w:p>
        </w:tc>
        <w:tc>
          <w:tcPr>
            <w:tcW w:w="2327" w:type="dxa"/>
            <w:tcBorders>
              <w:top w:val="nil"/>
            </w:tcBorders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40" w:hRule="atLeast"/>
          <w:jc w:val="center"/>
        </w:trPr>
        <w:tc>
          <w:tcPr>
            <w:tcW w:w="4253" w:type="dxa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Female</w:t>
            </w:r>
          </w:p>
        </w:tc>
        <w:tc>
          <w:tcPr>
            <w:tcW w:w="2327" w:type="dxa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40" w:hRule="atLeast"/>
          <w:jc w:val="center"/>
        </w:trPr>
        <w:tc>
          <w:tcPr>
            <w:tcW w:w="4253" w:type="dxa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Mean age(range), y</w:t>
            </w:r>
          </w:p>
        </w:tc>
        <w:tc>
          <w:tcPr>
            <w:tcW w:w="2327" w:type="dxa"/>
          </w:tcPr>
          <w:p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44.01</w:t>
            </w:r>
            <w:r>
              <w:rPr>
                <w:rFonts w:ascii="Times New Roman" w:hAnsi="Times New Roman" w:cs="Times New Roman"/>
                <w:sz w:val="22"/>
              </w:rPr>
              <w:t>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11.55</w:t>
            </w:r>
            <w:r>
              <w:rPr>
                <w:rFonts w:ascii="Times New Roman" w:hAnsi="Times New Roman" w:cs="Times New Roman"/>
                <w:sz w:val="22"/>
              </w:rPr>
              <w:t>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17-76</w:t>
            </w:r>
            <w:r>
              <w:rPr>
                <w:rFonts w:ascii="Times New Roman" w:hAnsi="Times New Roman" w:cs="Times New Roman"/>
                <w:sz w:val="22"/>
              </w:rPr>
              <w:t>）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40" w:hRule="atLeast"/>
          <w:jc w:val="center"/>
        </w:trPr>
        <w:tc>
          <w:tcPr>
            <w:tcW w:w="4253" w:type="dxa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BMI</w:t>
            </w:r>
          </w:p>
        </w:tc>
        <w:tc>
          <w:tcPr>
            <w:tcW w:w="2327" w:type="dxa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24.17±3.64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40" w:hRule="atLeast"/>
          <w:jc w:val="center"/>
        </w:trPr>
        <w:tc>
          <w:tcPr>
            <w:tcW w:w="6580" w:type="dxa"/>
            <w:gridSpan w:val="2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Etiology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40" w:hRule="atLeast"/>
          <w:jc w:val="center"/>
        </w:trPr>
        <w:tc>
          <w:tcPr>
            <w:tcW w:w="4253" w:type="dxa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Corticosteroids</w:t>
            </w:r>
          </w:p>
        </w:tc>
        <w:tc>
          <w:tcPr>
            <w:tcW w:w="2327" w:type="dxa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40" w:hRule="atLeast"/>
          <w:jc w:val="center"/>
        </w:trPr>
        <w:tc>
          <w:tcPr>
            <w:tcW w:w="4253" w:type="dxa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Alcohol</w:t>
            </w:r>
          </w:p>
        </w:tc>
        <w:tc>
          <w:tcPr>
            <w:tcW w:w="2327" w:type="dxa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40" w:hRule="atLeast"/>
          <w:jc w:val="center"/>
        </w:trPr>
        <w:tc>
          <w:tcPr>
            <w:tcW w:w="4253" w:type="dxa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Idiopathic</w:t>
            </w:r>
          </w:p>
        </w:tc>
        <w:tc>
          <w:tcPr>
            <w:tcW w:w="2327" w:type="dxa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40" w:hRule="atLeast"/>
          <w:jc w:val="center"/>
        </w:trPr>
        <w:tc>
          <w:tcPr>
            <w:tcW w:w="6580" w:type="dxa"/>
            <w:gridSpan w:val="2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MRI staging based on pathology, hips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40" w:hRule="atLeast"/>
          <w:jc w:val="center"/>
        </w:trPr>
        <w:tc>
          <w:tcPr>
            <w:tcW w:w="4253" w:type="dxa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Type Ⅰ</w:t>
            </w:r>
          </w:p>
        </w:tc>
        <w:tc>
          <w:tcPr>
            <w:tcW w:w="2327" w:type="dxa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40" w:hRule="atLeast"/>
          <w:jc w:val="center"/>
        </w:trPr>
        <w:tc>
          <w:tcPr>
            <w:tcW w:w="4253" w:type="dxa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Type Ⅱ</w:t>
            </w:r>
          </w:p>
        </w:tc>
        <w:tc>
          <w:tcPr>
            <w:tcW w:w="2327" w:type="dxa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40" w:hRule="atLeast"/>
          <w:jc w:val="center"/>
        </w:trPr>
        <w:tc>
          <w:tcPr>
            <w:tcW w:w="4253" w:type="dxa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Type Ⅲ</w:t>
            </w:r>
          </w:p>
        </w:tc>
        <w:tc>
          <w:tcPr>
            <w:tcW w:w="2327" w:type="dxa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40" w:hRule="atLeast"/>
          <w:jc w:val="center"/>
        </w:trPr>
        <w:tc>
          <w:tcPr>
            <w:tcW w:w="6580" w:type="dxa"/>
            <w:gridSpan w:val="2"/>
          </w:tcPr>
          <w:p>
            <w:pPr>
              <w:tabs>
                <w:tab w:val="left" w:pos="3008"/>
              </w:tabs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MRI staging based on pathological stable state, hips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40" w:hRule="atLeast"/>
          <w:jc w:val="center"/>
        </w:trPr>
        <w:tc>
          <w:tcPr>
            <w:tcW w:w="4253" w:type="dxa"/>
          </w:tcPr>
          <w:p>
            <w:pPr>
              <w:spacing w:line="276" w:lineRule="auto"/>
              <w:ind w:firstLine="240" w:firstLineChars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S1</w:t>
            </w:r>
          </w:p>
        </w:tc>
        <w:tc>
          <w:tcPr>
            <w:tcW w:w="2327" w:type="dxa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40" w:hRule="atLeast"/>
          <w:jc w:val="center"/>
        </w:trPr>
        <w:tc>
          <w:tcPr>
            <w:tcW w:w="4253" w:type="dxa"/>
          </w:tcPr>
          <w:p>
            <w:pPr>
              <w:spacing w:line="276" w:lineRule="auto"/>
              <w:ind w:firstLine="240" w:firstLineChars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S2a</w:t>
            </w:r>
          </w:p>
        </w:tc>
        <w:tc>
          <w:tcPr>
            <w:tcW w:w="2327" w:type="dxa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40" w:hRule="atLeast"/>
          <w:jc w:val="center"/>
        </w:trPr>
        <w:tc>
          <w:tcPr>
            <w:tcW w:w="4253" w:type="dxa"/>
            <w:tcBorders>
              <w:bottom w:val="nil"/>
            </w:tcBorders>
          </w:tcPr>
          <w:p>
            <w:pPr>
              <w:spacing w:line="276" w:lineRule="auto"/>
              <w:ind w:firstLine="240" w:firstLineChars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S2b</w:t>
            </w:r>
          </w:p>
        </w:tc>
        <w:tc>
          <w:tcPr>
            <w:tcW w:w="2327" w:type="dxa"/>
            <w:tcBorders>
              <w:bottom w:val="nil"/>
            </w:tcBorders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40" w:hRule="atLeast"/>
          <w:jc w:val="center"/>
        </w:trPr>
        <w:tc>
          <w:tcPr>
            <w:tcW w:w="4253" w:type="dxa"/>
            <w:tcBorders>
              <w:top w:val="nil"/>
              <w:bottom w:val="single" w:color="auto" w:sz="12" w:space="0"/>
            </w:tcBorders>
          </w:tcPr>
          <w:p>
            <w:pPr>
              <w:spacing w:line="276" w:lineRule="auto"/>
              <w:ind w:firstLine="240" w:firstLineChars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S2c</w:t>
            </w:r>
          </w:p>
        </w:tc>
        <w:tc>
          <w:tcPr>
            <w:tcW w:w="2327" w:type="dxa"/>
            <w:tcBorders>
              <w:top w:val="nil"/>
              <w:bottom w:val="single" w:color="auto" w:sz="12" w:space="0"/>
            </w:tcBorders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</w:tr>
      <w:bookmarkEnd w:id="0"/>
    </w:tbl>
    <w:p/>
    <w:p/>
    <w:p/>
    <w:p/>
    <w:p/>
    <w:p/>
    <w:p/>
    <w:p/>
    <w:p/>
    <w:p/>
    <w:p/>
    <w:p/>
    <w:p/>
    <w:p/>
    <w:p/>
    <w:p/>
    <w:p/>
    <w:p/>
    <w:p/>
    <w:p/>
    <w:p/>
    <w:p/>
    <w:p/>
    <w:p>
      <w:pPr>
        <w:spacing w:line="360" w:lineRule="auto"/>
        <w:rPr>
          <w:rFonts w:hint="default" w:ascii="Times New Roman Regular" w:hAnsi="Times New Roman Regular" w:cs="Times New Roman Regular"/>
          <w:color w:val="auto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t xml:space="preserve">BMI: body mass index; </w:t>
      </w:r>
      <w:r>
        <w:rPr>
          <w:rFonts w:hint="default" w:ascii="Times New Roman Regular" w:hAnsi="Times New Roman Regular" w:cs="Times New Roman Regular"/>
          <w:color w:val="auto"/>
          <w:sz w:val="21"/>
          <w:szCs w:val="21"/>
        </w:rPr>
        <w:t xml:space="preserve">Type I: borderline fibrosis; Type II: partial fibrosis in the necrotic </w:t>
      </w:r>
      <w:r>
        <w:rPr>
          <w:rFonts w:hint="default" w:ascii="Times New Roman Regular" w:hAnsi="Times New Roman Regular" w:cs="Times New Roman Regular"/>
          <w:color w:val="auto"/>
          <w:sz w:val="21"/>
          <w:szCs w:val="21"/>
        </w:rPr>
        <w:t xml:space="preserve">area; Type III: global fibrosis in the necrotic area; S1: pathological stable type (no bone marrow edema and inflammatory ); S2: pathological unstable type (existing bone marrow and inflammation). S2a: partial edema of the femoral head and neck; S2b: global edema of the femoral head and neck; S2c: </w:t>
      </w:r>
      <w:bookmarkStart w:id="1" w:name="_GoBack"/>
      <w:bookmarkEnd w:id="1"/>
      <w:r>
        <w:rPr>
          <w:rFonts w:hint="default" w:ascii="Times New Roman Regular" w:hAnsi="Times New Roman Regular" w:cs="Times New Roman Regular"/>
          <w:color w:val="auto"/>
          <w:sz w:val="21"/>
          <w:szCs w:val="21"/>
        </w:rPr>
        <w:t>extensive edema of the proximal femur.</w:t>
      </w:r>
    </w:p>
    <w:p/>
    <w:p>
      <w:pPr>
        <w:rPr>
          <w:rFonts w:hint="default" w:ascii="Times New Roman Regular" w:hAnsi="Times New Roman Regular" w:cs="Times New Roman Regul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中等线KW">
    <w:panose1 w:val="01010104010101010101"/>
    <w:charset w:val="86"/>
    <w:family w:val="auto"/>
    <w:pitch w:val="default"/>
    <w:sig w:usb0="00000000" w:usb1="00000000" w:usb2="00000000" w:usb3="00000000" w:csb0="00160000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imes New Roman Regular">
    <w:panose1 w:val="02020603050405020304"/>
    <w:charset w:val="00"/>
    <w:family w:val="auto"/>
    <w:pitch w:val="default"/>
    <w:sig w:usb0="00000000" w:usb1="00000000" w:usb2="00000000" w:usb3="00000000" w:csb0="00000000" w:csb1="00000000"/>
  </w:font>
  <w:font w:name="Times New Roman Bold">
    <w:panose1 w:val="02020603050405020304"/>
    <w:charset w:val="00"/>
    <w:family w:val="auto"/>
    <w:pitch w:val="default"/>
    <w:sig w:usb0="00000000" w:usb1="00000000" w:usb2="00000000" w:usb3="00000000" w:csb0="00000000" w:csb1="00000000"/>
  </w:font>
  <w:font w:name="宋体-简">
    <w:panose1 w:val="02010600040101010101"/>
    <w:charset w:val="86"/>
    <w:family w:val="auto"/>
    <w:pitch w:val="default"/>
    <w:sig w:usb0="00000000" w:usb1="00000000" w:usb2="00000000" w:usb3="00000000" w:csb0="0016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4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1DEF"/>
    <w:rsid w:val="00612DF9"/>
    <w:rsid w:val="00BE1DEF"/>
    <w:rsid w:val="00E11DBF"/>
    <w:rsid w:val="579D7A3D"/>
    <w:rsid w:val="7FF7B99D"/>
    <w:rsid w:val="FF7FD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55</Words>
  <Characters>315</Characters>
  <Lines>2</Lines>
  <Paragraphs>1</Paragraphs>
  <TotalTime>1</TotalTime>
  <ScaleCrop>false</ScaleCrop>
  <LinksUpToDate>false</LinksUpToDate>
  <CharactersWithSpaces>369</CharactersWithSpaces>
  <Application>WPS Office_4.6.1.7467_F1E327BC-269C-435d-A152-05C5408002CA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2022-12-31T04:17:00Z</dcterms:created>
  <dc:creator>mengran7615@163.com</dc:creator>
  <cp:lastModifiedBy>马金辉</cp:lastModifiedBy>
  <dcterms:modified xsi:type="dcterms:W3CDTF">2024-03-01T21:31:18Z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2052-4.6.1.7467</vt:lpwstr>
  </property>
  <property fmtid="{D5CDD505-2E9C-101B-9397-08002B2CF9AE}" pid="3" name="ICV">
    <vt:lpwstr>B2A14CB45EE09DDBE52DB463A43E7EBE</vt:lpwstr>
  </property>
</Properties>
</file>