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after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Table S1 </w:t>
      </w:r>
      <w:r>
        <w:rPr>
          <w:rFonts w:ascii="Arial" w:hAnsi="Arial" w:cs="Arial"/>
          <w:sz w:val="20"/>
          <w:szCs w:val="20"/>
          <w:lang w:val="en-US"/>
        </w:rPr>
        <w:t>Cost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en-US"/>
        </w:rPr>
        <w:t xml:space="preserve"> per nonventilated and ventilated intensive care unit bed day (€) for patients with</w:t>
      </w:r>
    </w:p>
    <w:p>
      <w:pPr>
        <w:spacing w:after="0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an underlying respiratory disease from 2020 to 2022</w:t>
      </w:r>
    </w:p>
    <w:tbl>
      <w:tblPr>
        <w:tblpPr w:leftFromText="141" w:rightFromText="141" w:vertAnchor="page" w:horzAnchor="margin" w:tblpY="2055"/>
        <w:tblW w:w="86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8"/>
        <w:gridCol w:w="3468"/>
        <w:gridCol w:w="3468"/>
      </w:tblGrid>
      <w:tr>
        <w:trPr>
          <w:trHeight w:val="582"/>
        </w:trPr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Year</w:t>
            </w:r>
          </w:p>
        </w:tc>
        <w:tc>
          <w:tcPr>
            <w:tcW w:w="3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Cost per nonventilated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ICU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bed day</w:t>
            </w:r>
          </w:p>
        </w:tc>
        <w:tc>
          <w:tcPr>
            <w:tcW w:w="3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Cost per ventilated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ICU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bed day</w:t>
            </w:r>
          </w:p>
        </w:tc>
      </w:tr>
      <w:tr>
        <w:trPr>
          <w:trHeight w:val="169"/>
        </w:trPr>
        <w:tc>
          <w:tcPr>
            <w:tcW w:w="1698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2020</w:t>
            </w:r>
          </w:p>
        </w:tc>
        <w:tc>
          <w:tcPr>
            <w:tcW w:w="34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853.5</w:t>
            </w:r>
          </w:p>
        </w:tc>
        <w:tc>
          <w:tcPr>
            <w:tcW w:w="3468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1,652.5</w:t>
            </w:r>
          </w:p>
        </w:tc>
      </w:tr>
      <w:tr>
        <w:trPr>
          <w:trHeight w:val="179"/>
        </w:trPr>
        <w:tc>
          <w:tcPr>
            <w:tcW w:w="1698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2021</w:t>
            </w:r>
          </w:p>
        </w:tc>
        <w:tc>
          <w:tcPr>
            <w:tcW w:w="3468" w:type="dxa"/>
            <w:tcBorders>
              <w:left w:val="nil"/>
              <w:right w:val="nil"/>
            </w:tcBorders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880.1</w:t>
            </w:r>
          </w:p>
        </w:tc>
        <w:tc>
          <w:tcPr>
            <w:tcW w:w="346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1,704.1</w:t>
            </w:r>
          </w:p>
        </w:tc>
      </w:tr>
      <w:tr>
        <w:trPr>
          <w:trHeight w:val="266"/>
        </w:trPr>
        <w:tc>
          <w:tcPr>
            <w:tcW w:w="1698" w:type="dxa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4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940.8</w:t>
            </w:r>
          </w:p>
        </w:tc>
        <w:tc>
          <w:tcPr>
            <w:tcW w:w="34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1,821.7</w:t>
            </w:r>
          </w:p>
        </w:tc>
      </w:tr>
    </w:tbl>
    <w:p>
      <w:pPr>
        <w:spacing w:before="60" w:after="0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proofErr w:type="gramStart"/>
      <w:r>
        <w:rPr>
          <w:rFonts w:ascii="Arial" w:hAnsi="Arial" w:cs="Arial"/>
          <w:sz w:val="20"/>
          <w:szCs w:val="20"/>
          <w:lang w:val="en-US"/>
        </w:rPr>
        <w:t>a</w:t>
      </w:r>
      <w:proofErr w:type="spellEnd"/>
      <w:proofErr w:type="gramEnd"/>
      <w:r>
        <w:rPr>
          <w:rFonts w:ascii="Arial" w:hAnsi="Arial" w:cs="Arial"/>
          <w:sz w:val="20"/>
          <w:szCs w:val="20"/>
          <w:lang w:val="en-US"/>
        </w:rPr>
        <w:tab/>
        <w:t>Intensive care unit</w:t>
      </w:r>
    </w:p>
    <w:p>
      <w:pPr>
        <w:rPr>
          <w:lang w:val="en-US"/>
        </w:rPr>
      </w:pP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D6610-D658-44CE-A7C8-5E80040F8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265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Lottes, Matthäus</dc:creator>
  <cp:keywords/>
  <dc:description/>
  <cp:lastModifiedBy>Lottes, Matthäus</cp:lastModifiedBy>
  <cp:revision>3</cp:revision>
  <dcterms:created xsi:type="dcterms:W3CDTF">2024-03-19T16:01:00Z</dcterms:created>
  <dcterms:modified xsi:type="dcterms:W3CDTF">2024-03-19T16:11:00Z</dcterms:modified>
</cp:coreProperties>
</file>