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10235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3289"/>
        <w:gridCol w:w="2268"/>
        <w:gridCol w:w="1843"/>
        <w:gridCol w:w="2835"/>
      </w:tblGrid>
      <w:tr w:rsidR="00BD46DF">
        <w:tc>
          <w:tcPr>
            <w:tcW w:w="3288" w:type="dxa"/>
            <w:shd w:val="clear" w:color="auto" w:fill="F2F2F2" w:themeFill="background1" w:themeFillShade="F2"/>
            <w:vAlign w:val="center"/>
          </w:tcPr>
          <w:p w:rsidR="00BD46DF" w:rsidRPr="00B17D9B" w:rsidRDefault="00B17D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17D9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 xml:space="preserve">Stratigraphic series (key) </w:t>
            </w:r>
          </w:p>
          <w:p w:rsidR="00BD46DF" w:rsidRPr="00B17D9B" w:rsidRDefault="00B17D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17D9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and references</w:t>
            </w:r>
          </w:p>
        </w:tc>
        <w:tc>
          <w:tcPr>
            <w:tcW w:w="2268" w:type="dxa"/>
            <w:shd w:val="clear" w:color="auto" w:fill="F2F2F2" w:themeFill="background1" w:themeFillShade="F2"/>
          </w:tcPr>
          <w:p w:rsidR="00BD46DF" w:rsidRPr="00B17D9B" w:rsidRDefault="00BD4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:rsidR="00BD46DF" w:rsidRDefault="00B17D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Paleontological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sites</w:t>
            </w:r>
            <w:proofErr w:type="spellEnd"/>
          </w:p>
        </w:tc>
        <w:tc>
          <w:tcPr>
            <w:tcW w:w="1843" w:type="dxa"/>
            <w:shd w:val="clear" w:color="auto" w:fill="F2F2F2" w:themeFill="background1" w:themeFillShade="F2"/>
          </w:tcPr>
          <w:p w:rsidR="00BD46DF" w:rsidRDefault="00BD4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BD46DF" w:rsidRDefault="00B17D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Key of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analyzed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samples</w:t>
            </w:r>
            <w:proofErr w:type="spellEnd"/>
          </w:p>
          <w:p w:rsidR="00BD46DF" w:rsidRDefault="00BD4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F2F2F2" w:themeFill="background1" w:themeFillShade="F2"/>
          </w:tcPr>
          <w:p w:rsidR="00BD46DF" w:rsidRDefault="00BD46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BD46DF" w:rsidRDefault="00B17D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Age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of </w:t>
            </w:r>
          </w:p>
          <w:p w:rsidR="00BD46DF" w:rsidRDefault="00B17D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paleontological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sites</w:t>
            </w:r>
            <w:proofErr w:type="spellEnd"/>
          </w:p>
        </w:tc>
      </w:tr>
      <w:tr w:rsidR="00BD46DF">
        <w:tc>
          <w:tcPr>
            <w:tcW w:w="3288" w:type="dxa"/>
            <w:vAlign w:val="center"/>
          </w:tcPr>
          <w:p w:rsidR="00BD46DF" w:rsidRDefault="00BD46D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Cúllar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(</w:t>
            </w:r>
            <w:r>
              <w:rPr>
                <w:rFonts w:ascii="Times New Roman" w:eastAsia="Calibri" w:hAnsi="Times New Roman" w:cs="Times New Roman"/>
                <w:b/>
                <w:bCs/>
                <w:color w:val="FF0000"/>
              </w:rPr>
              <w:t>CU</w:t>
            </w:r>
            <w:r>
              <w:rPr>
                <w:rFonts w:ascii="Times New Roman" w:eastAsia="Calibri" w:hAnsi="Times New Roman" w:cs="Times New Roman"/>
              </w:rPr>
              <w:t>)</w:t>
            </w:r>
          </w:p>
          <w:p w:rsidR="00BD46DF" w:rsidRDefault="00B17D9B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Ruiz-Bustos, 1976; Peña, 1979; 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Torrente-Casado, 2010</w:t>
            </w: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</w:tcPr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FF9900"/>
                <w:sz w:val="18"/>
                <w:szCs w:val="18"/>
              </w:rPr>
            </w:pP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B050"/>
                <w:sz w:val="18"/>
                <w:szCs w:val="18"/>
              </w:rPr>
              <w:t>CB-1</w:t>
            </w:r>
          </w:p>
        </w:tc>
        <w:tc>
          <w:tcPr>
            <w:tcW w:w="1843" w:type="dxa"/>
          </w:tcPr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CB-1A</w:t>
            </w:r>
          </w:p>
        </w:tc>
        <w:tc>
          <w:tcPr>
            <w:tcW w:w="2835" w:type="dxa"/>
            <w:vAlign w:val="center"/>
          </w:tcPr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Galerian</w:t>
            </w:r>
          </w:p>
        </w:tc>
      </w:tr>
      <w:tr w:rsidR="00BD46DF">
        <w:tc>
          <w:tcPr>
            <w:tcW w:w="3288" w:type="dxa"/>
            <w:vAlign w:val="center"/>
          </w:tcPr>
          <w:p w:rsidR="00BD46DF" w:rsidRDefault="00BD46D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Baza (</w:t>
            </w:r>
            <w:r>
              <w:rPr>
                <w:rFonts w:ascii="Times New Roman" w:eastAsia="Calibri" w:hAnsi="Times New Roman" w:cs="Times New Roman"/>
                <w:b/>
                <w:bCs/>
                <w:color w:val="FF0000"/>
              </w:rPr>
              <w:t>BZ</w:t>
            </w:r>
            <w:r>
              <w:rPr>
                <w:rFonts w:ascii="Times New Roman" w:eastAsia="Calibri" w:hAnsi="Times New Roman" w:cs="Times New Roman"/>
              </w:rPr>
              <w:t>)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Guerra-Merchán, 1992; 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Ros-Montoya et al., 2017</w:t>
            </w: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</w:tcPr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66FF"/>
                <w:sz w:val="18"/>
                <w:szCs w:val="18"/>
              </w:rPr>
            </w:pP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66FF"/>
                <w:sz w:val="18"/>
                <w:szCs w:val="18"/>
              </w:rPr>
              <w:t>BZ-1</w:t>
            </w:r>
          </w:p>
        </w:tc>
        <w:tc>
          <w:tcPr>
            <w:tcW w:w="1843" w:type="dxa"/>
          </w:tcPr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BZ1-A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BZ1-B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BZ1-Y</w:t>
            </w:r>
          </w:p>
        </w:tc>
        <w:tc>
          <w:tcPr>
            <w:tcW w:w="2835" w:type="dxa"/>
            <w:vAlign w:val="center"/>
          </w:tcPr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Ruscinian</w:t>
            </w:r>
          </w:p>
        </w:tc>
      </w:tr>
      <w:tr w:rsidR="00BD46DF">
        <w:tc>
          <w:tcPr>
            <w:tcW w:w="3288" w:type="dxa"/>
            <w:vAlign w:val="center"/>
          </w:tcPr>
          <w:p w:rsidR="00BD46DF" w:rsidRPr="00B17D9B" w:rsidRDefault="00B17D9B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B17D9B">
              <w:rPr>
                <w:rFonts w:ascii="Times New Roman" w:eastAsia="Calibri" w:hAnsi="Times New Roman" w:cs="Times New Roman"/>
                <w:lang w:val="en-US"/>
              </w:rPr>
              <w:t>Zújar (</w:t>
            </w:r>
            <w:r w:rsidRPr="00B17D9B">
              <w:rPr>
                <w:rFonts w:ascii="Times New Roman" w:eastAsia="Calibri" w:hAnsi="Times New Roman" w:cs="Times New Roman"/>
                <w:b/>
                <w:bCs/>
                <w:color w:val="FF0000"/>
                <w:lang w:val="en-US"/>
              </w:rPr>
              <w:t>ZU</w:t>
            </w:r>
            <w:r w:rsidRPr="00B17D9B">
              <w:rPr>
                <w:rFonts w:ascii="Times New Roman" w:eastAsia="Calibri" w:hAnsi="Times New Roman" w:cs="Times New Roman"/>
                <w:lang w:val="en-US"/>
              </w:rPr>
              <w:t>)</w:t>
            </w:r>
          </w:p>
          <w:p w:rsidR="00BD46DF" w:rsidRPr="00B17D9B" w:rsidRDefault="00B17D9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17D9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Agustí and Oms, 1998 + original data</w:t>
            </w:r>
          </w:p>
        </w:tc>
        <w:tc>
          <w:tcPr>
            <w:tcW w:w="2268" w:type="dxa"/>
          </w:tcPr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ZU-14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ZU-11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ZU-10</w:t>
            </w: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ZU-4</w:t>
            </w:r>
          </w:p>
        </w:tc>
        <w:tc>
          <w:tcPr>
            <w:tcW w:w="1843" w:type="dxa"/>
          </w:tcPr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ZU-A3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ZU-B3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ZU-A2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ZU-A1</w:t>
            </w:r>
          </w:p>
        </w:tc>
        <w:tc>
          <w:tcPr>
            <w:tcW w:w="2835" w:type="dxa"/>
          </w:tcPr>
          <w:p w:rsidR="00BD46DF" w:rsidRPr="00B17D9B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7D9B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Middle Villafranchian</w:t>
            </w:r>
          </w:p>
          <w:p w:rsidR="00BD46DF" w:rsidRPr="00B17D9B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7D9B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Early Villafranchian</w:t>
            </w:r>
          </w:p>
          <w:p w:rsidR="00BD46DF" w:rsidRPr="00B17D9B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7D9B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Early Villafranchian</w:t>
            </w:r>
          </w:p>
          <w:p w:rsidR="00BD46DF" w:rsidRPr="00B17D9B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Ruscinian</w:t>
            </w:r>
          </w:p>
        </w:tc>
      </w:tr>
      <w:tr w:rsidR="00BD46DF">
        <w:trPr>
          <w:trHeight w:val="1069"/>
        </w:trPr>
        <w:tc>
          <w:tcPr>
            <w:tcW w:w="3288" w:type="dxa"/>
            <w:vAlign w:val="center"/>
          </w:tcPr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Galera (</w:t>
            </w:r>
            <w:r>
              <w:rPr>
                <w:rFonts w:ascii="Times New Roman" w:eastAsia="Calibri" w:hAnsi="Times New Roman" w:cs="Times New Roman"/>
                <w:b/>
                <w:bCs/>
                <w:color w:val="FF0000"/>
              </w:rPr>
              <w:t>GA</w:t>
            </w:r>
            <w:r>
              <w:rPr>
                <w:rFonts w:ascii="Times New Roman" w:eastAsia="Calibri" w:hAnsi="Times New Roman" w:cs="Times New Roman"/>
              </w:rPr>
              <w:t>)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García-Aguilar, 1997 + original data</w:t>
            </w:r>
          </w:p>
        </w:tc>
        <w:tc>
          <w:tcPr>
            <w:tcW w:w="2268" w:type="dxa"/>
          </w:tcPr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NU-3; GA-H</w:t>
            </w:r>
          </w:p>
          <w:p w:rsidR="00BD46DF" w:rsidRDefault="00B17D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GA-2; GA-G</w:t>
            </w: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BD46DF" w:rsidRDefault="00BD46D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NU-2</w:t>
            </w:r>
          </w:p>
          <w:p w:rsidR="00BD46DF" w:rsidRDefault="00BD46D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BD46DF" w:rsidRDefault="00BD46D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BD46DF" w:rsidRDefault="00BD46D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GA-1; GA-C 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CC-1; NU-1</w:t>
            </w:r>
          </w:p>
        </w:tc>
        <w:tc>
          <w:tcPr>
            <w:tcW w:w="1843" w:type="dxa"/>
          </w:tcPr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GA-12</w:t>
            </w: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AQ-2</w:t>
            </w:r>
          </w:p>
          <w:p w:rsidR="00BD46DF" w:rsidRDefault="00BD46DF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GA-7</w:t>
            </w:r>
          </w:p>
          <w:p w:rsidR="00BD46DF" w:rsidRDefault="00B17D9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GA-6</w:t>
            </w:r>
          </w:p>
          <w:p w:rsidR="00BD46DF" w:rsidRDefault="00B17D9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GA-3B</w:t>
            </w:r>
          </w:p>
          <w:p w:rsidR="00BD46DF" w:rsidRDefault="00B17D9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GA-3A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GE-1A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GE-1B</w:t>
            </w:r>
          </w:p>
        </w:tc>
        <w:tc>
          <w:tcPr>
            <w:tcW w:w="2835" w:type="dxa"/>
          </w:tcPr>
          <w:p w:rsidR="00BD46DF" w:rsidRPr="00B17D9B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7D9B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Middle Villafranchian</w:t>
            </w:r>
          </w:p>
          <w:p w:rsidR="00BD46DF" w:rsidRPr="00B17D9B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7D9B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Middle Villafranchian</w:t>
            </w:r>
          </w:p>
          <w:p w:rsidR="00BD46DF" w:rsidRPr="00B17D9B" w:rsidRDefault="00BD46DF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  <w:p w:rsidR="00BD46DF" w:rsidRPr="00B17D9B" w:rsidRDefault="00BD46DF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  <w:p w:rsidR="00BD46DF" w:rsidRPr="00B17D9B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7D9B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Ruscinian</w:t>
            </w:r>
          </w:p>
          <w:p w:rsidR="00BD46DF" w:rsidRPr="00B17D9B" w:rsidRDefault="00BD46DF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  <w:p w:rsidR="00BD46DF" w:rsidRPr="00B17D9B" w:rsidRDefault="00BD46DF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  <w:p w:rsidR="00BD46DF" w:rsidRPr="00B17D9B" w:rsidRDefault="00BD46DF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  <w:p w:rsidR="00BD46DF" w:rsidRPr="00B17D9B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7D9B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Ruscinian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Ruscinian</w:t>
            </w:r>
          </w:p>
        </w:tc>
      </w:tr>
      <w:tr w:rsidR="00BD46DF">
        <w:tc>
          <w:tcPr>
            <w:tcW w:w="3288" w:type="dxa"/>
            <w:vAlign w:val="center"/>
          </w:tcPr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Huéscar (</w:t>
            </w:r>
            <w:r>
              <w:rPr>
                <w:rFonts w:ascii="Times New Roman" w:eastAsia="Calibri" w:hAnsi="Times New Roman" w:cs="Times New Roman"/>
                <w:b/>
                <w:bCs/>
                <w:color w:val="FF0000"/>
              </w:rPr>
              <w:t>HU</w:t>
            </w:r>
            <w:r>
              <w:rPr>
                <w:rFonts w:ascii="Times New Roman" w:eastAsia="Calibri" w:hAnsi="Times New Roman" w:cs="Times New Roman"/>
              </w:rPr>
              <w:t>)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Mazo et al., 1985 + 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original data</w:t>
            </w: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66FF"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B800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B800"/>
                <w:sz w:val="18"/>
                <w:szCs w:val="18"/>
              </w:rPr>
              <w:t>HU-1</w:t>
            </w: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66FF"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66FF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66FF"/>
                <w:sz w:val="18"/>
                <w:szCs w:val="18"/>
              </w:rPr>
              <w:t>CSC-1</w:t>
            </w: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66FF"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66FF"/>
                <w:sz w:val="18"/>
                <w:szCs w:val="18"/>
              </w:rPr>
              <w:t>HU-3</w:t>
            </w:r>
          </w:p>
        </w:tc>
        <w:tc>
          <w:tcPr>
            <w:tcW w:w="1843" w:type="dxa"/>
          </w:tcPr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PL-1</w:t>
            </w:r>
          </w:p>
          <w:p w:rsidR="00BD46DF" w:rsidRDefault="00BD46DF">
            <w:pPr>
              <w:spacing w:after="0" w:line="240" w:lineRule="auto"/>
              <w:rPr>
                <w:rFonts w:ascii="Times New Roman" w:eastAsia="Calibri" w:hAnsi="Times New Roman" w:cs="Times New Roman"/>
                <w:sz w:val="14"/>
                <w:szCs w:val="14"/>
              </w:rPr>
            </w:pPr>
          </w:p>
          <w:p w:rsidR="00BD46DF" w:rsidRDefault="00BD46DF">
            <w:pPr>
              <w:spacing w:after="0" w:line="240" w:lineRule="auto"/>
              <w:rPr>
                <w:rFonts w:ascii="Times New Roman" w:eastAsia="Calibri" w:hAnsi="Times New Roman" w:cs="Times New Roman"/>
                <w:sz w:val="14"/>
                <w:szCs w:val="14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CS-1A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BQ-3A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BQ-3B</w:t>
            </w:r>
          </w:p>
        </w:tc>
        <w:tc>
          <w:tcPr>
            <w:tcW w:w="2835" w:type="dxa"/>
            <w:vAlign w:val="center"/>
          </w:tcPr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Epivillafranchian</w:t>
            </w: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Ruscinian</w:t>
            </w: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Ruscinian</w:t>
            </w: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D46DF">
        <w:tc>
          <w:tcPr>
            <w:tcW w:w="3288" w:type="dxa"/>
            <w:vAlign w:val="center"/>
          </w:tcPr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Venta Micena (</w:t>
            </w:r>
            <w:r>
              <w:rPr>
                <w:rFonts w:ascii="Times New Roman" w:eastAsia="Calibri" w:hAnsi="Times New Roman" w:cs="Times New Roman"/>
                <w:b/>
                <w:bCs/>
                <w:color w:val="FF0000"/>
              </w:rPr>
              <w:t>VM</w:t>
            </w:r>
            <w:r>
              <w:rPr>
                <w:rFonts w:ascii="Times New Roman" w:eastAsia="Calibri" w:hAnsi="Times New Roman" w:cs="Times New Roman"/>
              </w:rPr>
              <w:t>)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Anadón et al., 1987</w:t>
            </w: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color w:val="0066FF"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66FF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66FF"/>
                <w:sz w:val="18"/>
                <w:szCs w:val="18"/>
              </w:rPr>
              <w:t>VM-2</w:t>
            </w: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66FF"/>
                <w:sz w:val="18"/>
                <w:szCs w:val="18"/>
              </w:rPr>
            </w:pP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66FF"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66FF"/>
                <w:sz w:val="18"/>
                <w:szCs w:val="18"/>
              </w:rPr>
              <w:t>VM-1</w:t>
            </w:r>
          </w:p>
        </w:tc>
        <w:tc>
          <w:tcPr>
            <w:tcW w:w="1843" w:type="dxa"/>
          </w:tcPr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VMC1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VMS2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VMC3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VM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VMS4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VMC4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VMC</w:t>
            </w:r>
          </w:p>
        </w:tc>
        <w:tc>
          <w:tcPr>
            <w:tcW w:w="2835" w:type="dxa"/>
            <w:vAlign w:val="center"/>
          </w:tcPr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Late Villafranchian</w:t>
            </w: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D46DF">
        <w:tc>
          <w:tcPr>
            <w:tcW w:w="3288" w:type="dxa"/>
            <w:vAlign w:val="center"/>
          </w:tcPr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Río Orce (</w:t>
            </w:r>
            <w:r>
              <w:rPr>
                <w:rFonts w:ascii="Times New Roman" w:eastAsia="Calibri" w:hAnsi="Times New Roman" w:cs="Times New Roman"/>
                <w:b/>
                <w:bCs/>
                <w:color w:val="FF0000"/>
                <w:lang w:val="en-US"/>
              </w:rPr>
              <w:t>RO</w:t>
            </w:r>
            <w:r>
              <w:rPr>
                <w:rFonts w:ascii="Times New Roman" w:eastAsia="Calibri" w:hAnsi="Times New Roman" w:cs="Times New Roman"/>
                <w:lang w:val="en-US"/>
              </w:rPr>
              <w:t>)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Gibert</w:t>
            </w:r>
            <w:proofErr w:type="spellEnd"/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and </w:t>
            </w:r>
            <w:proofErr w:type="spellStart"/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Gibert</w:t>
            </w:r>
            <w:proofErr w:type="spellEnd"/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, 2003 + 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original data</w:t>
            </w: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:rsidR="00BD46DF" w:rsidRPr="00B17D9B" w:rsidRDefault="00BD46D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66FF"/>
                <w:sz w:val="18"/>
                <w:szCs w:val="18"/>
                <w:lang w:val="en-US"/>
              </w:rPr>
            </w:pPr>
          </w:p>
          <w:p w:rsidR="00BD46DF" w:rsidRPr="00B17D9B" w:rsidRDefault="00BD46D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66FF"/>
                <w:sz w:val="18"/>
                <w:szCs w:val="18"/>
                <w:lang w:val="en-US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66FF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66FF"/>
                <w:sz w:val="18"/>
                <w:szCs w:val="18"/>
              </w:rPr>
              <w:t>BO-7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66FF"/>
                <w:sz w:val="18"/>
                <w:szCs w:val="18"/>
              </w:rPr>
              <w:t>BO-6</w:t>
            </w:r>
          </w:p>
        </w:tc>
        <w:tc>
          <w:tcPr>
            <w:tcW w:w="1843" w:type="dxa"/>
          </w:tcPr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OR-1</w:t>
            </w:r>
          </w:p>
          <w:p w:rsidR="00BD46DF" w:rsidRDefault="00B17D9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OR-1A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CCH-1</w:t>
            </w:r>
          </w:p>
        </w:tc>
        <w:tc>
          <w:tcPr>
            <w:tcW w:w="2835" w:type="dxa"/>
            <w:vAlign w:val="center"/>
          </w:tcPr>
          <w:p w:rsidR="00BD46DF" w:rsidRDefault="00BD46DF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Late Villafranchian</w:t>
            </w:r>
          </w:p>
          <w:p w:rsidR="00BD46DF" w:rsidRDefault="00BD46DF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BD46DF" w:rsidRDefault="00BD46DF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Middle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Villafranchian</w:t>
            </w:r>
          </w:p>
        </w:tc>
      </w:tr>
      <w:tr w:rsidR="00BD46DF">
        <w:tc>
          <w:tcPr>
            <w:tcW w:w="3288" w:type="dxa"/>
            <w:vAlign w:val="center"/>
          </w:tcPr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Barranco León (</w:t>
            </w:r>
            <w:r>
              <w:rPr>
                <w:rFonts w:ascii="Times New Roman" w:eastAsia="Calibri" w:hAnsi="Times New Roman" w:cs="Times New Roman"/>
                <w:b/>
                <w:bCs/>
                <w:color w:val="FF0000"/>
              </w:rPr>
              <w:t>BL</w:t>
            </w:r>
            <w:r>
              <w:rPr>
                <w:rFonts w:ascii="Times New Roman" w:eastAsia="Calibri" w:hAnsi="Times New Roman" w:cs="Times New Roman"/>
              </w:rPr>
              <w:t>)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Toro-Moyano et al., 2013</w:t>
            </w:r>
          </w:p>
        </w:tc>
        <w:tc>
          <w:tcPr>
            <w:tcW w:w="2268" w:type="dxa"/>
          </w:tcPr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val="en-US"/>
              </w:rPr>
              <w:t>BL-6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val="en-US"/>
              </w:rPr>
              <w:t>BL-1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B050"/>
                <w:sz w:val="18"/>
                <w:szCs w:val="18"/>
                <w:lang w:val="en-US"/>
              </w:rPr>
              <w:t>BL-5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val="en-US"/>
              </w:rPr>
              <w:t>BL-4</w:t>
            </w: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val="en-US"/>
              </w:rPr>
              <w:t>BL-B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lang w:val="en-US"/>
              </w:rPr>
              <w:t>BL-A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color w:val="00B0F0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shd w:val="clear" w:color="auto" w:fill="FFFFFF"/>
                <w:lang w:val="en-US"/>
              </w:rPr>
              <w:t>BL-3; BL-2</w:t>
            </w:r>
          </w:p>
        </w:tc>
        <w:tc>
          <w:tcPr>
            <w:tcW w:w="1843" w:type="dxa"/>
          </w:tcPr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BLYS</w:t>
            </w: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BD46DF" w:rsidRPr="00B17D9B" w:rsidRDefault="00BD46DF">
            <w:pPr>
              <w:spacing w:after="0" w:line="240" w:lineRule="auto"/>
              <w:rPr>
                <w:rFonts w:ascii="Times New Roman" w:eastAsia="Calibri" w:hAnsi="Times New Roman" w:cs="Times New Roman"/>
                <w:sz w:val="12"/>
                <w:szCs w:val="12"/>
                <w:lang w:val="en-US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BLYI</w:t>
            </w:r>
          </w:p>
          <w:p w:rsidR="00BD46DF" w:rsidRPr="00B17D9B" w:rsidRDefault="00BD46DF">
            <w:pPr>
              <w:spacing w:after="0" w:line="240" w:lineRule="auto"/>
              <w:rPr>
                <w:rFonts w:ascii="Times New Roman" w:eastAsia="Calibri" w:hAnsi="Times New Roman" w:cs="Times New Roman"/>
                <w:sz w:val="12"/>
                <w:szCs w:val="12"/>
                <w:lang w:val="en-US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BL-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BLYM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BLE-1</w:t>
            </w:r>
          </w:p>
        </w:tc>
        <w:tc>
          <w:tcPr>
            <w:tcW w:w="2835" w:type="dxa"/>
            <w:vAlign w:val="center"/>
          </w:tcPr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Late Villafranchian</w:t>
            </w: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D46DF">
        <w:tc>
          <w:tcPr>
            <w:tcW w:w="3288" w:type="dxa"/>
            <w:vAlign w:val="center"/>
          </w:tcPr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Fuente Nueva-1 (</w:t>
            </w:r>
            <w:r>
              <w:rPr>
                <w:rFonts w:ascii="Times New Roman" w:eastAsia="Calibri" w:hAnsi="Times New Roman" w:cs="Times New Roman"/>
                <w:b/>
                <w:bCs/>
                <w:color w:val="FF0000"/>
              </w:rPr>
              <w:t>F1</w:t>
            </w:r>
            <w:r>
              <w:rPr>
                <w:rFonts w:ascii="Times New Roman" w:eastAsia="Calibri" w:hAnsi="Times New Roman" w:cs="Times New Roman"/>
              </w:rPr>
              <w:t>)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Original data</w:t>
            </w: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</w:tcPr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66FF"/>
                <w:sz w:val="18"/>
                <w:szCs w:val="18"/>
              </w:rPr>
            </w:pP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66FF"/>
                <w:sz w:val="18"/>
                <w:szCs w:val="18"/>
              </w:rPr>
              <w:t>FN-1</w:t>
            </w:r>
          </w:p>
        </w:tc>
        <w:tc>
          <w:tcPr>
            <w:tcW w:w="1843" w:type="dxa"/>
          </w:tcPr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FN1B</w:t>
            </w: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46DF" w:rsidRDefault="00BD46DF">
            <w:pPr>
              <w:spacing w:after="0" w:line="240" w:lineRule="auto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FN1A</w:t>
            </w:r>
          </w:p>
        </w:tc>
        <w:tc>
          <w:tcPr>
            <w:tcW w:w="2835" w:type="dxa"/>
            <w:vAlign w:val="center"/>
          </w:tcPr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Middle</w:t>
            </w:r>
            <w:proofErr w:type="spellEnd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Villafranchian</w:t>
            </w:r>
          </w:p>
        </w:tc>
      </w:tr>
      <w:tr w:rsidR="00BD46DF">
        <w:tc>
          <w:tcPr>
            <w:tcW w:w="3288" w:type="dxa"/>
            <w:vAlign w:val="center"/>
          </w:tcPr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Fuente Nueva-2 (</w:t>
            </w:r>
            <w:r>
              <w:rPr>
                <w:rFonts w:ascii="Times New Roman" w:eastAsia="Calibri" w:hAnsi="Times New Roman" w:cs="Times New Roman"/>
                <w:b/>
                <w:bCs/>
                <w:color w:val="FF0000"/>
              </w:rPr>
              <w:t>F2</w:t>
            </w:r>
            <w:r>
              <w:rPr>
                <w:rFonts w:ascii="Times New Roman" w:eastAsia="Calibri" w:hAnsi="Times New Roman" w:cs="Times New Roman"/>
              </w:rPr>
              <w:t>)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Original data</w:t>
            </w: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66FF"/>
                <w:sz w:val="18"/>
                <w:szCs w:val="18"/>
              </w:rPr>
            </w:pP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66FF"/>
                <w:sz w:val="18"/>
                <w:szCs w:val="18"/>
              </w:rPr>
              <w:t>FN-2</w:t>
            </w:r>
          </w:p>
        </w:tc>
        <w:tc>
          <w:tcPr>
            <w:tcW w:w="1843" w:type="dxa"/>
          </w:tcPr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FN2T</w:t>
            </w:r>
          </w:p>
          <w:p w:rsidR="00BD46DF" w:rsidRDefault="00BD46DF">
            <w:pPr>
              <w:spacing w:after="0" w:line="240" w:lineRule="auto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  <w:p w:rsidR="00BD46DF" w:rsidRDefault="00BD46DF">
            <w:pPr>
              <w:spacing w:after="0" w:line="240" w:lineRule="auto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  <w:p w:rsidR="00BD46DF" w:rsidRDefault="00BD46DF">
            <w:pPr>
              <w:spacing w:after="0" w:line="240" w:lineRule="auto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FN2A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FN2B</w:t>
            </w:r>
          </w:p>
        </w:tc>
        <w:tc>
          <w:tcPr>
            <w:tcW w:w="2835" w:type="dxa"/>
            <w:vAlign w:val="center"/>
          </w:tcPr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Late Villafranchian</w:t>
            </w: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D46DF">
        <w:tc>
          <w:tcPr>
            <w:tcW w:w="3288" w:type="dxa"/>
            <w:vAlign w:val="center"/>
          </w:tcPr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Fuente Nueva-3 (</w:t>
            </w:r>
            <w:r>
              <w:rPr>
                <w:rFonts w:ascii="Times New Roman" w:eastAsia="Calibri" w:hAnsi="Times New Roman" w:cs="Times New Roman"/>
                <w:b/>
                <w:bCs/>
                <w:color w:val="FF0000"/>
              </w:rPr>
              <w:t>F3</w:t>
            </w:r>
            <w:r>
              <w:rPr>
                <w:rFonts w:ascii="Times New Roman" w:eastAsia="Calibri" w:hAnsi="Times New Roman" w:cs="Times New Roman"/>
              </w:rPr>
              <w:t>)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Espigares et al., 2019</w:t>
            </w: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FF9900"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color w:val="00B050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B050"/>
                <w:sz w:val="18"/>
                <w:szCs w:val="18"/>
              </w:rPr>
              <w:t>FN-3</w:t>
            </w:r>
          </w:p>
        </w:tc>
        <w:tc>
          <w:tcPr>
            <w:tcW w:w="1843" w:type="dxa"/>
          </w:tcPr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FN3B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FN3A </w:t>
            </w: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FN3M</w:t>
            </w:r>
          </w:p>
        </w:tc>
        <w:tc>
          <w:tcPr>
            <w:tcW w:w="2835" w:type="dxa"/>
            <w:vAlign w:val="center"/>
          </w:tcPr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46DF" w:rsidRDefault="00B17D9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Late Villafranchian</w:t>
            </w:r>
          </w:p>
          <w:p w:rsidR="00BD46DF" w:rsidRDefault="00BD46D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BD46DF" w:rsidRDefault="00BD46DF">
      <w:pPr>
        <w:rPr>
          <w:rFonts w:ascii="Times New Roman" w:hAnsi="Times New Roman" w:cs="Times New Roman"/>
          <w:sz w:val="18"/>
          <w:szCs w:val="18"/>
        </w:rPr>
      </w:pPr>
    </w:p>
    <w:p w:rsidR="00BD46DF" w:rsidRDefault="00B17D9B">
      <w:pPr>
        <w:ind w:left="426"/>
        <w:jc w:val="both"/>
        <w:rPr>
          <w:rFonts w:ascii="Times New Roman" w:eastAsia="Times New Roman" w:hAnsi="Times New Roman"/>
          <w:kern w:val="2"/>
          <w:sz w:val="20"/>
          <w:szCs w:val="20"/>
          <w:lang w:val="en-US"/>
        </w:rPr>
      </w:pPr>
      <w:r w:rsidRPr="00B17D9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 xml:space="preserve">Table 1. </w:t>
      </w:r>
      <w:r w:rsidRPr="00B17D9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Archaeological and paleontological sites in the Baza Basin. In blue, those containing macrofaunal remains. In green, those with evidence of human presence.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</w:t>
      </w:r>
      <w:r w:rsidRPr="00F808BA">
        <w:rPr>
          <w:rFonts w:ascii="Times New Roman" w:eastAsia="Times New Roman" w:hAnsi="Times New Roman" w:cs="Times New Roman"/>
          <w:sz w:val="24"/>
          <w:szCs w:val="24"/>
        </w:rPr>
        <w:t>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code</w:t>
      </w:r>
      <w:r w:rsidRPr="00F808BA">
        <w:rPr>
          <w:rFonts w:ascii="Times New Roman" w:eastAsia="Times New Roman" w:hAnsi="Times New Roman" w:cs="Times New Roman"/>
          <w:sz w:val="24"/>
          <w:szCs w:val="24"/>
        </w:rPr>
        <w:t>s</w:t>
      </w:r>
      <w:proofErr w:type="spellEnd"/>
      <w:r w:rsidRPr="00F808BA">
        <w:rPr>
          <w:rFonts w:ascii="Times New Roman" w:eastAsia="Times New Roman" w:hAnsi="Times New Roman" w:cs="Times New Roman"/>
          <w:sz w:val="24"/>
          <w:szCs w:val="24"/>
        </w:rPr>
        <w:t>: CB (</w:t>
      </w:r>
      <w:proofErr w:type="spellStart"/>
      <w:r w:rsidRPr="00F808BA">
        <w:rPr>
          <w:rFonts w:ascii="Times New Roman" w:eastAsia="Times New Roman" w:hAnsi="Times New Roman" w:cs="Times New Roman"/>
          <w:sz w:val="24"/>
          <w:szCs w:val="24"/>
        </w:rPr>
        <w:t>Cúllar</w:t>
      </w:r>
      <w:proofErr w:type="spellEnd"/>
      <w:r w:rsidRPr="00F808BA">
        <w:rPr>
          <w:rFonts w:ascii="Times New Roman" w:eastAsia="Times New Roman" w:hAnsi="Times New Roman" w:cs="Times New Roman"/>
          <w:sz w:val="24"/>
          <w:szCs w:val="24"/>
        </w:rPr>
        <w:t xml:space="preserve">-Baza); BZ (Baza); ZU (Zújar); GA (Galera); CC (Cañada del Castaño); NU (Nuca); HU (Huéscar); CSC (Canal de San Clemente); VM (Venta Micena); BO (Barranco de Orce); BL (Barranco León); FN-1 (Fuente Nueva-1); FN-2 (Fuente Nueva-2); FN-3 (Fuente Nueva-3). </w:t>
      </w:r>
      <w:proofErr w:type="spellStart"/>
      <w:r w:rsidRPr="007C5346">
        <w:rPr>
          <w:rFonts w:ascii="Times New Roman" w:eastAsia="Times New Roman" w:hAnsi="Times New Roman" w:cs="Times New Roman"/>
          <w:sz w:val="24"/>
          <w:szCs w:val="24"/>
        </w:rPr>
        <w:t>Site</w:t>
      </w:r>
      <w:proofErr w:type="spellEnd"/>
      <w:r w:rsidRPr="007C53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C5346">
        <w:rPr>
          <w:rFonts w:ascii="Times New Roman" w:eastAsia="Times New Roman" w:hAnsi="Times New Roman" w:cs="Times New Roman"/>
          <w:sz w:val="24"/>
          <w:szCs w:val="24"/>
        </w:rPr>
        <w:t>codes</w:t>
      </w:r>
      <w:proofErr w:type="spellEnd"/>
      <w:r w:rsidRPr="007C5346">
        <w:rPr>
          <w:rFonts w:ascii="Times New Roman" w:eastAsia="Times New Roman" w:hAnsi="Times New Roman" w:cs="Times New Roman"/>
          <w:sz w:val="24"/>
          <w:szCs w:val="24"/>
        </w:rPr>
        <w:t xml:space="preserve"> are </w:t>
      </w:r>
      <w:proofErr w:type="spellStart"/>
      <w:r w:rsidRPr="007C5346">
        <w:rPr>
          <w:rFonts w:ascii="Times New Roman" w:eastAsia="Times New Roman" w:hAnsi="Times New Roman" w:cs="Times New Roman"/>
          <w:sz w:val="24"/>
          <w:szCs w:val="24"/>
        </w:rPr>
        <w:t>posit</w:t>
      </w:r>
      <w:bookmarkStart w:id="0" w:name="_GoBack"/>
      <w:bookmarkEnd w:id="0"/>
      <w:r w:rsidRPr="007C5346">
        <w:rPr>
          <w:rFonts w:ascii="Times New Roman" w:eastAsia="Times New Roman" w:hAnsi="Times New Roman" w:cs="Times New Roman"/>
          <w:sz w:val="24"/>
          <w:szCs w:val="24"/>
        </w:rPr>
        <w:t>ioned</w:t>
      </w:r>
      <w:proofErr w:type="spellEnd"/>
      <w:r w:rsidRPr="007C5346">
        <w:rPr>
          <w:rFonts w:ascii="Times New Roman" w:eastAsia="Times New Roman" w:hAnsi="Times New Roman" w:cs="Times New Roman"/>
          <w:sz w:val="24"/>
          <w:szCs w:val="24"/>
        </w:rPr>
        <w:t xml:space="preserve"> in Figures 1B, 1C and 2.</w:t>
      </w:r>
    </w:p>
    <w:p w:rsidR="00BD46DF" w:rsidRDefault="00BD46DF">
      <w:pPr>
        <w:ind w:left="426"/>
        <w:jc w:val="both"/>
        <w:rPr>
          <w:rFonts w:ascii="Times New Roman" w:eastAsia="Times New Roman" w:hAnsi="Times New Roman"/>
          <w:kern w:val="2"/>
          <w:sz w:val="20"/>
          <w:szCs w:val="20"/>
          <w:lang w:val="en-US"/>
        </w:rPr>
      </w:pPr>
    </w:p>
    <w:p w:rsidR="00BD46DF" w:rsidRDefault="00BD46DF">
      <w:pPr>
        <w:ind w:left="426"/>
        <w:jc w:val="both"/>
        <w:rPr>
          <w:rFonts w:ascii="Times New Roman" w:eastAsia="Times New Roman" w:hAnsi="Times New Roman"/>
          <w:kern w:val="2"/>
          <w:sz w:val="20"/>
          <w:szCs w:val="20"/>
          <w:lang w:val="en-US"/>
        </w:rPr>
      </w:pPr>
    </w:p>
    <w:p w:rsidR="00BD46DF" w:rsidRDefault="00BD46DF">
      <w:pPr>
        <w:ind w:left="426"/>
        <w:jc w:val="both"/>
        <w:rPr>
          <w:rFonts w:ascii="Times New Roman" w:eastAsia="Times New Roman" w:hAnsi="Times New Roman"/>
          <w:kern w:val="2"/>
          <w:sz w:val="20"/>
          <w:szCs w:val="20"/>
          <w:lang w:val="en-US"/>
        </w:rPr>
      </w:pPr>
    </w:p>
    <w:p w:rsidR="00BD46DF" w:rsidRDefault="00BD46DF">
      <w:pPr>
        <w:rPr>
          <w:rFonts w:ascii="Times New Roman" w:hAnsi="Times New Roman" w:cs="Times New Roman"/>
          <w:sz w:val="18"/>
          <w:szCs w:val="18"/>
        </w:rPr>
      </w:pPr>
    </w:p>
    <w:p w:rsidR="00BD46DF" w:rsidRDefault="00BD46DF">
      <w:pPr>
        <w:ind w:left="426" w:right="281"/>
        <w:rPr>
          <w:rFonts w:ascii="Times New Roman" w:hAnsi="Times New Roman" w:cs="Times New Roman"/>
          <w:sz w:val="18"/>
          <w:szCs w:val="18"/>
        </w:rPr>
      </w:pPr>
    </w:p>
    <w:sectPr w:rsidR="00BD46DF">
      <w:pgSz w:w="11906" w:h="16838"/>
      <w:pgMar w:top="284" w:right="566" w:bottom="720" w:left="284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1"/>
    <w:family w:val="roman"/>
    <w:pitch w:val="variable"/>
  </w:font>
  <w:font w:name="Liberation Sans">
    <w:altName w:val="Arial"/>
    <w:panose1 w:val="020B0604020202020204"/>
    <w:charset w:val="01"/>
    <w:family w:val="roman"/>
    <w:pitch w:val="variable"/>
  </w:font>
  <w:font w:name="Noto Sans CJK SC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46DF"/>
    <w:rsid w:val="00B17D9B"/>
    <w:rsid w:val="00BD4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A66A4629-33E9-E841-9593-2F48188F4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548A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sid w:val="00A1708A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qFormat/>
    <w:rsid w:val="00F54A80"/>
    <w:rPr>
      <w:sz w:val="16"/>
      <w:szCs w:val="16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qFormat/>
    <w:rsid w:val="00F54A80"/>
    <w:rPr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qFormat/>
    <w:rsid w:val="00F54A80"/>
    <w:rPr>
      <w:b/>
      <w:bCs/>
      <w:sz w:val="20"/>
      <w:szCs w:val="20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Noto Sans CJK SC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Free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  <w:style w:type="paragraph" w:styleId="Prrafodelista">
    <w:name w:val="List Paragraph"/>
    <w:basedOn w:val="Normal"/>
    <w:uiPriority w:val="34"/>
    <w:qFormat/>
    <w:rsid w:val="00C00F45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qFormat/>
    <w:rsid w:val="00A1708A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qFormat/>
    <w:rsid w:val="00F54A80"/>
    <w:pPr>
      <w:spacing w:line="240" w:lineRule="auto"/>
    </w:pPr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qFormat/>
    <w:rsid w:val="00F54A80"/>
    <w:rPr>
      <w:b/>
      <w:bCs/>
    </w:rPr>
  </w:style>
  <w:style w:type="table" w:styleId="Tablaconcuadrcula">
    <w:name w:val="Table Grid"/>
    <w:basedOn w:val="Tablanormal"/>
    <w:uiPriority w:val="39"/>
    <w:rsid w:val="000060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298AF262ADD1543B35CBBFEA97F24C9" ma:contentTypeVersion="13" ma:contentTypeDescription="Crear nuevo documento." ma:contentTypeScope="" ma:versionID="c4332cd1f856e54e14f9378172dba21b">
  <xsd:schema xmlns:xsd="http://www.w3.org/2001/XMLSchema" xmlns:xs="http://www.w3.org/2001/XMLSchema" xmlns:p="http://schemas.microsoft.com/office/2006/metadata/properties" xmlns:ns1="http://schemas.microsoft.com/sharepoint/v3" xmlns:ns3="1a3f87ee-1bbb-4db6-bd53-85b490cecffd" targetNamespace="http://schemas.microsoft.com/office/2006/metadata/properties" ma:root="true" ma:fieldsID="303da423830f2fbc253da77ef96ff680" ns1:_="" ns3:_="">
    <xsd:import namespace="http://schemas.microsoft.com/sharepoint/v3"/>
    <xsd:import namespace="1a3f87ee-1bbb-4db6-bd53-85b490cecff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1:_ip_UnifiedCompliancePolicyProperties" minOccurs="0"/>
                <xsd:element ref="ns1:_ip_UnifiedCompliancePolicyUIAc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Propiedades de la Directiva de cumplimiento unificado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Acción de IU de la Directiva de cumplimiento unificado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3f87ee-1bbb-4db6-bd53-85b490cecf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321C38B-55D1-4236-AD0E-2F42277B171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E89F4263-62CF-46C7-8E8F-F6B38CE6D3C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CB220D9-C5E7-4E25-9CFB-5315CC96CB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a3f87ee-1bbb-4db6-bd53-85b490cecf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304</Words>
  <Characters>1678</Characters>
  <Application>Microsoft Office Word</Application>
  <DocSecurity>0</DocSecurity>
  <Lines>13</Lines>
  <Paragraphs>3</Paragraphs>
  <ScaleCrop>false</ScaleCrop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Chema Aguilar</dc:creator>
  <dc:description/>
  <cp:lastModifiedBy>Microsoft Office User</cp:lastModifiedBy>
  <cp:revision>33</cp:revision>
  <cp:lastPrinted>2021-05-26T09:29:00Z</cp:lastPrinted>
  <dcterms:created xsi:type="dcterms:W3CDTF">2021-11-24T13:37:00Z</dcterms:created>
  <dcterms:modified xsi:type="dcterms:W3CDTF">2024-03-21T11:00:00Z</dcterms:modified>
  <dc:language>es-ES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0x0101000298AF262ADD1543B35CBBFEA97F24C9</vt:lpwstr>
  </property>
</Properties>
</file>