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EDAB6B" w14:textId="77777777" w:rsidR="006A6495" w:rsidRPr="003C47B3" w:rsidRDefault="006A6495" w:rsidP="006A6495">
      <w:pPr>
        <w:rPr>
          <w:rFonts w:ascii="Calibri" w:hAnsi="Calibri" w:cs="Calibri"/>
          <w:b/>
          <w:bCs/>
          <w:sz w:val="24"/>
        </w:rPr>
      </w:pPr>
      <w:r w:rsidRPr="003C47B3">
        <w:rPr>
          <w:rFonts w:ascii="Calibri" w:hAnsi="Calibri" w:cs="Calibri"/>
          <w:b/>
          <w:bCs/>
          <w:sz w:val="24"/>
        </w:rPr>
        <w:t>Enzyme-linked immunosorbent assay (ELISA)</w:t>
      </w:r>
    </w:p>
    <w:p w14:paraId="60D61557" w14:textId="77777777" w:rsidR="006A6495" w:rsidRPr="003C47B3" w:rsidRDefault="006A6495" w:rsidP="006A6495">
      <w:pPr>
        <w:rPr>
          <w:rFonts w:ascii="Calibri" w:hAnsi="Calibri" w:cs="Calibri"/>
          <w:sz w:val="24"/>
        </w:rPr>
      </w:pPr>
      <w:r w:rsidRPr="003C47B3">
        <w:rPr>
          <w:rFonts w:ascii="Calibri" w:hAnsi="Calibri" w:cs="Calibri"/>
          <w:sz w:val="24"/>
        </w:rPr>
        <w:t>The serum isolated from DEN-induced and met-treated mice were cleared by centrifugation and used immediately. The IL-22 ELISA kit was purchased from R&amp;D Systems (Shanghai, China) and used according to the manufacturer's instructions.</w:t>
      </w:r>
    </w:p>
    <w:p w14:paraId="0FFD92E9" w14:textId="77777777" w:rsidR="006A6495" w:rsidRPr="003C47B3" w:rsidRDefault="006A6495" w:rsidP="006A6495">
      <w:pPr>
        <w:rPr>
          <w:rFonts w:ascii="Calibri" w:hAnsi="Calibri" w:cs="Calibri"/>
          <w:b/>
          <w:bCs/>
          <w:sz w:val="24"/>
        </w:rPr>
      </w:pPr>
      <w:r w:rsidRPr="003C47B3">
        <w:rPr>
          <w:rFonts w:ascii="Calibri" w:hAnsi="Calibri" w:cs="Calibri"/>
          <w:b/>
          <w:bCs/>
          <w:sz w:val="24"/>
        </w:rPr>
        <w:t>Quantitative real-time PCR</w:t>
      </w:r>
    </w:p>
    <w:p w14:paraId="0DF9A221" w14:textId="77777777" w:rsidR="006A6495" w:rsidRPr="003C47B3" w:rsidRDefault="006A6495" w:rsidP="006A6495">
      <w:pPr>
        <w:rPr>
          <w:rFonts w:ascii="Calibri" w:hAnsi="Calibri" w:cs="Calibri"/>
          <w:sz w:val="24"/>
        </w:rPr>
      </w:pPr>
      <w:r w:rsidRPr="003C47B3">
        <w:rPr>
          <w:rFonts w:ascii="Calibri" w:hAnsi="Calibri" w:cs="Calibri"/>
          <w:sz w:val="24"/>
        </w:rPr>
        <w:t xml:space="preserve">Total RNA was extracted from liver tissues or cell lines using </w:t>
      </w:r>
      <w:proofErr w:type="spellStart"/>
      <w:r w:rsidRPr="003C47B3">
        <w:rPr>
          <w:rFonts w:ascii="Calibri" w:hAnsi="Calibri" w:cs="Calibri"/>
          <w:sz w:val="24"/>
        </w:rPr>
        <w:t>Trizol</w:t>
      </w:r>
      <w:proofErr w:type="spellEnd"/>
      <w:r w:rsidRPr="003C47B3">
        <w:rPr>
          <w:rFonts w:ascii="Calibri" w:hAnsi="Calibri" w:cs="Calibri"/>
          <w:sz w:val="24"/>
        </w:rPr>
        <w:t xml:space="preserve"> Reagent (Invitrogen, CA, USA). Reverse transcription was performed using </w:t>
      </w:r>
      <w:proofErr w:type="spellStart"/>
      <w:r w:rsidRPr="003C47B3">
        <w:rPr>
          <w:rFonts w:ascii="Calibri" w:hAnsi="Calibri" w:cs="Calibri"/>
          <w:sz w:val="24"/>
        </w:rPr>
        <w:t>PrimerScript</w:t>
      </w:r>
      <w:proofErr w:type="spellEnd"/>
      <w:r w:rsidRPr="003C47B3">
        <w:rPr>
          <w:rFonts w:ascii="Calibri" w:hAnsi="Calibri" w:cs="Calibri"/>
          <w:sz w:val="24"/>
        </w:rPr>
        <w:t>™ RT reagent kit according to the manufacturer's instructions. Real-time qPCR was carried out on an Applied Biosystems 7500 apparatus using SYBR-Green Master Mix (</w:t>
      </w:r>
      <w:proofErr w:type="spellStart"/>
      <w:r w:rsidRPr="003C47B3">
        <w:rPr>
          <w:rFonts w:ascii="Calibri" w:hAnsi="Calibri" w:cs="Calibri"/>
          <w:sz w:val="24"/>
        </w:rPr>
        <w:t>TaKaRa</w:t>
      </w:r>
      <w:proofErr w:type="spellEnd"/>
      <w:r w:rsidRPr="003C47B3">
        <w:rPr>
          <w:rFonts w:ascii="Calibri" w:hAnsi="Calibri" w:cs="Calibri"/>
          <w:sz w:val="24"/>
        </w:rPr>
        <w:t>, Dalian, China). The PCR conditions were as follows: 95°C for 15 s; 40 cycles at 95°C for 5 s; 55°C for 34 s; 72°C for 30 s; melting curve. The delta Ct method was used to calculate the relative expression. ACTB was used as an internal control. The primer sequences used in this study were listed in Supplementary table 1.</w:t>
      </w:r>
    </w:p>
    <w:p w14:paraId="3CCD8948" w14:textId="77777777" w:rsidR="006A6495" w:rsidRPr="003C47B3" w:rsidRDefault="006A6495" w:rsidP="006A6495">
      <w:pPr>
        <w:rPr>
          <w:rFonts w:ascii="Calibri" w:hAnsi="Calibri" w:cs="Calibri"/>
          <w:b/>
          <w:bCs/>
          <w:sz w:val="24"/>
        </w:rPr>
      </w:pPr>
      <w:r w:rsidRPr="003C47B3">
        <w:rPr>
          <w:rFonts w:ascii="Calibri" w:hAnsi="Calibri" w:cs="Calibri"/>
          <w:b/>
          <w:bCs/>
          <w:sz w:val="24"/>
        </w:rPr>
        <w:t xml:space="preserve">Cell culture and reagents </w:t>
      </w:r>
    </w:p>
    <w:p w14:paraId="341858F6" w14:textId="5499E42B" w:rsidR="006A6495" w:rsidRPr="003C47B3" w:rsidRDefault="006A6495" w:rsidP="006A6495">
      <w:pPr>
        <w:rPr>
          <w:rFonts w:ascii="Calibri" w:hAnsi="Calibri" w:cs="Calibri"/>
          <w:sz w:val="24"/>
        </w:rPr>
      </w:pPr>
      <w:r w:rsidRPr="003C47B3">
        <w:rPr>
          <w:rFonts w:ascii="Calibri" w:hAnsi="Calibri" w:cs="Calibri"/>
          <w:sz w:val="24"/>
        </w:rPr>
        <w:t xml:space="preserve">The human HCC cell lines (MHCC-97H, SMMC-7721) were purchased from the Cell Bank of the Chinese Academy of Sciences (Shanghai, China). </w:t>
      </w:r>
      <w:r w:rsidR="003D642B" w:rsidRPr="003D642B">
        <w:rPr>
          <w:rFonts w:ascii="Calibri" w:hAnsi="Calibri" w:cs="Calibri"/>
          <w:sz w:val="24"/>
        </w:rPr>
        <w:t xml:space="preserve">Cell line authentication is achieved by genetic profiling using polymorphic short tandem repeat (STR) loci. All experiments were performed with mycoplasma-free </w:t>
      </w:r>
      <w:proofErr w:type="spellStart"/>
      <w:proofErr w:type="gramStart"/>
      <w:r w:rsidR="003D642B" w:rsidRPr="003D642B">
        <w:rPr>
          <w:rFonts w:ascii="Calibri" w:hAnsi="Calibri" w:cs="Calibri"/>
          <w:sz w:val="24"/>
        </w:rPr>
        <w:t>cells</w:t>
      </w:r>
      <w:r w:rsidR="003D642B">
        <w:rPr>
          <w:rFonts w:ascii="Calibri" w:hAnsi="Calibri" w:cs="Calibri"/>
          <w:sz w:val="24"/>
        </w:rPr>
        <w:t>.</w:t>
      </w:r>
      <w:r w:rsidRPr="003C47B3">
        <w:rPr>
          <w:rFonts w:ascii="Calibri" w:hAnsi="Calibri" w:cs="Calibri"/>
          <w:sz w:val="24"/>
        </w:rPr>
        <w:t>All</w:t>
      </w:r>
      <w:proofErr w:type="spellEnd"/>
      <w:proofErr w:type="gramEnd"/>
      <w:r w:rsidRPr="003C47B3">
        <w:rPr>
          <w:rFonts w:ascii="Calibri" w:hAnsi="Calibri" w:cs="Calibri"/>
          <w:sz w:val="24"/>
        </w:rPr>
        <w:t xml:space="preserve"> cells were cul</w:t>
      </w:r>
      <w:bookmarkStart w:id="0" w:name="_GoBack"/>
      <w:bookmarkEnd w:id="0"/>
      <w:r w:rsidRPr="003C47B3">
        <w:rPr>
          <w:rFonts w:ascii="Calibri" w:hAnsi="Calibri" w:cs="Calibri"/>
          <w:sz w:val="24"/>
        </w:rPr>
        <w:t>tured with Dulbecco's modified Eagle's medium (DMEM, Gibco, Shanghai) supplemented with 10% fetal bovine serum (FBS), 2 mM L-glutamine, 1 % penicillin-streptomycin (Sigma, USA), and maintained in a humidified incubator under 5% CO2. The Hippo pathway</w:t>
      </w:r>
      <w:r>
        <w:rPr>
          <w:rFonts w:ascii="Calibri" w:hAnsi="Calibri" w:cs="Calibri"/>
          <w:sz w:val="24"/>
        </w:rPr>
        <w:t xml:space="preserve"> </w:t>
      </w:r>
      <w:r w:rsidRPr="003C47B3">
        <w:rPr>
          <w:rFonts w:ascii="Calibri" w:hAnsi="Calibri" w:cs="Calibri"/>
          <w:sz w:val="24"/>
        </w:rPr>
        <w:t>inhibitor</w:t>
      </w:r>
      <w:r w:rsidRPr="00BE7089">
        <w:rPr>
          <w:rFonts w:ascii="Calibri" w:hAnsi="Calibri" w:cs="Calibri"/>
          <w:sz w:val="24"/>
        </w:rPr>
        <w:t xml:space="preserve"> (XMU-MP-1) </w:t>
      </w:r>
      <w:r w:rsidRPr="003C47B3">
        <w:rPr>
          <w:rFonts w:ascii="Calibri" w:hAnsi="Calibri" w:cs="Calibri"/>
          <w:sz w:val="24"/>
        </w:rPr>
        <w:t>was purchased from Selleck and MCE (Shanghai, China).</w:t>
      </w:r>
      <w:r w:rsidR="003D642B" w:rsidRPr="003D642B">
        <w:rPr>
          <w:rFonts w:ascii="Arial" w:hAnsi="Arial" w:cs="Arial"/>
          <w:color w:val="606060"/>
          <w:szCs w:val="21"/>
          <w:shd w:val="clear" w:color="auto" w:fill="FFFFFF"/>
        </w:rPr>
        <w:t xml:space="preserve"> </w:t>
      </w:r>
      <w:r w:rsidR="003D642B">
        <w:rPr>
          <w:rFonts w:ascii="Arial" w:hAnsi="Arial" w:cs="Arial"/>
          <w:color w:val="606060"/>
          <w:szCs w:val="21"/>
          <w:shd w:val="clear" w:color="auto" w:fill="FFFFFF"/>
        </w:rPr>
        <w:t> </w:t>
      </w:r>
      <w:r w:rsidRPr="003C47B3">
        <w:rPr>
          <w:rFonts w:ascii="Calibri" w:hAnsi="Calibri" w:cs="Calibri"/>
          <w:sz w:val="24"/>
        </w:rPr>
        <w:t xml:space="preserve"> </w:t>
      </w:r>
    </w:p>
    <w:p w14:paraId="2519ABFC" w14:textId="77777777" w:rsidR="006A6495" w:rsidRPr="003C47B3" w:rsidRDefault="006A6495" w:rsidP="006A6495">
      <w:pPr>
        <w:rPr>
          <w:rFonts w:ascii="Calibri" w:hAnsi="Calibri" w:cs="Calibri"/>
          <w:b/>
          <w:bCs/>
          <w:sz w:val="24"/>
        </w:rPr>
      </w:pPr>
      <w:r w:rsidRPr="003C47B3">
        <w:rPr>
          <w:rFonts w:ascii="Calibri" w:hAnsi="Calibri" w:cs="Calibri"/>
          <w:b/>
          <w:bCs/>
          <w:sz w:val="24"/>
        </w:rPr>
        <w:t>IL</w:t>
      </w:r>
      <w:r w:rsidRPr="003C47B3">
        <w:rPr>
          <w:rFonts w:ascii="Calibri" w:hAnsi="Calibri" w:cs="Calibri" w:hint="eastAsia"/>
          <w:b/>
          <w:bCs/>
          <w:sz w:val="24"/>
        </w:rPr>
        <w:t>‐</w:t>
      </w:r>
      <w:r w:rsidRPr="003C47B3">
        <w:rPr>
          <w:rFonts w:ascii="Calibri" w:hAnsi="Calibri" w:cs="Calibri"/>
          <w:b/>
          <w:bCs/>
          <w:sz w:val="24"/>
        </w:rPr>
        <w:t>22 Expression Vector</w:t>
      </w:r>
    </w:p>
    <w:p w14:paraId="64E7BB7C" w14:textId="77777777" w:rsidR="006A6495" w:rsidRPr="003C47B3" w:rsidRDefault="006A6495" w:rsidP="006A6495">
      <w:pPr>
        <w:rPr>
          <w:rFonts w:ascii="Calibri" w:hAnsi="Calibri" w:cs="Calibri"/>
          <w:sz w:val="24"/>
        </w:rPr>
      </w:pPr>
      <w:r w:rsidRPr="003C47B3">
        <w:rPr>
          <w:rFonts w:ascii="Calibri" w:hAnsi="Calibri" w:cs="Calibri"/>
          <w:sz w:val="24"/>
        </w:rPr>
        <w:t>The pcDNA3</w:t>
      </w:r>
      <w:r w:rsidRPr="003C47B3">
        <w:rPr>
          <w:rFonts w:ascii="Calibri" w:hAnsi="Calibri" w:cs="Calibri" w:hint="eastAsia"/>
          <w:sz w:val="24"/>
        </w:rPr>
        <w:t>‐</w:t>
      </w:r>
      <w:r w:rsidRPr="003C47B3">
        <w:rPr>
          <w:rFonts w:ascii="Calibri" w:hAnsi="Calibri" w:cs="Calibri"/>
          <w:sz w:val="24"/>
        </w:rPr>
        <w:t>IL</w:t>
      </w:r>
      <w:r w:rsidRPr="003C47B3">
        <w:rPr>
          <w:rFonts w:ascii="Calibri" w:hAnsi="Calibri" w:cs="Calibri" w:hint="eastAsia"/>
          <w:sz w:val="24"/>
        </w:rPr>
        <w:t>‐</w:t>
      </w:r>
      <w:r w:rsidRPr="003C47B3">
        <w:rPr>
          <w:rFonts w:ascii="Calibri" w:hAnsi="Calibri" w:cs="Calibri"/>
          <w:sz w:val="24"/>
        </w:rPr>
        <w:t>22 expression vector was constructed by inserting murine IL</w:t>
      </w:r>
      <w:r w:rsidRPr="003C47B3">
        <w:rPr>
          <w:rFonts w:ascii="Calibri" w:hAnsi="Calibri" w:cs="Calibri" w:hint="eastAsia"/>
          <w:sz w:val="24"/>
        </w:rPr>
        <w:t>‐</w:t>
      </w:r>
      <w:r w:rsidRPr="003C47B3">
        <w:rPr>
          <w:rFonts w:ascii="Calibri" w:hAnsi="Calibri" w:cs="Calibri"/>
          <w:sz w:val="24"/>
        </w:rPr>
        <w:t xml:space="preserve">22 cDNA into the </w:t>
      </w:r>
      <w:proofErr w:type="spellStart"/>
      <w:r w:rsidRPr="003C47B3">
        <w:rPr>
          <w:rFonts w:ascii="Calibri" w:hAnsi="Calibri" w:cs="Calibri"/>
          <w:sz w:val="24"/>
        </w:rPr>
        <w:t>BamHI</w:t>
      </w:r>
      <w:proofErr w:type="spellEnd"/>
      <w:r w:rsidRPr="003C47B3">
        <w:rPr>
          <w:rFonts w:ascii="Calibri" w:hAnsi="Calibri" w:cs="Calibri"/>
          <w:sz w:val="24"/>
        </w:rPr>
        <w:t>/</w:t>
      </w:r>
      <w:proofErr w:type="spellStart"/>
      <w:r w:rsidRPr="003C47B3">
        <w:rPr>
          <w:rFonts w:ascii="Calibri" w:hAnsi="Calibri" w:cs="Calibri"/>
          <w:sz w:val="24"/>
        </w:rPr>
        <w:t>EcoRI</w:t>
      </w:r>
      <w:proofErr w:type="spellEnd"/>
      <w:r w:rsidRPr="003C47B3">
        <w:rPr>
          <w:rFonts w:ascii="Calibri" w:hAnsi="Calibri" w:cs="Calibri"/>
          <w:sz w:val="24"/>
        </w:rPr>
        <w:t xml:space="preserve"> site of the mammalian expression vector pcDNA3.1(+) (Invitrogen, Carlsbad, CA). The cDNA</w:t>
      </w:r>
      <w:r w:rsidRPr="003C47B3">
        <w:rPr>
          <w:rFonts w:ascii="Calibri" w:hAnsi="Calibri" w:cs="Calibri" w:hint="eastAsia"/>
          <w:sz w:val="24"/>
        </w:rPr>
        <w:t>‐</w:t>
      </w:r>
      <w:r w:rsidRPr="003C47B3">
        <w:rPr>
          <w:rFonts w:ascii="Calibri" w:hAnsi="Calibri" w:cs="Calibri"/>
          <w:sz w:val="24"/>
        </w:rPr>
        <w:t>encoding full</w:t>
      </w:r>
      <w:r w:rsidRPr="003C47B3">
        <w:rPr>
          <w:rFonts w:ascii="Calibri" w:hAnsi="Calibri" w:cs="Calibri" w:hint="eastAsia"/>
          <w:sz w:val="24"/>
        </w:rPr>
        <w:t>‐</w:t>
      </w:r>
      <w:r w:rsidRPr="003C47B3">
        <w:rPr>
          <w:rFonts w:ascii="Calibri" w:hAnsi="Calibri" w:cs="Calibri"/>
          <w:sz w:val="24"/>
        </w:rPr>
        <w:t>length IL</w:t>
      </w:r>
      <w:r w:rsidRPr="003C47B3">
        <w:rPr>
          <w:rFonts w:ascii="Calibri" w:hAnsi="Calibri" w:cs="Calibri" w:hint="eastAsia"/>
          <w:sz w:val="24"/>
        </w:rPr>
        <w:t>‐</w:t>
      </w:r>
      <w:r w:rsidRPr="003C47B3">
        <w:rPr>
          <w:rFonts w:ascii="Calibri" w:hAnsi="Calibri" w:cs="Calibri"/>
          <w:sz w:val="24"/>
        </w:rPr>
        <w:t xml:space="preserve">22 was obtained from the thymus of </w:t>
      </w:r>
      <w:r>
        <w:rPr>
          <w:rFonts w:ascii="Calibri" w:hAnsi="Calibri" w:cs="Calibri"/>
          <w:sz w:val="24"/>
        </w:rPr>
        <w:t>C57BL/6</w:t>
      </w:r>
      <w:r w:rsidRPr="003C47B3">
        <w:rPr>
          <w:rFonts w:ascii="Calibri" w:hAnsi="Calibri" w:cs="Calibri"/>
          <w:sz w:val="24"/>
        </w:rPr>
        <w:t xml:space="preserve"> mice by reverse</w:t>
      </w:r>
      <w:r w:rsidRPr="003C47B3">
        <w:rPr>
          <w:rFonts w:ascii="Calibri" w:hAnsi="Calibri" w:cs="Calibri" w:hint="eastAsia"/>
          <w:sz w:val="24"/>
        </w:rPr>
        <w:t>‐</w:t>
      </w:r>
      <w:r w:rsidRPr="003C47B3">
        <w:rPr>
          <w:rFonts w:ascii="Calibri" w:hAnsi="Calibri" w:cs="Calibri"/>
          <w:sz w:val="24"/>
        </w:rPr>
        <w:t>transcriptase polymerase chain reaction (RT</w:t>
      </w:r>
      <w:r w:rsidRPr="003C47B3">
        <w:rPr>
          <w:rFonts w:ascii="Calibri" w:hAnsi="Calibri" w:cs="Calibri" w:hint="eastAsia"/>
          <w:sz w:val="24"/>
        </w:rPr>
        <w:t>‐</w:t>
      </w:r>
      <w:r w:rsidRPr="003C47B3">
        <w:rPr>
          <w:rFonts w:ascii="Calibri" w:hAnsi="Calibri" w:cs="Calibri"/>
          <w:sz w:val="24"/>
        </w:rPr>
        <w:t xml:space="preserve">PCR). The following 2 primers, which included </w:t>
      </w:r>
      <w:proofErr w:type="spellStart"/>
      <w:r w:rsidRPr="003C47B3">
        <w:rPr>
          <w:rFonts w:ascii="Calibri" w:hAnsi="Calibri" w:cs="Calibri"/>
          <w:sz w:val="24"/>
        </w:rPr>
        <w:t>BamHI</w:t>
      </w:r>
      <w:proofErr w:type="spellEnd"/>
      <w:r w:rsidRPr="003C47B3">
        <w:rPr>
          <w:rFonts w:ascii="Calibri" w:hAnsi="Calibri" w:cs="Calibri"/>
          <w:sz w:val="24"/>
        </w:rPr>
        <w:t xml:space="preserve"> and </w:t>
      </w:r>
      <w:proofErr w:type="spellStart"/>
      <w:r w:rsidRPr="003C47B3">
        <w:rPr>
          <w:rFonts w:ascii="Calibri" w:hAnsi="Calibri" w:cs="Calibri"/>
          <w:sz w:val="24"/>
        </w:rPr>
        <w:t>EcoRI</w:t>
      </w:r>
      <w:proofErr w:type="spellEnd"/>
      <w:r w:rsidRPr="003C47B3">
        <w:rPr>
          <w:rFonts w:ascii="Calibri" w:hAnsi="Calibri" w:cs="Calibri"/>
          <w:sz w:val="24"/>
        </w:rPr>
        <w:t xml:space="preserve"> sites (underlined), were used: 5′</w:t>
      </w:r>
      <w:r w:rsidRPr="003C47B3">
        <w:rPr>
          <w:rFonts w:ascii="Calibri" w:hAnsi="Calibri" w:cs="Calibri" w:hint="eastAsia"/>
          <w:sz w:val="24"/>
        </w:rPr>
        <w:t>‐</w:t>
      </w:r>
      <w:r w:rsidRPr="003C47B3">
        <w:rPr>
          <w:rFonts w:ascii="Calibri" w:hAnsi="Calibri" w:cs="Calibri"/>
          <w:sz w:val="24"/>
        </w:rPr>
        <w:t>GTGGGA TCCCTGATGGCTGTCCTGCAG</w:t>
      </w:r>
      <w:r w:rsidRPr="003C47B3">
        <w:rPr>
          <w:rFonts w:ascii="Calibri" w:hAnsi="Calibri" w:cs="Calibri" w:hint="eastAsia"/>
          <w:sz w:val="24"/>
        </w:rPr>
        <w:t>‐</w:t>
      </w:r>
      <w:r w:rsidRPr="003C47B3">
        <w:rPr>
          <w:rFonts w:ascii="Calibri" w:hAnsi="Calibri" w:cs="Calibri"/>
          <w:sz w:val="24"/>
        </w:rPr>
        <w:t>3′ and 5′</w:t>
      </w:r>
      <w:r w:rsidRPr="003C47B3">
        <w:rPr>
          <w:rFonts w:ascii="Calibri" w:hAnsi="Calibri" w:cs="Calibri" w:hint="eastAsia"/>
          <w:sz w:val="24"/>
        </w:rPr>
        <w:t>‐</w:t>
      </w:r>
      <w:r w:rsidRPr="003C47B3">
        <w:rPr>
          <w:rFonts w:ascii="Calibri" w:hAnsi="Calibri" w:cs="Calibri"/>
          <w:sz w:val="24"/>
        </w:rPr>
        <w:lastRenderedPageBreak/>
        <w:t>AGCGAATTCTCGCTCAGACTGCAA GCAT</w:t>
      </w:r>
      <w:r w:rsidRPr="003C47B3">
        <w:rPr>
          <w:rFonts w:ascii="Calibri" w:hAnsi="Calibri" w:cs="Calibri" w:hint="eastAsia"/>
          <w:sz w:val="24"/>
        </w:rPr>
        <w:t>‐</w:t>
      </w:r>
      <w:r w:rsidRPr="003C47B3">
        <w:rPr>
          <w:rFonts w:ascii="Calibri" w:hAnsi="Calibri" w:cs="Calibri"/>
          <w:sz w:val="24"/>
        </w:rPr>
        <w:t xml:space="preserve">3′. </w:t>
      </w:r>
    </w:p>
    <w:p w14:paraId="29107531" w14:textId="77777777" w:rsidR="006A6495" w:rsidRPr="003C47B3" w:rsidRDefault="006A6495" w:rsidP="006A6495">
      <w:pPr>
        <w:rPr>
          <w:rFonts w:ascii="Calibri" w:hAnsi="Calibri" w:cs="Calibri"/>
          <w:b/>
          <w:bCs/>
          <w:sz w:val="24"/>
        </w:rPr>
      </w:pPr>
      <w:r w:rsidRPr="003C47B3">
        <w:rPr>
          <w:rFonts w:ascii="Calibri" w:hAnsi="Calibri" w:cs="Calibri"/>
          <w:b/>
          <w:bCs/>
          <w:sz w:val="24"/>
        </w:rPr>
        <w:t>Cell transfection</w:t>
      </w:r>
    </w:p>
    <w:p w14:paraId="776C96EA" w14:textId="13B219BE" w:rsidR="006A6495" w:rsidRPr="003C47B3" w:rsidRDefault="006A6495" w:rsidP="006A6495">
      <w:pPr>
        <w:rPr>
          <w:rFonts w:ascii="Calibri" w:hAnsi="Calibri" w:cs="Calibri"/>
          <w:sz w:val="24"/>
        </w:rPr>
      </w:pPr>
      <w:r w:rsidRPr="003C47B3">
        <w:rPr>
          <w:rFonts w:ascii="Calibri" w:hAnsi="Calibri" w:cs="Calibri"/>
          <w:sz w:val="24"/>
        </w:rPr>
        <w:t>MHCC97-H and SMMC-7721 cells (ATCC, Rockville, MD) were grown in 6</w:t>
      </w:r>
      <w:r w:rsidRPr="003C47B3">
        <w:rPr>
          <w:rFonts w:ascii="Calibri" w:hAnsi="Calibri" w:cs="Calibri" w:hint="eastAsia"/>
          <w:sz w:val="24"/>
        </w:rPr>
        <w:t>‐</w:t>
      </w:r>
      <w:r w:rsidRPr="003C47B3">
        <w:rPr>
          <w:rFonts w:ascii="Calibri" w:hAnsi="Calibri" w:cs="Calibri"/>
          <w:sz w:val="24"/>
        </w:rPr>
        <w:t>well culture plates to about 50%</w:t>
      </w:r>
      <w:r w:rsidRPr="003C47B3">
        <w:rPr>
          <w:rFonts w:ascii="Calibri" w:hAnsi="Calibri" w:cs="Calibri" w:hint="eastAsia"/>
          <w:sz w:val="24"/>
        </w:rPr>
        <w:t>‐</w:t>
      </w:r>
      <w:r w:rsidRPr="003C47B3">
        <w:rPr>
          <w:rFonts w:ascii="Calibri" w:hAnsi="Calibri" w:cs="Calibri"/>
          <w:sz w:val="24"/>
        </w:rPr>
        <w:t>60% confluence. Both the IL</w:t>
      </w:r>
      <w:r w:rsidRPr="003C47B3">
        <w:rPr>
          <w:rFonts w:ascii="Calibri" w:hAnsi="Calibri" w:cs="Calibri" w:hint="eastAsia"/>
          <w:sz w:val="24"/>
        </w:rPr>
        <w:t>‐</w:t>
      </w:r>
      <w:r w:rsidRPr="003C47B3">
        <w:rPr>
          <w:rFonts w:ascii="Calibri" w:hAnsi="Calibri" w:cs="Calibri"/>
          <w:sz w:val="24"/>
        </w:rPr>
        <w:t xml:space="preserve">22 expression vector and the pcDNA3 vector control DNA were separately transfected into MHCC97-H or SMMC-7721 cells using </w:t>
      </w:r>
      <w:proofErr w:type="spellStart"/>
      <w:r w:rsidRPr="003C47B3">
        <w:rPr>
          <w:rFonts w:ascii="Calibri" w:hAnsi="Calibri" w:cs="Calibri"/>
          <w:sz w:val="24"/>
        </w:rPr>
        <w:t>lipofectin</w:t>
      </w:r>
      <w:proofErr w:type="spellEnd"/>
      <w:r w:rsidRPr="003C47B3">
        <w:rPr>
          <w:rFonts w:ascii="Calibri" w:hAnsi="Calibri" w:cs="Calibri"/>
          <w:sz w:val="24"/>
        </w:rPr>
        <w:t xml:space="preserve"> (Invitrogen). After 16 hours, the medium was replaced with fresh normal</w:t>
      </w:r>
      <w:r w:rsidRPr="003C47B3">
        <w:rPr>
          <w:rFonts w:ascii="Calibri" w:hAnsi="Calibri" w:cs="Calibri" w:hint="eastAsia"/>
          <w:sz w:val="24"/>
        </w:rPr>
        <w:t>‐</w:t>
      </w:r>
      <w:r w:rsidRPr="003C47B3">
        <w:rPr>
          <w:rFonts w:ascii="Calibri" w:hAnsi="Calibri" w:cs="Calibri"/>
          <w:sz w:val="24"/>
        </w:rPr>
        <w:t>growth medium and cells were grown for an additional 48 hours. The cells were then exposed to a selective concentration of 800μg/mL of geneticin (</w:t>
      </w:r>
      <w:proofErr w:type="spellStart"/>
      <w:r w:rsidRPr="003C47B3">
        <w:rPr>
          <w:rFonts w:ascii="Calibri" w:hAnsi="Calibri" w:cs="Calibri"/>
          <w:sz w:val="24"/>
        </w:rPr>
        <w:t>Clontech</w:t>
      </w:r>
      <w:proofErr w:type="spellEnd"/>
      <w:r w:rsidRPr="003C47B3">
        <w:rPr>
          <w:rFonts w:ascii="Calibri" w:hAnsi="Calibri" w:cs="Calibri"/>
          <w:sz w:val="24"/>
        </w:rPr>
        <w:t>, Palo Alto, CA) to isolate stably transfected cells. Positive colonies were confirmed by RT-PCR. The IL</w:t>
      </w:r>
      <w:r w:rsidRPr="003C47B3">
        <w:rPr>
          <w:rFonts w:ascii="Calibri" w:hAnsi="Calibri" w:cs="Calibri" w:hint="eastAsia"/>
          <w:sz w:val="24"/>
        </w:rPr>
        <w:t>‐</w:t>
      </w:r>
      <w:r w:rsidRPr="003C47B3">
        <w:rPr>
          <w:rFonts w:ascii="Calibri" w:hAnsi="Calibri" w:cs="Calibri"/>
          <w:sz w:val="24"/>
        </w:rPr>
        <w:t xml:space="preserve">22 expression vector transfected </w:t>
      </w:r>
      <w:r w:rsidR="00A317FD">
        <w:rPr>
          <w:rFonts w:ascii="Calibri" w:hAnsi="Calibri" w:cs="Calibri"/>
          <w:sz w:val="24"/>
        </w:rPr>
        <w:t>c</w:t>
      </w:r>
      <w:r w:rsidRPr="003C47B3">
        <w:rPr>
          <w:rFonts w:ascii="Calibri" w:hAnsi="Calibri" w:cs="Calibri"/>
          <w:sz w:val="24"/>
        </w:rPr>
        <w:t xml:space="preserve"> were named PCDH-IL-22,while </w:t>
      </w:r>
      <w:bookmarkStart w:id="1" w:name="_Hlk33188071"/>
      <w:r w:rsidRPr="003C47B3">
        <w:rPr>
          <w:rFonts w:ascii="Calibri" w:hAnsi="Calibri" w:cs="Calibri"/>
          <w:sz w:val="24"/>
        </w:rPr>
        <w:t>the pcDNA3 vector control DNA transfected</w:t>
      </w:r>
      <w:bookmarkEnd w:id="1"/>
      <w:r w:rsidRPr="003C47B3">
        <w:rPr>
          <w:rFonts w:ascii="Calibri" w:hAnsi="Calibri" w:cs="Calibri"/>
          <w:sz w:val="24"/>
        </w:rPr>
        <w:t xml:space="preserve"> PCDH-NC. </w:t>
      </w:r>
    </w:p>
    <w:p w14:paraId="1BE67F1A" w14:textId="77777777" w:rsidR="006A6495" w:rsidRPr="003C47B3" w:rsidRDefault="006A6495" w:rsidP="006A6495">
      <w:pPr>
        <w:rPr>
          <w:rFonts w:ascii="Calibri" w:hAnsi="Calibri" w:cs="Calibri"/>
          <w:b/>
          <w:bCs/>
          <w:sz w:val="24"/>
        </w:rPr>
      </w:pPr>
      <w:r w:rsidRPr="003C47B3">
        <w:rPr>
          <w:rFonts w:ascii="Calibri" w:hAnsi="Calibri" w:cs="Calibri"/>
          <w:b/>
          <w:bCs/>
          <w:sz w:val="24"/>
        </w:rPr>
        <w:t>Cell viability assay</w:t>
      </w:r>
    </w:p>
    <w:p w14:paraId="74A6D817" w14:textId="77777777" w:rsidR="006A6495" w:rsidRPr="003C47B3" w:rsidRDefault="006A6495" w:rsidP="006A6495">
      <w:pPr>
        <w:rPr>
          <w:rFonts w:ascii="Calibri" w:hAnsi="Calibri" w:cs="Calibri"/>
          <w:sz w:val="24"/>
        </w:rPr>
      </w:pPr>
      <w:r w:rsidRPr="003C47B3">
        <w:rPr>
          <w:rFonts w:ascii="Calibri" w:hAnsi="Calibri" w:cs="Calibri"/>
          <w:sz w:val="24"/>
        </w:rPr>
        <w:t>The Cell Counting Kit-8 (CCK-8; Japan) was used to determine cell proliferation in this study. In brief, cells were seeded into 96-well plates at 3000 cells per well and cultured for an indicated time after transfection. Cells were supplemented in 10% CCK-8 reagent at 37°C for 1 h. Subsequently, the absorbance at 450 nm was measured using a multiple multifunctional microplate reader (Bio-Rad Laboratories, Hercules, CA). All experiments were performed in triplicate.</w:t>
      </w:r>
    </w:p>
    <w:p w14:paraId="3FBCEDC8" w14:textId="77777777" w:rsidR="006A6495" w:rsidRPr="003C47B3" w:rsidRDefault="006A6495" w:rsidP="006A6495">
      <w:pPr>
        <w:rPr>
          <w:rFonts w:ascii="Calibri" w:hAnsi="Calibri" w:cs="Calibri"/>
          <w:b/>
          <w:bCs/>
          <w:sz w:val="24"/>
        </w:rPr>
      </w:pPr>
      <w:r w:rsidRPr="003C47B3">
        <w:rPr>
          <w:rFonts w:ascii="Calibri" w:hAnsi="Calibri" w:cs="Calibri"/>
          <w:b/>
          <w:bCs/>
          <w:sz w:val="24"/>
        </w:rPr>
        <w:t>Cell apoptosis assay</w:t>
      </w:r>
    </w:p>
    <w:p w14:paraId="4DFADC36" w14:textId="77777777" w:rsidR="006A6495" w:rsidRPr="003C47B3" w:rsidRDefault="006A6495" w:rsidP="006A6495">
      <w:pPr>
        <w:rPr>
          <w:rFonts w:ascii="Calibri" w:hAnsi="Calibri" w:cs="Calibri"/>
          <w:sz w:val="24"/>
        </w:rPr>
      </w:pPr>
      <w:r w:rsidRPr="003C47B3">
        <w:rPr>
          <w:rFonts w:ascii="Calibri" w:hAnsi="Calibri" w:cs="Calibri"/>
          <w:sz w:val="24"/>
        </w:rPr>
        <w:t>The Annexin V-FITC Apoptosis Detection Kit (</w:t>
      </w:r>
      <w:proofErr w:type="spellStart"/>
      <w:r w:rsidRPr="003C47B3">
        <w:rPr>
          <w:rFonts w:ascii="Calibri" w:hAnsi="Calibri" w:cs="Calibri"/>
          <w:sz w:val="24"/>
        </w:rPr>
        <w:t>Beyotime</w:t>
      </w:r>
      <w:proofErr w:type="spellEnd"/>
      <w:r w:rsidRPr="003C47B3">
        <w:rPr>
          <w:rFonts w:ascii="Calibri" w:hAnsi="Calibri" w:cs="Calibri"/>
          <w:sz w:val="24"/>
        </w:rPr>
        <w:t xml:space="preserve">, China) was used to detect cell apoptosis. Briefly, cells were suspended followed by staining with 5 </w:t>
      </w:r>
      <w:proofErr w:type="spellStart"/>
      <w:r w:rsidRPr="003C47B3">
        <w:rPr>
          <w:rFonts w:ascii="Calibri" w:hAnsi="Calibri" w:cs="Calibri"/>
          <w:sz w:val="24"/>
        </w:rPr>
        <w:t>μl</w:t>
      </w:r>
      <w:proofErr w:type="spellEnd"/>
      <w:r w:rsidRPr="003C47B3">
        <w:rPr>
          <w:rFonts w:ascii="Calibri" w:hAnsi="Calibri" w:cs="Calibri"/>
          <w:sz w:val="24"/>
        </w:rPr>
        <w:t xml:space="preserve"> annexin V-fluorescein isothiocyanate (FITC) and 10 </w:t>
      </w:r>
      <w:proofErr w:type="spellStart"/>
      <w:r w:rsidRPr="003C47B3">
        <w:rPr>
          <w:rFonts w:ascii="Calibri" w:hAnsi="Calibri" w:cs="Calibri"/>
          <w:sz w:val="24"/>
        </w:rPr>
        <w:t>μl</w:t>
      </w:r>
      <w:proofErr w:type="spellEnd"/>
      <w:r w:rsidRPr="003C47B3">
        <w:rPr>
          <w:rFonts w:ascii="Calibri" w:hAnsi="Calibri" w:cs="Calibri"/>
          <w:sz w:val="24"/>
        </w:rPr>
        <w:t xml:space="preserve"> propidium iodide (PI) in 300 </w:t>
      </w:r>
      <w:proofErr w:type="spellStart"/>
      <w:r w:rsidRPr="003C47B3">
        <w:rPr>
          <w:rFonts w:ascii="Calibri" w:hAnsi="Calibri" w:cs="Calibri"/>
          <w:sz w:val="24"/>
        </w:rPr>
        <w:t>μl</w:t>
      </w:r>
      <w:proofErr w:type="spellEnd"/>
      <w:r w:rsidRPr="003C47B3">
        <w:rPr>
          <w:rFonts w:ascii="Calibri" w:hAnsi="Calibri" w:cs="Calibri"/>
          <w:sz w:val="24"/>
        </w:rPr>
        <w:t xml:space="preserve"> 1× binding buffer for 20 min. Then, stained cells were analyzed by flow cytometry (BD Biosciences).</w:t>
      </w:r>
    </w:p>
    <w:p w14:paraId="2BDED331" w14:textId="77777777" w:rsidR="006A6495" w:rsidRPr="003C47B3" w:rsidRDefault="006A6495" w:rsidP="006A6495">
      <w:pPr>
        <w:rPr>
          <w:rFonts w:ascii="Calibri" w:hAnsi="Calibri" w:cs="Calibri"/>
          <w:b/>
          <w:bCs/>
          <w:sz w:val="24"/>
        </w:rPr>
      </w:pPr>
      <w:r w:rsidRPr="003C47B3">
        <w:rPr>
          <w:rFonts w:ascii="Calibri" w:hAnsi="Calibri" w:cs="Calibri"/>
          <w:b/>
          <w:bCs/>
          <w:sz w:val="24"/>
        </w:rPr>
        <w:t>Cell migration and invasion assay</w:t>
      </w:r>
    </w:p>
    <w:p w14:paraId="7433E395" w14:textId="3EB26D58" w:rsidR="006A6495" w:rsidRDefault="006A6495" w:rsidP="00DA78F1">
      <w:pPr>
        <w:rPr>
          <w:rFonts w:ascii="Calibri" w:hAnsi="Calibri" w:cs="Calibri"/>
          <w:sz w:val="24"/>
        </w:rPr>
      </w:pPr>
      <w:r w:rsidRPr="003C47B3">
        <w:rPr>
          <w:rFonts w:ascii="Calibri" w:hAnsi="Calibri" w:cs="Calibri"/>
          <w:sz w:val="24"/>
        </w:rPr>
        <w:t xml:space="preserve">The BD Matrigel invasion chambers (BD Biosciences UK) were used to evaluate cell invasion and migration ability. In brief, 1 × 104 HCC cells in serum-free DMEM were seeded into the top chamber coated with 100 </w:t>
      </w:r>
      <w:proofErr w:type="spellStart"/>
      <w:r w:rsidRPr="003C47B3">
        <w:rPr>
          <w:rFonts w:ascii="Calibri" w:hAnsi="Calibri" w:cs="Calibri"/>
          <w:sz w:val="24"/>
        </w:rPr>
        <w:t>μl</w:t>
      </w:r>
      <w:proofErr w:type="spellEnd"/>
      <w:r w:rsidRPr="003C47B3">
        <w:rPr>
          <w:rFonts w:ascii="Calibri" w:hAnsi="Calibri" w:cs="Calibri"/>
          <w:sz w:val="24"/>
        </w:rPr>
        <w:t xml:space="preserve"> Matrigel per well; DMEM supplemented with 10% FBS was added to the lower chamber to stimulate cell migration and invasion. After 48 h, cells remaining on the top side of the membrane </w:t>
      </w:r>
      <w:r w:rsidRPr="003C47B3">
        <w:rPr>
          <w:rFonts w:ascii="Calibri" w:hAnsi="Calibri" w:cs="Calibri"/>
          <w:sz w:val="24"/>
        </w:rPr>
        <w:lastRenderedPageBreak/>
        <w:t xml:space="preserve">were removed with a cotton swab, and migrated cells in the bottom chamber were fixed and stained with 0.1% crystal violet (Sigma-Aldrich, shanghai). The migration assay was performed in the same manner as the invasion assay, but without the Matrigel and the cell culture was changed to 24 h. </w:t>
      </w:r>
    </w:p>
    <w:p w14:paraId="1A22BE61" w14:textId="77777777" w:rsidR="006A6495" w:rsidRPr="003C47B3" w:rsidRDefault="006A6495" w:rsidP="006A6495">
      <w:pPr>
        <w:rPr>
          <w:rFonts w:ascii="Calibri" w:hAnsi="Calibri" w:cs="Calibri"/>
          <w:b/>
          <w:bCs/>
          <w:sz w:val="24"/>
        </w:rPr>
      </w:pPr>
      <w:r w:rsidRPr="003C47B3">
        <w:rPr>
          <w:rFonts w:ascii="Calibri" w:hAnsi="Calibri" w:cs="Calibri"/>
          <w:b/>
          <w:bCs/>
          <w:sz w:val="24"/>
        </w:rPr>
        <w:t>Immunohistochemical analysis</w:t>
      </w:r>
    </w:p>
    <w:p w14:paraId="41EE5AC4" w14:textId="77777777" w:rsidR="006A6495" w:rsidRPr="003C47B3" w:rsidRDefault="006A6495" w:rsidP="006A6495">
      <w:pPr>
        <w:rPr>
          <w:rFonts w:ascii="Calibri" w:hAnsi="Calibri" w:cs="Calibri"/>
          <w:sz w:val="24"/>
        </w:rPr>
      </w:pPr>
      <w:r w:rsidRPr="003C47B3">
        <w:rPr>
          <w:rFonts w:ascii="Calibri" w:hAnsi="Calibri" w:cs="Calibri"/>
          <w:sz w:val="24"/>
        </w:rPr>
        <w:t>Tissue sections were deparaffinized with xylene and rehydrated in graded ethanol, followed by removing endogenous peroxidase with 0.3% hydrogen peroxide. The antigen retrieval was carried out by incubating tissue sections in citric acid at pH 6.0 and boiling for 15 min. Then tissue sections were incubated with the antibody against Ki67 and MMP9 (Cell Signaling Technology) at 4 °C overnight, followed by labeling by HRP second antibody (Thermo Scientific, USA) at room temperature (RT) for 1 h. Finally, signals were developed in DAB solution (Cell Signaling Technology, Shanghai, China) and counterstained with hematoxylin.</w:t>
      </w:r>
    </w:p>
    <w:p w14:paraId="701CEEA3" w14:textId="77777777" w:rsidR="006A6495" w:rsidRPr="003C47B3" w:rsidRDefault="006A6495" w:rsidP="006A6495">
      <w:pPr>
        <w:rPr>
          <w:rFonts w:ascii="Calibri" w:hAnsi="Calibri" w:cs="Calibri"/>
          <w:b/>
          <w:bCs/>
          <w:sz w:val="24"/>
        </w:rPr>
      </w:pPr>
      <w:r w:rsidRPr="003C47B3">
        <w:rPr>
          <w:rFonts w:ascii="Calibri" w:hAnsi="Calibri" w:cs="Calibri"/>
          <w:b/>
          <w:bCs/>
          <w:sz w:val="24"/>
        </w:rPr>
        <w:t>TUNEL staining</w:t>
      </w:r>
    </w:p>
    <w:p w14:paraId="5E19AD85" w14:textId="534A8EC4" w:rsidR="006A6495" w:rsidRPr="006A6495" w:rsidRDefault="006A6495" w:rsidP="00DA78F1">
      <w:pPr>
        <w:rPr>
          <w:rFonts w:ascii="Calibri" w:hAnsi="Calibri" w:cs="Calibri"/>
          <w:sz w:val="24"/>
        </w:rPr>
      </w:pPr>
      <w:r w:rsidRPr="003C47B3">
        <w:rPr>
          <w:rFonts w:ascii="Calibri" w:hAnsi="Calibri" w:cs="Calibri"/>
          <w:sz w:val="24"/>
        </w:rPr>
        <w:t>The terminal deoxynucleotidyl transferase (</w:t>
      </w:r>
      <w:proofErr w:type="spellStart"/>
      <w:r w:rsidRPr="003C47B3">
        <w:rPr>
          <w:rFonts w:ascii="Calibri" w:hAnsi="Calibri" w:cs="Calibri"/>
          <w:sz w:val="24"/>
        </w:rPr>
        <w:t>TdT</w:t>
      </w:r>
      <w:proofErr w:type="spellEnd"/>
      <w:r w:rsidRPr="003C47B3">
        <w:rPr>
          <w:rFonts w:ascii="Calibri" w:hAnsi="Calibri" w:cs="Calibri"/>
          <w:sz w:val="24"/>
        </w:rPr>
        <w:t xml:space="preserve">) </w:t>
      </w:r>
      <w:proofErr w:type="spellStart"/>
      <w:r w:rsidRPr="003C47B3">
        <w:rPr>
          <w:rFonts w:ascii="Calibri" w:hAnsi="Calibri" w:cs="Calibri"/>
          <w:sz w:val="24"/>
        </w:rPr>
        <w:t>dUTP</w:t>
      </w:r>
      <w:proofErr w:type="spellEnd"/>
      <w:r w:rsidRPr="003C47B3">
        <w:rPr>
          <w:rFonts w:ascii="Calibri" w:hAnsi="Calibri" w:cs="Calibri"/>
          <w:sz w:val="24"/>
        </w:rPr>
        <w:t xml:space="preserve"> Nick-End Labeling (TUNEL) assay was designed to detect apoptotic cells that undergo extensive DNA degradation during the late stages of apoptosis. The detailed protocol for TUNEL experiment was performed as previously reported </w:t>
      </w:r>
      <w:hyperlink w:anchor="_ENREF_14" w:tooltip="Kyrylkova, 2012 #109" w:history="1">
        <w:r w:rsidRPr="003C47B3">
          <w:rPr>
            <w:rFonts w:ascii="Calibri" w:hAnsi="Calibri" w:cs="Calibri"/>
            <w:sz w:val="24"/>
          </w:rPr>
          <w:fldChar w:fldCharType="begin"/>
        </w:r>
        <w:r>
          <w:rPr>
            <w:rFonts w:ascii="Calibri" w:hAnsi="Calibri" w:cs="Calibri"/>
            <w:sz w:val="24"/>
          </w:rPr>
          <w:instrText xml:space="preserve"> ADDIN EN.CITE &lt;EndNote&gt;&lt;Cite&gt;&lt;Author&gt;Kyrylkova&lt;/Author&gt;&lt;Year&gt;2012&lt;/Year&gt;&lt;RecNum&gt;109&lt;/RecNum&gt;&lt;DisplayText&gt;&lt;style face="superscript"&gt;14&lt;/style&gt;&lt;/DisplayText&gt;&lt;record&gt;&lt;rec-number&gt;109&lt;/rec-number&gt;&lt;foreign-keys&gt;&lt;key app="EN" db-id="pspttawdse2rxke0026xfee3p00pw9prxdst" timestamp="1579707644"&gt;109&lt;/key&gt;&lt;/foreign-keys&gt;&lt;ref-type name="Journal Article"&gt;17&lt;/ref-type&gt;&lt;contributors&gt;&lt;authors&gt;&lt;author&gt;Kyrylkova, K.&lt;/author&gt;&lt;author&gt;Kyryachenko, S.&lt;/author&gt;&lt;author&gt;Leid, M.&lt;/author&gt;&lt;author&gt;Kioussi, C.&lt;/author&gt;&lt;/authors&gt;&lt;/contributors&gt;&lt;auth-address&gt;Department of Pharmaceutical Sciences, College of Pharmacy, Oregon State University, Corvallis, OR, USA.&lt;/auth-address&gt;&lt;titles&gt;&lt;title&gt;Detection of apoptosis by TUNEL assay&lt;/title&gt;&lt;secondary-title&gt;Methods Mol Biol&lt;/secondary-title&gt;&lt;alt-title&gt;Methods in molecular biology (Clifton, N.J.)&lt;/alt-title&gt;&lt;/titles&gt;&lt;periodical&gt;&lt;full-title&gt;Methods Mol Biol&lt;/full-title&gt;&lt;abbr-1&gt;Methods in molecular biology (Clifton, N.J.)&lt;/abbr-1&gt;&lt;/periodical&gt;&lt;alt-periodical&gt;&lt;full-title&gt;Methods Mol Biol&lt;/full-title&gt;&lt;abbr-1&gt;Methods in molecular biology (Clifton, N.J.)&lt;/abbr-1&gt;&lt;/alt-periodical&gt;&lt;pages&gt;41-7&lt;/pages&gt;&lt;volume&gt;887&lt;/volume&gt;&lt;edition&gt;2012/05/09&lt;/edition&gt;&lt;keywords&gt;&lt;keyword&gt;Animals&lt;/keyword&gt;&lt;keyword&gt;Apoptosis/*physiology&lt;/keyword&gt;&lt;keyword&gt;Embryo, Mammalian/*cytology&lt;/keyword&gt;&lt;keyword&gt;Fluorescent Antibody Technique&lt;/keyword&gt;&lt;keyword&gt;Frozen Sections/*methods&lt;/keyword&gt;&lt;keyword&gt;In Situ Nick-End Labeling/*methods&lt;/keyword&gt;&lt;keyword&gt;Mice&lt;/keyword&gt;&lt;/keywords&gt;&lt;dates&gt;&lt;year&gt;2012&lt;/year&gt;&lt;/dates&gt;&lt;isbn&gt;1064-3745&lt;/isbn&gt;&lt;accession-num&gt;22566045&lt;/accession-num&gt;&lt;urls&gt;&lt;/urls&gt;&lt;electronic-resource-num&gt;10.1007/978-1-61779-860-3_5&lt;/electronic-resource-num&gt;&lt;remote-database-provider&gt;NLM&lt;/remote-database-provider&gt;&lt;language&gt;eng&lt;/language&gt;&lt;/record&gt;&lt;/Cite&gt;&lt;/EndNote&gt;</w:instrText>
        </w:r>
        <w:r w:rsidRPr="003C47B3">
          <w:rPr>
            <w:rFonts w:ascii="Calibri" w:hAnsi="Calibri" w:cs="Calibri"/>
            <w:sz w:val="24"/>
          </w:rPr>
          <w:fldChar w:fldCharType="separate"/>
        </w:r>
        <w:r w:rsidRPr="008102C4">
          <w:rPr>
            <w:rFonts w:ascii="Calibri" w:hAnsi="Calibri" w:cs="Calibri"/>
            <w:noProof/>
            <w:sz w:val="24"/>
            <w:vertAlign w:val="superscript"/>
          </w:rPr>
          <w:t>1</w:t>
        </w:r>
        <w:r w:rsidRPr="003C47B3">
          <w:rPr>
            <w:rFonts w:ascii="Calibri" w:hAnsi="Calibri" w:cs="Calibri"/>
            <w:sz w:val="24"/>
          </w:rPr>
          <w:fldChar w:fldCharType="end"/>
        </w:r>
      </w:hyperlink>
      <w:r w:rsidRPr="003C47B3">
        <w:rPr>
          <w:rFonts w:ascii="Calibri" w:hAnsi="Calibri" w:cs="Calibri"/>
          <w:sz w:val="24"/>
        </w:rPr>
        <w:t>.</w:t>
      </w:r>
    </w:p>
    <w:p w14:paraId="2934A22F" w14:textId="5D11F38E" w:rsidR="00DA78F1" w:rsidRPr="003C47B3" w:rsidRDefault="00DA78F1" w:rsidP="00DA78F1">
      <w:pPr>
        <w:rPr>
          <w:rFonts w:ascii="Calibri" w:hAnsi="Calibri" w:cs="Calibri"/>
          <w:b/>
          <w:bCs/>
          <w:sz w:val="24"/>
        </w:rPr>
      </w:pPr>
      <w:r w:rsidRPr="003C47B3">
        <w:rPr>
          <w:rFonts w:ascii="Calibri" w:hAnsi="Calibri" w:cs="Calibri"/>
          <w:b/>
          <w:bCs/>
          <w:sz w:val="24"/>
        </w:rPr>
        <w:t>RNA extraction and library construction</w:t>
      </w:r>
    </w:p>
    <w:p w14:paraId="763AEAB0" w14:textId="03CB579A" w:rsidR="00DA78F1" w:rsidRPr="003C47B3" w:rsidRDefault="00DA78F1" w:rsidP="00DA78F1">
      <w:pPr>
        <w:rPr>
          <w:rFonts w:ascii="Calibri" w:hAnsi="Calibri" w:cs="Calibri"/>
          <w:sz w:val="24"/>
        </w:rPr>
      </w:pPr>
      <w:bookmarkStart w:id="2" w:name="_Hlk30523497"/>
      <w:r w:rsidRPr="003C47B3">
        <w:rPr>
          <w:rFonts w:ascii="Calibri" w:hAnsi="Calibri" w:cs="Calibri"/>
          <w:sz w:val="24"/>
        </w:rPr>
        <w:t>Tumor tissues from treated and untreated DEN induced HCC mouse model were</w:t>
      </w:r>
      <w:bookmarkEnd w:id="2"/>
      <w:r w:rsidRPr="003C47B3">
        <w:rPr>
          <w:rFonts w:ascii="Calibri" w:hAnsi="Calibri" w:cs="Calibri"/>
          <w:sz w:val="24"/>
        </w:rPr>
        <w:t xml:space="preserve"> prepared to isolate total RNA. Total RNA was isolated by using </w:t>
      </w:r>
      <w:proofErr w:type="gramStart"/>
      <w:r w:rsidRPr="003C47B3">
        <w:rPr>
          <w:rFonts w:ascii="Calibri" w:hAnsi="Calibri" w:cs="Calibri"/>
          <w:sz w:val="24"/>
        </w:rPr>
        <w:t>an</w:t>
      </w:r>
      <w:proofErr w:type="gramEnd"/>
      <w:r w:rsidRPr="003C47B3">
        <w:rPr>
          <w:rFonts w:ascii="Calibri" w:hAnsi="Calibri" w:cs="Calibri"/>
          <w:sz w:val="24"/>
        </w:rPr>
        <w:t xml:space="preserve"> RNeasy Plant Mini Kit (Qiagen) according to the product instructions. DNase I (Takara) and an RNA purification kit (</w:t>
      </w:r>
      <w:proofErr w:type="spellStart"/>
      <w:r w:rsidRPr="003C47B3">
        <w:rPr>
          <w:rFonts w:ascii="Calibri" w:hAnsi="Calibri" w:cs="Calibri"/>
          <w:sz w:val="24"/>
        </w:rPr>
        <w:t>Tiangen</w:t>
      </w:r>
      <w:proofErr w:type="spellEnd"/>
      <w:r w:rsidRPr="003C47B3">
        <w:rPr>
          <w:rFonts w:ascii="Calibri" w:hAnsi="Calibri" w:cs="Calibri"/>
          <w:sz w:val="24"/>
        </w:rPr>
        <w:t xml:space="preserve">) were used to eliminate DNA contamination. The purity, concentration and integrity of RNA was assessed by using a </w:t>
      </w:r>
      <w:proofErr w:type="spellStart"/>
      <w:r w:rsidRPr="003C47B3">
        <w:rPr>
          <w:rFonts w:ascii="Calibri" w:hAnsi="Calibri" w:cs="Calibri"/>
          <w:sz w:val="24"/>
        </w:rPr>
        <w:t>NanoPhotometer</w:t>
      </w:r>
      <w:proofErr w:type="spellEnd"/>
      <w:r w:rsidRPr="003C47B3">
        <w:rPr>
          <w:rFonts w:ascii="Calibri" w:hAnsi="Calibri" w:cs="Calibri"/>
          <w:sz w:val="24"/>
        </w:rPr>
        <w:t xml:space="preserve">® spectrophotometer (IMPLEN), a Qubit® RNA Assay Kit with a Qubit® 2.0 </w:t>
      </w:r>
      <w:proofErr w:type="spellStart"/>
      <w:r w:rsidRPr="003C47B3">
        <w:rPr>
          <w:rFonts w:ascii="Calibri" w:hAnsi="Calibri" w:cs="Calibri"/>
          <w:sz w:val="24"/>
        </w:rPr>
        <w:t>Flurometer</w:t>
      </w:r>
      <w:proofErr w:type="spellEnd"/>
      <w:r w:rsidRPr="003C47B3">
        <w:rPr>
          <w:rFonts w:ascii="Calibri" w:hAnsi="Calibri" w:cs="Calibri"/>
          <w:sz w:val="24"/>
        </w:rPr>
        <w:t xml:space="preserve"> (Life Technologies), and an RNA Nano 6000 Assay Kit with the Bioanalyzer 2100 system (Agilent Technologies). Sequencing libraries were generated using an </w:t>
      </w:r>
      <w:proofErr w:type="spellStart"/>
      <w:r w:rsidRPr="003C47B3">
        <w:rPr>
          <w:rFonts w:ascii="Calibri" w:hAnsi="Calibri" w:cs="Calibri"/>
          <w:sz w:val="24"/>
        </w:rPr>
        <w:t>NEBNext</w:t>
      </w:r>
      <w:proofErr w:type="spellEnd"/>
      <w:r w:rsidRPr="003C47B3">
        <w:rPr>
          <w:rFonts w:ascii="Calibri" w:hAnsi="Calibri" w:cs="Calibri"/>
          <w:sz w:val="24"/>
        </w:rPr>
        <w:t xml:space="preserve">® Ultra™ RNA Library Prep Kit for Illumina® (NEB) following the manufacturer’s recommendations. Briefly, mRNA was purified by using poly-T oligo-attached magnetic beads. After fragmentation, the cDNA was synthesized, and </w:t>
      </w:r>
      <w:proofErr w:type="spellStart"/>
      <w:r w:rsidRPr="003C47B3">
        <w:rPr>
          <w:rFonts w:ascii="Calibri" w:hAnsi="Calibri" w:cs="Calibri"/>
          <w:sz w:val="24"/>
        </w:rPr>
        <w:t>NEBNext</w:t>
      </w:r>
      <w:proofErr w:type="spellEnd"/>
      <w:r w:rsidRPr="003C47B3">
        <w:rPr>
          <w:rFonts w:ascii="Calibri" w:hAnsi="Calibri" w:cs="Calibri"/>
          <w:sz w:val="24"/>
        </w:rPr>
        <w:t xml:space="preserve"> Adaptors with </w:t>
      </w:r>
      <w:r w:rsidRPr="003C47B3">
        <w:rPr>
          <w:rFonts w:ascii="Calibri" w:hAnsi="Calibri" w:cs="Calibri"/>
          <w:sz w:val="24"/>
        </w:rPr>
        <w:lastRenderedPageBreak/>
        <w:t>hairpin loop structures were ligated to prepare for hybridization. PCR products were purified (</w:t>
      </w:r>
      <w:proofErr w:type="spellStart"/>
      <w:r w:rsidRPr="003C47B3">
        <w:rPr>
          <w:rFonts w:ascii="Calibri" w:hAnsi="Calibri" w:cs="Calibri"/>
          <w:sz w:val="24"/>
        </w:rPr>
        <w:t>AMPure</w:t>
      </w:r>
      <w:proofErr w:type="spellEnd"/>
      <w:r w:rsidRPr="003C47B3">
        <w:rPr>
          <w:rFonts w:ascii="Calibri" w:hAnsi="Calibri" w:cs="Calibri"/>
          <w:sz w:val="24"/>
        </w:rPr>
        <w:t xml:space="preserve"> XP system), and library quality was assessed on an Agilent Bioanalyzer 2100 system. Finally, eight libraries were successfully constructed.</w:t>
      </w:r>
    </w:p>
    <w:p w14:paraId="4D4A6B5B" w14:textId="77777777" w:rsidR="00DA78F1" w:rsidRPr="003C47B3" w:rsidRDefault="00DA78F1" w:rsidP="00DA78F1">
      <w:pPr>
        <w:rPr>
          <w:rFonts w:ascii="Calibri" w:hAnsi="Calibri" w:cs="Calibri"/>
          <w:b/>
          <w:bCs/>
          <w:sz w:val="24"/>
        </w:rPr>
      </w:pPr>
      <w:r w:rsidRPr="003C47B3">
        <w:rPr>
          <w:rFonts w:ascii="Calibri" w:hAnsi="Calibri" w:cs="Calibri"/>
          <w:b/>
          <w:bCs/>
          <w:sz w:val="24"/>
        </w:rPr>
        <w:t>Transcriptome analysis</w:t>
      </w:r>
    </w:p>
    <w:p w14:paraId="5866CF6E" w14:textId="2AEC5742" w:rsidR="00DA78F1" w:rsidRPr="003C47B3" w:rsidRDefault="00DA78F1" w:rsidP="00DA78F1">
      <w:pPr>
        <w:rPr>
          <w:rFonts w:ascii="Calibri" w:hAnsi="Calibri" w:cs="Calibri"/>
          <w:sz w:val="24"/>
        </w:rPr>
      </w:pPr>
      <w:r w:rsidRPr="003C47B3">
        <w:rPr>
          <w:rFonts w:ascii="Calibri" w:hAnsi="Calibri" w:cs="Calibri"/>
          <w:sz w:val="24"/>
        </w:rPr>
        <w:t xml:space="preserve">The libraries were deep sequenced with the Illumina Hiseq platform. For sequence quality control, clean reads were obtained by removing reads containing adapters, reads containing poly-N homopolymers and other low-quality reads from the raw data. The Q20, Q30, and GC content in the clean reads were calculated to further assess quality. Release-31 version of the wheat reference genome and gene model annotation files were downloaded from the genome website (ftp://ftp.ensemblgenomes.org/pub/plants/release-31/fasta/triticum_aestivum/dna/). An index of the reference genome was then built using Bowtie v2.2.3, and paired-end clean reads were aligned to the reference genome using </w:t>
      </w:r>
      <w:proofErr w:type="spellStart"/>
      <w:r w:rsidRPr="003C47B3">
        <w:rPr>
          <w:rFonts w:ascii="Calibri" w:hAnsi="Calibri" w:cs="Calibri"/>
          <w:sz w:val="24"/>
        </w:rPr>
        <w:t>TopHat</w:t>
      </w:r>
      <w:proofErr w:type="spellEnd"/>
      <w:r w:rsidRPr="003C47B3">
        <w:rPr>
          <w:rFonts w:ascii="Calibri" w:hAnsi="Calibri" w:cs="Calibri"/>
          <w:sz w:val="24"/>
        </w:rPr>
        <w:t xml:space="preserve"> v2.0.12.</w:t>
      </w:r>
    </w:p>
    <w:p w14:paraId="7B30A306" w14:textId="77777777" w:rsidR="00DA78F1" w:rsidRPr="003C47B3" w:rsidRDefault="00DA78F1" w:rsidP="00DA78F1">
      <w:pPr>
        <w:rPr>
          <w:rFonts w:ascii="Calibri" w:hAnsi="Calibri" w:cs="Calibri"/>
          <w:b/>
          <w:bCs/>
          <w:sz w:val="24"/>
        </w:rPr>
      </w:pPr>
      <w:r w:rsidRPr="003C47B3">
        <w:rPr>
          <w:rFonts w:ascii="Calibri" w:hAnsi="Calibri" w:cs="Calibri"/>
          <w:b/>
          <w:bCs/>
          <w:sz w:val="24"/>
        </w:rPr>
        <w:t>Quantification of gene expression levels and DEG analysis</w:t>
      </w:r>
    </w:p>
    <w:p w14:paraId="3A271490" w14:textId="47DC4E2D" w:rsidR="00DA78F1" w:rsidRPr="003C47B3" w:rsidRDefault="00DA78F1" w:rsidP="00DA78F1">
      <w:pPr>
        <w:rPr>
          <w:rFonts w:ascii="Calibri" w:hAnsi="Calibri" w:cs="Calibri"/>
          <w:sz w:val="24"/>
        </w:rPr>
      </w:pPr>
      <w:r w:rsidRPr="003C47B3">
        <w:rPr>
          <w:rFonts w:ascii="Calibri" w:hAnsi="Calibri" w:cs="Calibri"/>
          <w:sz w:val="24"/>
        </w:rPr>
        <w:t xml:space="preserve">The number of reads mapped to each gene were counted using </w:t>
      </w:r>
      <w:proofErr w:type="spellStart"/>
      <w:r w:rsidRPr="003C47B3">
        <w:rPr>
          <w:rFonts w:ascii="Calibri" w:hAnsi="Calibri" w:cs="Calibri"/>
          <w:sz w:val="24"/>
        </w:rPr>
        <w:t>HTSeq</w:t>
      </w:r>
      <w:proofErr w:type="spellEnd"/>
      <w:r w:rsidRPr="003C47B3">
        <w:rPr>
          <w:rFonts w:ascii="Calibri" w:hAnsi="Calibri" w:cs="Calibri"/>
          <w:sz w:val="24"/>
        </w:rPr>
        <w:t xml:space="preserve"> v0.6.1. The expected number of Fragments Per Kilobase of transcript sequence per Millions base pairs sequenced (FPKM) of each gene was then calculated based on the length of the gene and the read count mapped to this gene. FPKM, reflecting both the effect of sequencing depth and gene length for the read count, is a commonly used method for estimating gene expression levels69. DEG analysis was performed using the </w:t>
      </w:r>
      <w:proofErr w:type="spellStart"/>
      <w:r w:rsidRPr="003C47B3">
        <w:rPr>
          <w:rFonts w:ascii="Calibri" w:hAnsi="Calibri" w:cs="Calibri"/>
          <w:sz w:val="24"/>
        </w:rPr>
        <w:t>DESeq</w:t>
      </w:r>
      <w:proofErr w:type="spellEnd"/>
      <w:r w:rsidRPr="003C47B3">
        <w:rPr>
          <w:rFonts w:ascii="Calibri" w:hAnsi="Calibri" w:cs="Calibri"/>
          <w:sz w:val="24"/>
        </w:rPr>
        <w:t xml:space="preserve"> R package (1.18.0). </w:t>
      </w:r>
      <w:proofErr w:type="spellStart"/>
      <w:r w:rsidRPr="003C47B3">
        <w:rPr>
          <w:rFonts w:ascii="Calibri" w:hAnsi="Calibri" w:cs="Calibri"/>
          <w:sz w:val="24"/>
        </w:rPr>
        <w:t>DESeq</w:t>
      </w:r>
      <w:proofErr w:type="spellEnd"/>
      <w:r w:rsidRPr="003C47B3">
        <w:rPr>
          <w:rFonts w:ascii="Calibri" w:hAnsi="Calibri" w:cs="Calibri"/>
          <w:sz w:val="24"/>
        </w:rPr>
        <w:t xml:space="preserve"> provides statistical routines for determining DEGs using a model based on a negative binomial distribution. The resulting P-values were adjusted using the </w:t>
      </w:r>
      <w:proofErr w:type="spellStart"/>
      <w:r w:rsidRPr="003C47B3">
        <w:rPr>
          <w:rFonts w:ascii="Calibri" w:hAnsi="Calibri" w:cs="Calibri"/>
          <w:sz w:val="24"/>
        </w:rPr>
        <w:t>Benjamini</w:t>
      </w:r>
      <w:proofErr w:type="spellEnd"/>
      <w:r w:rsidRPr="003C47B3">
        <w:rPr>
          <w:rFonts w:ascii="Calibri" w:hAnsi="Calibri" w:cs="Calibri"/>
          <w:sz w:val="24"/>
        </w:rPr>
        <w:t xml:space="preserve"> and Hochberg approach for controlling the false discovery rate. Genes with an adjusted P-value determined to be &lt;0.05 (FDR</w:t>
      </w:r>
      <w:r w:rsidRPr="003C47B3">
        <w:rPr>
          <w:rFonts w:ascii="MS Gothic" w:eastAsia="MS Gothic" w:hAnsi="MS Gothic" w:cs="MS Gothic" w:hint="eastAsia"/>
          <w:sz w:val="24"/>
        </w:rPr>
        <w:t> </w:t>
      </w:r>
      <w:r w:rsidRPr="003C47B3">
        <w:rPr>
          <w:rFonts w:ascii="Calibri" w:hAnsi="Calibri" w:cs="Calibri"/>
          <w:sz w:val="24"/>
        </w:rPr>
        <w:t>&lt;</w:t>
      </w:r>
      <w:r w:rsidRPr="003C47B3">
        <w:rPr>
          <w:rFonts w:ascii="MS Gothic" w:eastAsia="MS Gothic" w:hAnsi="MS Gothic" w:cs="MS Gothic" w:hint="eastAsia"/>
          <w:sz w:val="24"/>
        </w:rPr>
        <w:t> </w:t>
      </w:r>
      <w:r w:rsidRPr="003C47B3">
        <w:rPr>
          <w:rFonts w:ascii="Calibri" w:hAnsi="Calibri" w:cs="Calibri"/>
          <w:sz w:val="24"/>
        </w:rPr>
        <w:t xml:space="preserve">0.05) by </w:t>
      </w:r>
      <w:proofErr w:type="spellStart"/>
      <w:r w:rsidRPr="003C47B3">
        <w:rPr>
          <w:rFonts w:ascii="Calibri" w:hAnsi="Calibri" w:cs="Calibri"/>
          <w:sz w:val="24"/>
        </w:rPr>
        <w:t>DESeq</w:t>
      </w:r>
      <w:proofErr w:type="spellEnd"/>
      <w:r w:rsidRPr="003C47B3">
        <w:rPr>
          <w:rFonts w:ascii="Calibri" w:hAnsi="Calibri" w:cs="Calibri"/>
          <w:sz w:val="24"/>
        </w:rPr>
        <w:t xml:space="preserve"> and that had a fold change value </w:t>
      </w:r>
      <w:r w:rsidRPr="003C47B3">
        <w:rPr>
          <w:rFonts w:ascii="Calibri" w:hAnsi="Calibri" w:cs="Calibri" w:hint="eastAsia"/>
          <w:sz w:val="24"/>
        </w:rPr>
        <w:t>≥</w:t>
      </w:r>
      <w:r w:rsidRPr="003C47B3">
        <w:rPr>
          <w:rFonts w:ascii="Calibri" w:hAnsi="Calibri" w:cs="Calibri"/>
          <w:sz w:val="24"/>
        </w:rPr>
        <w:t>2 (|Log2 fold change|</w:t>
      </w:r>
      <w:r w:rsidRPr="003C47B3">
        <w:rPr>
          <w:rFonts w:ascii="MS Gothic" w:eastAsia="MS Gothic" w:hAnsi="MS Gothic" w:cs="MS Gothic" w:hint="eastAsia"/>
          <w:sz w:val="24"/>
        </w:rPr>
        <w:t> </w:t>
      </w:r>
      <w:r w:rsidRPr="003C47B3">
        <w:rPr>
          <w:rFonts w:ascii="Calibri" w:hAnsi="Calibri" w:cs="Calibri" w:hint="eastAsia"/>
          <w:sz w:val="24"/>
        </w:rPr>
        <w:t>≥</w:t>
      </w:r>
      <w:r w:rsidRPr="003C47B3">
        <w:rPr>
          <w:rFonts w:ascii="MS Gothic" w:eastAsia="MS Gothic" w:hAnsi="MS Gothic" w:cs="MS Gothic" w:hint="eastAsia"/>
          <w:sz w:val="24"/>
        </w:rPr>
        <w:t> </w:t>
      </w:r>
      <w:r w:rsidRPr="003C47B3">
        <w:rPr>
          <w:rFonts w:ascii="Calibri" w:hAnsi="Calibri" w:cs="Calibri"/>
          <w:sz w:val="24"/>
        </w:rPr>
        <w:t>1) between two groups were considered to be differentially expressed.</w:t>
      </w:r>
    </w:p>
    <w:p w14:paraId="084CB693" w14:textId="77777777" w:rsidR="00DA78F1" w:rsidRPr="003C47B3" w:rsidRDefault="00DA78F1" w:rsidP="00DA78F1">
      <w:pPr>
        <w:rPr>
          <w:rFonts w:ascii="Calibri" w:hAnsi="Calibri" w:cs="Calibri"/>
          <w:b/>
          <w:bCs/>
          <w:sz w:val="24"/>
        </w:rPr>
      </w:pPr>
      <w:r w:rsidRPr="003C47B3">
        <w:rPr>
          <w:rFonts w:ascii="Calibri" w:hAnsi="Calibri" w:cs="Calibri"/>
          <w:b/>
          <w:bCs/>
          <w:sz w:val="24"/>
        </w:rPr>
        <w:t>GO and KEGG enrichment analysis</w:t>
      </w:r>
    </w:p>
    <w:p w14:paraId="0204EC37" w14:textId="4A112B50" w:rsidR="00DA78F1" w:rsidRPr="003C47B3" w:rsidRDefault="00DA78F1" w:rsidP="00DA78F1">
      <w:pPr>
        <w:rPr>
          <w:rFonts w:ascii="Calibri" w:hAnsi="Calibri" w:cs="Calibri"/>
          <w:sz w:val="24"/>
        </w:rPr>
      </w:pPr>
      <w:r w:rsidRPr="003C47B3">
        <w:rPr>
          <w:rFonts w:ascii="Calibri" w:hAnsi="Calibri" w:cs="Calibri"/>
          <w:sz w:val="24"/>
        </w:rPr>
        <w:t xml:space="preserve">For gene ontology (GO) mapping, the GO terms of DEGs associated with homologies (GO; </w:t>
      </w:r>
      <w:hyperlink r:id="rId6" w:history="1">
        <w:r w:rsidRPr="003C47B3">
          <w:rPr>
            <w:rFonts w:ascii="Calibri" w:hAnsi="Calibri" w:cs="Calibri"/>
            <w:sz w:val="24"/>
          </w:rPr>
          <w:t>http://www.geneontology.org</w:t>
        </w:r>
      </w:hyperlink>
      <w:r w:rsidRPr="003C47B3">
        <w:rPr>
          <w:rFonts w:ascii="Calibri" w:hAnsi="Calibri" w:cs="Calibri"/>
          <w:sz w:val="24"/>
        </w:rPr>
        <w:t xml:space="preserve">) were extracted. GO enrichment analysis of DEGs </w:t>
      </w:r>
      <w:r w:rsidRPr="003C47B3">
        <w:rPr>
          <w:rFonts w:ascii="Calibri" w:hAnsi="Calibri" w:cs="Calibri"/>
          <w:sz w:val="24"/>
        </w:rPr>
        <w:lastRenderedPageBreak/>
        <w:t>was implemented using the GOseq R package, in which gene length bias was corrected. GO terms with corrected P values less than 0.05 were considered to be significantly enriched. REVIGO was used for analysis of the enriched GO terms (</w:t>
      </w:r>
      <w:hyperlink r:id="rId7" w:history="1">
        <w:r w:rsidRPr="003C47B3">
          <w:rPr>
            <w:rFonts w:ascii="Calibri" w:hAnsi="Calibri" w:cs="Calibri"/>
            <w:sz w:val="24"/>
          </w:rPr>
          <w:t>http://revigo.irb.hr/</w:t>
        </w:r>
      </w:hyperlink>
      <w:r w:rsidRPr="003C47B3">
        <w:rPr>
          <w:rFonts w:ascii="Calibri" w:hAnsi="Calibri" w:cs="Calibri"/>
          <w:sz w:val="24"/>
        </w:rPr>
        <w:t>); this program removes redundant GO terms and attempts to reflect the similarity of given terms by semantic space</w:t>
      </w:r>
      <w:hyperlink r:id="rId8" w:anchor="ref-CR34" w:tooltip="Svenja Fengler, I. S., Neef, M., Ecke, M. &amp; Nieselt, K. Rüdiger Hampp. A whole-genome microarray study of Arabidopsis thaliana semisolid callus cultures exposed to microgravity and nonmicrogravity related spaceflight conditions for 5 days on board of Shenzhou " w:history="1">
        <w:r w:rsidRPr="003C47B3">
          <w:rPr>
            <w:rFonts w:ascii="Calibri" w:hAnsi="Calibri" w:cs="Calibri"/>
            <w:sz w:val="24"/>
          </w:rPr>
          <w:t>34</w:t>
        </w:r>
      </w:hyperlink>
      <w:r w:rsidRPr="003C47B3">
        <w:rPr>
          <w:rFonts w:ascii="Calibri" w:hAnsi="Calibri" w:cs="Calibri"/>
          <w:sz w:val="24"/>
        </w:rPr>
        <w:t>. The ten biological process categories GO terms with the lowest p values for enrichment in both the up- or down-regulated genes in the S_st1 vs S_WT comparisons were analyzed by REVIGO. KEGG pathways for the DEGs were retrieved (</w:t>
      </w:r>
      <w:hyperlink r:id="rId9" w:history="1">
        <w:r w:rsidRPr="003C47B3">
          <w:rPr>
            <w:rFonts w:ascii="Calibri" w:hAnsi="Calibri" w:cs="Calibri"/>
            <w:sz w:val="24"/>
          </w:rPr>
          <w:t>http://www.genome.jp/kegg/</w:t>
        </w:r>
      </w:hyperlink>
      <w:r w:rsidRPr="003C47B3">
        <w:rPr>
          <w:rFonts w:ascii="Calibri" w:hAnsi="Calibri" w:cs="Calibri"/>
          <w:sz w:val="24"/>
        </w:rPr>
        <w:t>), and KOBAS software was used to test the statistical significance of the enrichment of DEGs in KEGG pathways.</w:t>
      </w:r>
    </w:p>
    <w:p w14:paraId="69AFEDF6" w14:textId="77777777" w:rsidR="006A6495" w:rsidRPr="003C47B3" w:rsidRDefault="006A6495" w:rsidP="006A6495">
      <w:pPr>
        <w:rPr>
          <w:rFonts w:ascii="Calibri" w:hAnsi="Calibri" w:cs="Calibri"/>
          <w:b/>
          <w:bCs/>
          <w:sz w:val="24"/>
        </w:rPr>
      </w:pPr>
      <w:r w:rsidRPr="003C47B3">
        <w:rPr>
          <w:rFonts w:ascii="Calibri" w:hAnsi="Calibri" w:cs="Calibri"/>
          <w:b/>
          <w:bCs/>
          <w:sz w:val="24"/>
        </w:rPr>
        <w:t>Western blotting analysis</w:t>
      </w:r>
    </w:p>
    <w:p w14:paraId="1D48D980" w14:textId="77777777" w:rsidR="006A6495" w:rsidRPr="003C47B3" w:rsidRDefault="006A6495" w:rsidP="006A6495">
      <w:pPr>
        <w:rPr>
          <w:rFonts w:ascii="Calibri" w:hAnsi="Calibri" w:cs="Calibri"/>
          <w:sz w:val="24"/>
        </w:rPr>
      </w:pPr>
      <w:r w:rsidRPr="003C47B3">
        <w:rPr>
          <w:rFonts w:ascii="Calibri" w:hAnsi="Calibri" w:cs="Calibri"/>
          <w:sz w:val="24"/>
        </w:rPr>
        <w:t>Proteins were extracted from the harvested cells. Protein</w:t>
      </w:r>
      <w:r w:rsidRPr="003C47B3">
        <w:rPr>
          <w:rFonts w:ascii="Calibri" w:hAnsi="Calibri" w:cs="Calibri" w:hint="eastAsia"/>
          <w:sz w:val="24"/>
        </w:rPr>
        <w:t xml:space="preserve"> </w:t>
      </w:r>
      <w:r w:rsidRPr="003C47B3">
        <w:rPr>
          <w:rFonts w:ascii="Calibri" w:hAnsi="Calibri" w:cs="Calibri"/>
          <w:sz w:val="24"/>
        </w:rPr>
        <w:t xml:space="preserve">samples (30 mg) were fractionated by SDS-PAGE and transferred to a nitrocellulose membrane. Immunoblotting was performed using antibodies against YAP, p-YAP, Mst1, Mst2(Cell Signaling Technology). The results were analyzed by a chemiluminescent analyzer system (Fusion SL-4 3500, Viber </w:t>
      </w:r>
      <w:proofErr w:type="spellStart"/>
      <w:r w:rsidRPr="003C47B3">
        <w:rPr>
          <w:rFonts w:ascii="Calibri" w:hAnsi="Calibri" w:cs="Calibri"/>
          <w:sz w:val="24"/>
        </w:rPr>
        <w:t>Lourmat</w:t>
      </w:r>
      <w:proofErr w:type="spellEnd"/>
      <w:r w:rsidRPr="003C47B3">
        <w:rPr>
          <w:rFonts w:ascii="Calibri" w:hAnsi="Calibri" w:cs="Calibri"/>
          <w:sz w:val="24"/>
        </w:rPr>
        <w:t>).</w:t>
      </w:r>
    </w:p>
    <w:p w14:paraId="7C975F6F" w14:textId="524B345A" w:rsidR="007965F9" w:rsidRDefault="007965F9"/>
    <w:p w14:paraId="2A2434D7" w14:textId="3AE1C00A" w:rsidR="000F16E2" w:rsidRDefault="000F16E2">
      <w:r w:rsidRPr="000F16E2">
        <w:rPr>
          <w:rFonts w:ascii="Calibri" w:hAnsi="Calibri" w:cs="Calibri" w:hint="eastAsia"/>
          <w:b/>
          <w:bCs/>
          <w:sz w:val="24"/>
        </w:rPr>
        <w:t>R</w:t>
      </w:r>
      <w:r w:rsidRPr="000F16E2">
        <w:rPr>
          <w:rFonts w:ascii="Calibri" w:hAnsi="Calibri" w:cs="Calibri"/>
          <w:b/>
          <w:bCs/>
          <w:sz w:val="24"/>
        </w:rPr>
        <w:t>eference</w:t>
      </w:r>
      <w:r>
        <w:t>:</w:t>
      </w:r>
    </w:p>
    <w:p w14:paraId="0191197A" w14:textId="0E6195B3" w:rsidR="000F16E2" w:rsidRPr="006A6495" w:rsidRDefault="000F16E2">
      <w:r>
        <w:rPr>
          <w:rFonts w:hint="eastAsia"/>
        </w:rPr>
        <w:t>1</w:t>
      </w:r>
      <w:r>
        <w:t>.</w:t>
      </w:r>
      <w:r w:rsidRPr="000F16E2">
        <w:t xml:space="preserve"> </w:t>
      </w:r>
      <w:r w:rsidRPr="00C74E4B">
        <w:t xml:space="preserve">K. </w:t>
      </w:r>
      <w:proofErr w:type="spellStart"/>
      <w:r w:rsidRPr="00C74E4B">
        <w:t>Kyrylkova</w:t>
      </w:r>
      <w:proofErr w:type="spellEnd"/>
      <w:r w:rsidRPr="00C74E4B">
        <w:t xml:space="preserve">, S. </w:t>
      </w:r>
      <w:proofErr w:type="spellStart"/>
      <w:r w:rsidRPr="00C74E4B">
        <w:t>Kyryachenko</w:t>
      </w:r>
      <w:proofErr w:type="spellEnd"/>
      <w:r w:rsidRPr="00C74E4B">
        <w:t xml:space="preserve">, M. </w:t>
      </w:r>
      <w:proofErr w:type="spellStart"/>
      <w:r w:rsidRPr="00C74E4B">
        <w:t>Leid</w:t>
      </w:r>
      <w:proofErr w:type="spellEnd"/>
      <w:r w:rsidRPr="00C74E4B">
        <w:t xml:space="preserve">, C. </w:t>
      </w:r>
      <w:proofErr w:type="spellStart"/>
      <w:r w:rsidRPr="00C74E4B">
        <w:t>Kioussi</w:t>
      </w:r>
      <w:proofErr w:type="spellEnd"/>
      <w:r w:rsidRPr="00C74E4B">
        <w:t>, Detection of apoptosis by TUNEL assay, Methods in molecular biology (Clifton, N.J.), 887 (2012) 41-47.</w:t>
      </w:r>
    </w:p>
    <w:sectPr w:rsidR="000F16E2" w:rsidRPr="006A64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9033B0" w14:textId="77777777" w:rsidR="00D17651" w:rsidRDefault="00D17651" w:rsidP="00DA78F1">
      <w:pPr>
        <w:spacing w:line="240" w:lineRule="auto"/>
      </w:pPr>
      <w:r>
        <w:separator/>
      </w:r>
    </w:p>
  </w:endnote>
  <w:endnote w:type="continuationSeparator" w:id="0">
    <w:p w14:paraId="1E775BB1" w14:textId="77777777" w:rsidR="00D17651" w:rsidRDefault="00D17651" w:rsidP="00DA78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FFE69" w14:textId="77777777" w:rsidR="00D17651" w:rsidRDefault="00D17651" w:rsidP="00DA78F1">
      <w:pPr>
        <w:spacing w:line="240" w:lineRule="auto"/>
      </w:pPr>
      <w:r>
        <w:separator/>
      </w:r>
    </w:p>
  </w:footnote>
  <w:footnote w:type="continuationSeparator" w:id="0">
    <w:p w14:paraId="5DC39C75" w14:textId="77777777" w:rsidR="00D17651" w:rsidRDefault="00D17651" w:rsidP="00DA78F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1E1"/>
    <w:rsid w:val="000F16E2"/>
    <w:rsid w:val="00165952"/>
    <w:rsid w:val="00297031"/>
    <w:rsid w:val="003451E1"/>
    <w:rsid w:val="003D642B"/>
    <w:rsid w:val="006A6495"/>
    <w:rsid w:val="007965F9"/>
    <w:rsid w:val="00A119DE"/>
    <w:rsid w:val="00A317FD"/>
    <w:rsid w:val="00D17651"/>
    <w:rsid w:val="00DA78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DEB3F"/>
  <w15:chartTrackingRefBased/>
  <w15:docId w15:val="{B2A0EB73-B2F8-48E3-994F-F3C5CD7E8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78F1"/>
    <w:pPr>
      <w:widowControl w:val="0"/>
      <w:spacing w:line="360"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78F1"/>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A78F1"/>
    <w:rPr>
      <w:sz w:val="18"/>
      <w:szCs w:val="18"/>
    </w:rPr>
  </w:style>
  <w:style w:type="paragraph" w:styleId="a5">
    <w:name w:val="footer"/>
    <w:basedOn w:val="a"/>
    <w:link w:val="a6"/>
    <w:uiPriority w:val="99"/>
    <w:unhideWhenUsed/>
    <w:rsid w:val="00DA78F1"/>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A78F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ure.com/articles/s41598-017-03024-0" TargetMode="External"/><Relationship Id="rId3" Type="http://schemas.openxmlformats.org/officeDocument/2006/relationships/webSettings" Target="webSettings.xml"/><Relationship Id="rId7" Type="http://schemas.openxmlformats.org/officeDocument/2006/relationships/hyperlink" Target="http://revigo.irb.h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neontology.or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genome.jp/keg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1798</Words>
  <Characters>10254</Characters>
  <Application>Microsoft Office Word</Application>
  <DocSecurity>0</DocSecurity>
  <Lines>85</Lines>
  <Paragraphs>24</Paragraphs>
  <ScaleCrop>false</ScaleCrop>
  <Company/>
  <LinksUpToDate>false</LinksUpToDate>
  <CharactersWithSpaces>12028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东</dc:creator>
  <cp:keywords/>
  <dc:description/>
  <cp:lastModifiedBy>赵 东</cp:lastModifiedBy>
  <cp:revision>6</cp:revision>
  <dcterms:created xsi:type="dcterms:W3CDTF">2020-01-29T13:29:00Z</dcterms:created>
  <dcterms:modified xsi:type="dcterms:W3CDTF">2020-02-27T16:15:00Z</dcterms:modified>
</cp:coreProperties>
</file>