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937B6" w14:textId="77777777" w:rsidR="00F511C7" w:rsidRPr="008B6655" w:rsidRDefault="00F511C7" w:rsidP="00F511C7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 xml:space="preserve">Supplemental items </w:t>
      </w:r>
    </w:p>
    <w:p w14:paraId="1648206E" w14:textId="77777777" w:rsidR="00520070" w:rsidRPr="008B6655" w:rsidRDefault="00F511C7" w:rsidP="00F511C7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>Supplementary Figure 1</w:t>
      </w:r>
      <w:r w:rsidR="00520070" w:rsidRPr="008B6655">
        <w:rPr>
          <w:b/>
          <w:bCs/>
        </w:rPr>
        <w:t xml:space="preserve"> </w:t>
      </w:r>
    </w:p>
    <w:p w14:paraId="2DF8ABF3" w14:textId="3293344B" w:rsidR="00BB27BE" w:rsidRPr="008B6655" w:rsidRDefault="00736592" w:rsidP="00F511C7">
      <w:pPr>
        <w:spacing w:after="0" w:line="480" w:lineRule="auto"/>
        <w:jc w:val="both"/>
        <w:rPr>
          <w:color w:val="000000" w:themeColor="text1"/>
        </w:rPr>
      </w:pPr>
      <w:r w:rsidRPr="008B6655">
        <w:t>NAMPT is a prognostic factor and a potential therapeutic target against 3D-spheroids with cancer stemness features</w:t>
      </w:r>
      <w:r w:rsidR="00F511C7" w:rsidRPr="008B6655">
        <w:t>,</w:t>
      </w:r>
      <w:r w:rsidR="00AC2AA8" w:rsidRPr="008B6655">
        <w:t xml:space="preserve"> as </w:t>
      </w:r>
      <w:r w:rsidR="00F511C7" w:rsidRPr="008B6655">
        <w:t>related to Figure</w:t>
      </w:r>
      <w:r w:rsidR="00520070" w:rsidRPr="008B6655">
        <w:t xml:space="preserve"> 1</w:t>
      </w:r>
      <w:r w:rsidR="00F511C7" w:rsidRPr="008B6655">
        <w:t>.</w:t>
      </w:r>
    </w:p>
    <w:p w14:paraId="0882587D" w14:textId="2A421956" w:rsidR="00520070" w:rsidRPr="008B6655" w:rsidRDefault="00F511C7" w:rsidP="00520070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>Supplementary Figure 2</w:t>
      </w:r>
    </w:p>
    <w:p w14:paraId="010C5385" w14:textId="4C4F8111" w:rsidR="00837A98" w:rsidRPr="008B6655" w:rsidRDefault="009565FE" w:rsidP="00000647">
      <w:pPr>
        <w:spacing w:after="0" w:line="480" w:lineRule="auto"/>
        <w:jc w:val="both"/>
      </w:pPr>
      <w:r w:rsidRPr="008B6655">
        <w:t>3D-spheroids oxidize glucose via the TCA cycle for elevated ATP production</w:t>
      </w:r>
      <w:r w:rsidR="00837A98" w:rsidRPr="008B6655">
        <w:t xml:space="preserve">, related to Figures </w:t>
      </w:r>
      <w:r w:rsidR="00032621" w:rsidRPr="008B6655">
        <w:t>2</w:t>
      </w:r>
      <w:r w:rsidR="00837A98" w:rsidRPr="008B6655">
        <w:t>.</w:t>
      </w:r>
    </w:p>
    <w:p w14:paraId="3D96AED0" w14:textId="77777777" w:rsidR="005B32BA" w:rsidRPr="008B6655" w:rsidRDefault="005B32BA" w:rsidP="005B32BA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</w:rPr>
        <w:t>Supplementary Figure 3</w:t>
      </w:r>
    </w:p>
    <w:p w14:paraId="58BD443E" w14:textId="62F53A0B" w:rsidR="005B32BA" w:rsidRPr="008B6655" w:rsidRDefault="00D20AE0" w:rsidP="00D20AE0">
      <w:pPr>
        <w:spacing w:after="0" w:line="480" w:lineRule="auto"/>
        <w:jc w:val="both"/>
        <w:rPr>
          <w:color w:val="000000" w:themeColor="text1"/>
        </w:rPr>
      </w:pPr>
      <w:r w:rsidRPr="008B6655">
        <w:rPr>
          <w:color w:val="000000" w:themeColor="text1"/>
        </w:rPr>
        <w:t>3D-spheroids e</w:t>
      </w:r>
      <w:r w:rsidR="00AC2AA8" w:rsidRPr="008B6655">
        <w:rPr>
          <w:color w:val="000000" w:themeColor="text1"/>
        </w:rPr>
        <w:t>nhance</w:t>
      </w:r>
      <w:r w:rsidRPr="008B6655">
        <w:rPr>
          <w:color w:val="000000" w:themeColor="text1"/>
        </w:rPr>
        <w:t xml:space="preserve"> the activity of the PC-mediated anaplerotic TCA cycle and </w:t>
      </w:r>
      <w:r w:rsidRPr="008B6655">
        <w:rPr>
          <w:i/>
          <w:iCs/>
          <w:color w:val="000000" w:themeColor="text1"/>
        </w:rPr>
        <w:t>de novo</w:t>
      </w:r>
      <w:r w:rsidRPr="008B6655">
        <w:rPr>
          <w:color w:val="000000" w:themeColor="text1"/>
        </w:rPr>
        <w:t xml:space="preserve"> pyrimidine synthesis, </w:t>
      </w:r>
      <w:r w:rsidR="00AC2AA8" w:rsidRPr="008B6655">
        <w:rPr>
          <w:color w:val="000000" w:themeColor="text1"/>
        </w:rPr>
        <w:t xml:space="preserve">as </w:t>
      </w:r>
      <w:r w:rsidR="005B32BA" w:rsidRPr="008B6655">
        <w:rPr>
          <w:color w:val="000000" w:themeColor="text1"/>
        </w:rPr>
        <w:t xml:space="preserve">related to Figure </w:t>
      </w:r>
      <w:r w:rsidRPr="008B6655">
        <w:rPr>
          <w:color w:val="000000" w:themeColor="text1"/>
        </w:rPr>
        <w:t xml:space="preserve">2 and </w:t>
      </w:r>
      <w:r w:rsidR="005B32BA" w:rsidRPr="008B6655">
        <w:rPr>
          <w:color w:val="000000" w:themeColor="text1"/>
        </w:rPr>
        <w:t>3.</w:t>
      </w:r>
    </w:p>
    <w:p w14:paraId="1277A3E1" w14:textId="13794432" w:rsidR="00153DE4" w:rsidRPr="008B6655" w:rsidRDefault="00153DE4" w:rsidP="00153DE4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 xml:space="preserve">Supplementary Figure </w:t>
      </w:r>
      <w:r w:rsidR="00B86D46" w:rsidRPr="008B6655">
        <w:rPr>
          <w:b/>
          <w:bCs/>
        </w:rPr>
        <w:t>4</w:t>
      </w:r>
    </w:p>
    <w:p w14:paraId="7874BC7A" w14:textId="63C246A2" w:rsidR="00F511C7" w:rsidRPr="008B6655" w:rsidRDefault="009565FE" w:rsidP="00F511C7">
      <w:pPr>
        <w:spacing w:after="0" w:line="480" w:lineRule="auto"/>
        <w:jc w:val="both"/>
        <w:rPr>
          <w:color w:val="000000" w:themeColor="text1"/>
        </w:rPr>
      </w:pPr>
      <w:r w:rsidRPr="008B6655">
        <w:t>NAMPT inhibitors are a potential strategy against NAMPT-dependent OV</w:t>
      </w:r>
      <w:r w:rsidR="00837A98" w:rsidRPr="008B6655">
        <w:rPr>
          <w:color w:val="000000" w:themeColor="text1"/>
        </w:rPr>
        <w:t>,</w:t>
      </w:r>
      <w:r w:rsidR="00520070" w:rsidRPr="008B6655">
        <w:t xml:space="preserve"> </w:t>
      </w:r>
      <w:r w:rsidR="00AC2AA8" w:rsidRPr="008B6655">
        <w:t xml:space="preserve">as </w:t>
      </w:r>
      <w:r w:rsidR="00520070" w:rsidRPr="008B6655">
        <w:t xml:space="preserve">related to Figure </w:t>
      </w:r>
      <w:r w:rsidR="00032621" w:rsidRPr="008B6655">
        <w:t>4</w:t>
      </w:r>
      <w:r w:rsidR="00520070" w:rsidRPr="008B6655">
        <w:t>.</w:t>
      </w:r>
    </w:p>
    <w:p w14:paraId="27B32619" w14:textId="761EB112" w:rsidR="00F511C7" w:rsidRPr="008B6655" w:rsidRDefault="00F511C7" w:rsidP="00F511C7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 xml:space="preserve">Supplementary Figure </w:t>
      </w:r>
      <w:r w:rsidR="00B86D46" w:rsidRPr="008B6655">
        <w:rPr>
          <w:b/>
          <w:bCs/>
        </w:rPr>
        <w:t>5</w:t>
      </w:r>
    </w:p>
    <w:p w14:paraId="01826FAC" w14:textId="1EC80614" w:rsidR="00520070" w:rsidRPr="008B6655" w:rsidRDefault="009565FE" w:rsidP="00520070">
      <w:pPr>
        <w:spacing w:after="0" w:line="480" w:lineRule="auto"/>
        <w:jc w:val="both"/>
      </w:pPr>
      <w:r w:rsidRPr="008B6655">
        <w:rPr>
          <w:color w:val="000000" w:themeColor="text1"/>
        </w:rPr>
        <w:t>The combination of NAMPT inhibitors and disulfiram inhibits cell viability</w:t>
      </w:r>
      <w:r w:rsidR="00837A98" w:rsidRPr="008B6655">
        <w:rPr>
          <w:color w:val="000000" w:themeColor="text1"/>
        </w:rPr>
        <w:t xml:space="preserve">, </w:t>
      </w:r>
      <w:r w:rsidR="00AC2AA8" w:rsidRPr="008B6655">
        <w:rPr>
          <w:color w:val="000000" w:themeColor="text1"/>
        </w:rPr>
        <w:t xml:space="preserve">as </w:t>
      </w:r>
      <w:r w:rsidR="00520070" w:rsidRPr="008B6655">
        <w:t xml:space="preserve">related to Figure </w:t>
      </w:r>
      <w:r w:rsidR="00032621" w:rsidRPr="008B6655">
        <w:t>5</w:t>
      </w:r>
      <w:r w:rsidR="00520070" w:rsidRPr="008B6655">
        <w:t>.</w:t>
      </w:r>
    </w:p>
    <w:p w14:paraId="3A4F2AE8" w14:textId="7DEAF009" w:rsidR="00F511C7" w:rsidRPr="008B6655" w:rsidRDefault="00F511C7" w:rsidP="00F511C7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  <w:color w:val="000000" w:themeColor="text1"/>
        </w:rPr>
        <w:t xml:space="preserve">Supplementary Figure </w:t>
      </w:r>
      <w:r w:rsidR="00B86D46" w:rsidRPr="008B6655">
        <w:rPr>
          <w:b/>
          <w:bCs/>
          <w:color w:val="000000" w:themeColor="text1"/>
        </w:rPr>
        <w:t>6</w:t>
      </w:r>
    </w:p>
    <w:p w14:paraId="4CA389F2" w14:textId="6DD7DC58" w:rsidR="00520070" w:rsidRPr="008B6655" w:rsidRDefault="00A8541B" w:rsidP="00520070">
      <w:pPr>
        <w:spacing w:after="0" w:line="480" w:lineRule="auto"/>
        <w:jc w:val="both"/>
      </w:pPr>
      <w:r w:rsidRPr="008B6655">
        <w:rPr>
          <w:color w:val="000000" w:themeColor="text1"/>
        </w:rPr>
        <w:t xml:space="preserve">Disulfiram </w:t>
      </w:r>
      <w:r w:rsidR="00956990" w:rsidRPr="008B6655">
        <w:rPr>
          <w:color w:val="000000" w:themeColor="text1"/>
        </w:rPr>
        <w:t xml:space="preserve">and combinatorial treatment </w:t>
      </w:r>
      <w:r w:rsidRPr="008B6655">
        <w:rPr>
          <w:color w:val="000000" w:themeColor="text1"/>
        </w:rPr>
        <w:t xml:space="preserve">suppresses </w:t>
      </w:r>
      <w:r w:rsidR="00956990" w:rsidRPr="008B6655">
        <w:rPr>
          <w:color w:val="000000" w:themeColor="text1"/>
        </w:rPr>
        <w:t xml:space="preserve">glucose oxidation and </w:t>
      </w:r>
      <w:r w:rsidR="00B86D46" w:rsidRPr="008B6655">
        <w:rPr>
          <w:color w:val="000000" w:themeColor="text1"/>
        </w:rPr>
        <w:t xml:space="preserve">the </w:t>
      </w:r>
      <w:r w:rsidR="00956990" w:rsidRPr="008B6655">
        <w:rPr>
          <w:color w:val="000000" w:themeColor="text1"/>
        </w:rPr>
        <w:t>anaplerotic TCA cycle</w:t>
      </w:r>
      <w:r w:rsidR="00520070" w:rsidRPr="008B6655">
        <w:rPr>
          <w:color w:val="000000" w:themeColor="text1"/>
        </w:rPr>
        <w:t xml:space="preserve">, </w:t>
      </w:r>
      <w:r w:rsidR="00AC2AA8" w:rsidRPr="008B6655">
        <w:rPr>
          <w:color w:val="000000" w:themeColor="text1"/>
        </w:rPr>
        <w:t xml:space="preserve">as </w:t>
      </w:r>
      <w:r w:rsidR="00520070" w:rsidRPr="008B6655">
        <w:t>related to Figure 6.</w:t>
      </w:r>
    </w:p>
    <w:p w14:paraId="7F31879C" w14:textId="444B0F2C" w:rsidR="00F511C7" w:rsidRPr="008B6655" w:rsidRDefault="00F511C7" w:rsidP="00F511C7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 xml:space="preserve">Supplementary Figure </w:t>
      </w:r>
      <w:r w:rsidR="00B86D46" w:rsidRPr="008B6655">
        <w:rPr>
          <w:b/>
          <w:bCs/>
        </w:rPr>
        <w:t>7</w:t>
      </w:r>
    </w:p>
    <w:p w14:paraId="10A71030" w14:textId="626C0414" w:rsidR="00520070" w:rsidRPr="008B6655" w:rsidRDefault="009565FE" w:rsidP="00520070">
      <w:pPr>
        <w:spacing w:after="0" w:line="480" w:lineRule="auto"/>
        <w:jc w:val="both"/>
      </w:pPr>
      <w:r w:rsidRPr="008B6655">
        <w:rPr>
          <w:color w:val="000000" w:themeColor="text1"/>
        </w:rPr>
        <w:t>Combinatorial treatment induces a synergistic anti-tumor effect by suppressing mitochondrial function</w:t>
      </w:r>
      <w:r w:rsidR="00520070" w:rsidRPr="008B6655">
        <w:t xml:space="preserve">, </w:t>
      </w:r>
      <w:r w:rsidR="00AC2AA8" w:rsidRPr="008B6655">
        <w:t xml:space="preserve">as </w:t>
      </w:r>
      <w:r w:rsidR="00520070" w:rsidRPr="008B6655">
        <w:t xml:space="preserve">related to Figure </w:t>
      </w:r>
      <w:r w:rsidR="00BA753A" w:rsidRPr="008B6655">
        <w:t>7</w:t>
      </w:r>
      <w:r w:rsidR="00520070" w:rsidRPr="008B6655">
        <w:t>.</w:t>
      </w:r>
    </w:p>
    <w:p w14:paraId="6EAB2D26" w14:textId="1F160290" w:rsidR="00485B54" w:rsidRPr="008B6655" w:rsidRDefault="00485B54" w:rsidP="00485B54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t>Supplementary Figure 8</w:t>
      </w:r>
    </w:p>
    <w:p w14:paraId="0073BC70" w14:textId="721D4AE6" w:rsidR="00296E97" w:rsidRPr="008B6655" w:rsidRDefault="009565FE" w:rsidP="00520070">
      <w:pPr>
        <w:spacing w:after="0" w:line="480" w:lineRule="auto"/>
        <w:jc w:val="both"/>
      </w:pPr>
      <w:r w:rsidRPr="008B6655">
        <w:rPr>
          <w:color w:val="000000" w:themeColor="text1"/>
        </w:rPr>
        <w:t xml:space="preserve">Combinatorial treatment significantly inhibits tumor growth and extends the survival </w:t>
      </w:r>
      <w:r w:rsidRPr="008B6655">
        <w:rPr>
          <w:i/>
          <w:iCs/>
          <w:color w:val="000000" w:themeColor="text1"/>
        </w:rPr>
        <w:t>in vivo</w:t>
      </w:r>
      <w:r w:rsidR="00485B54" w:rsidRPr="008B6655">
        <w:t>, as related to Figure 8.</w:t>
      </w:r>
    </w:p>
    <w:p w14:paraId="290B2E7F" w14:textId="5D0DCE56" w:rsidR="00F511C7" w:rsidRPr="008B6655" w:rsidRDefault="00F511C7" w:rsidP="00F511C7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lastRenderedPageBreak/>
        <w:t xml:space="preserve">Supplementary </w:t>
      </w:r>
      <w:r w:rsidR="00666AC8" w:rsidRPr="008B6655">
        <w:rPr>
          <w:b/>
          <w:bCs/>
        </w:rPr>
        <w:t>F</w:t>
      </w:r>
      <w:r w:rsidRPr="008B6655">
        <w:rPr>
          <w:b/>
          <w:bCs/>
        </w:rPr>
        <w:t>igure legends</w:t>
      </w:r>
    </w:p>
    <w:p w14:paraId="285731FB" w14:textId="2D64FA06" w:rsidR="002B31B5" w:rsidRPr="008B6655" w:rsidRDefault="002B31B5" w:rsidP="002B31B5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Pr="008B6655">
        <w:rPr>
          <w:b/>
          <w:bCs/>
          <w:color w:val="000000" w:themeColor="text1"/>
        </w:rPr>
        <w:t xml:space="preserve">1. </w:t>
      </w:r>
      <w:r w:rsidR="000201B2" w:rsidRPr="008B6655">
        <w:rPr>
          <w:b/>
          <w:bCs/>
        </w:rPr>
        <w:t>NAMPT is a prognostic factor and a potential therapeutic target against 3D-spheroids with cancer stemness features</w:t>
      </w:r>
    </w:p>
    <w:p w14:paraId="3425382F" w14:textId="6C909879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 xml:space="preserve">(A) </w:t>
      </w:r>
      <w:r w:rsidRPr="008B6655">
        <w:t>Schematic illustrating the process of obtaining 2D- and 3D-cultured cells.</w:t>
      </w:r>
    </w:p>
    <w:p w14:paraId="12E9404A" w14:textId="77777777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(B)</w:t>
      </w:r>
      <w:r w:rsidRPr="008B6655">
        <w:t xml:space="preserve"> Schematic representation of the NAD</w:t>
      </w:r>
      <w:r w:rsidRPr="008B6655">
        <w:rPr>
          <w:vertAlign w:val="superscript"/>
        </w:rPr>
        <w:t>+</w:t>
      </w:r>
      <w:r w:rsidRPr="008B6655">
        <w:t xml:space="preserve"> production pathway.</w:t>
      </w:r>
    </w:p>
    <w:p w14:paraId="195408DD" w14:textId="585A9399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(C)</w:t>
      </w:r>
      <w:r w:rsidRPr="008B6655">
        <w:t xml:space="preserve"> Kaplan-Meier curves depicting the overall survival of </w:t>
      </w:r>
      <w:r w:rsidR="008D23E3" w:rsidRPr="008B6655">
        <w:t>OV</w:t>
      </w:r>
      <w:r w:rsidRPr="008B6655">
        <w:t xml:space="preserve"> patients with either low (blue) or high (red) levels of NAPRT, QPRT, and NADSYN1 proteins, based on TCGA data.</w:t>
      </w:r>
    </w:p>
    <w:p w14:paraId="47E4BFAE" w14:textId="348BD68A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(D)</w:t>
      </w:r>
      <w:r w:rsidRPr="008B6655">
        <w:t xml:space="preserve"> Correlation</w:t>
      </w:r>
      <w:r w:rsidR="004A394A" w:rsidRPr="008B6655">
        <w:t xml:space="preserve"> analysis</w:t>
      </w:r>
      <w:r w:rsidRPr="008B6655">
        <w:t xml:space="preserve"> between the gene expressions of NAPRT, QPRT, and NADSYN1 (Public 23Q2) and levels of </w:t>
      </w:r>
      <w:r w:rsidR="004A394A" w:rsidRPr="008B6655">
        <w:t xml:space="preserve">total </w:t>
      </w:r>
      <w:r w:rsidRPr="008B6655">
        <w:t xml:space="preserve">NAD in </w:t>
      </w:r>
      <w:r w:rsidR="004A394A" w:rsidRPr="008B6655">
        <w:t>OV</w:t>
      </w:r>
      <w:r w:rsidRPr="008B6655">
        <w:t xml:space="preserve"> or fallopian cancer cell lines, </w:t>
      </w:r>
      <w:r w:rsidR="004A394A" w:rsidRPr="008B6655">
        <w:t xml:space="preserve">based on data </w:t>
      </w:r>
      <w:r w:rsidRPr="008B6655">
        <w:t>from the DepMap portal.</w:t>
      </w:r>
    </w:p>
    <w:p w14:paraId="2D9A554C" w14:textId="5FB4135F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 xml:space="preserve">(E) </w:t>
      </w:r>
      <w:r w:rsidRPr="008B6655">
        <w:t>Immunoblotting to evaluate the silencing of enzymes involved in NAD</w:t>
      </w:r>
      <w:r w:rsidRPr="008B6655">
        <w:rPr>
          <w:vertAlign w:val="superscript"/>
        </w:rPr>
        <w:t>+</w:t>
      </w:r>
      <w:r w:rsidRPr="008B6655">
        <w:t xml:space="preserve"> production in 2D-cultured A2780 and IGROV1 cells. HSP90 was </w:t>
      </w:r>
      <w:r w:rsidR="006B1BAE" w:rsidRPr="008B6655">
        <w:t xml:space="preserve">used </w:t>
      </w:r>
      <w:r w:rsidRPr="008B6655">
        <w:t>as a control.</w:t>
      </w:r>
    </w:p>
    <w:p w14:paraId="14C70B58" w14:textId="2F0FF3A8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(F)</w:t>
      </w:r>
      <w:r w:rsidRPr="008B6655">
        <w:t xml:space="preserve"> Comparison of total NAD levels normalized to protein concentration </w:t>
      </w:r>
      <w:r w:rsidR="009073D8" w:rsidRPr="008B6655">
        <w:t>in</w:t>
      </w:r>
      <w:r w:rsidRPr="008B6655">
        <w:t xml:space="preserve"> the same cells as in (E). (</w:t>
      </w:r>
      <w:r w:rsidR="00DE7AF1" w:rsidRPr="008B6655">
        <w:rPr>
          <w:i/>
          <w:iCs/>
        </w:rPr>
        <w:t>n</w:t>
      </w:r>
      <w:r w:rsidR="00DE7AF1" w:rsidRPr="008B6655">
        <w:t xml:space="preserve"> = 3 independent experiments</w:t>
      </w:r>
      <w:r w:rsidRPr="008B6655">
        <w:t>)</w:t>
      </w:r>
    </w:p>
    <w:p w14:paraId="330AF46E" w14:textId="3BD86334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(G)</w:t>
      </w:r>
      <w:r w:rsidRPr="008B6655">
        <w:t xml:space="preserve"> Left: Representative OCR pattern </w:t>
      </w:r>
      <w:r w:rsidR="009073D8" w:rsidRPr="008B6655">
        <w:t>over time (min) in</w:t>
      </w:r>
      <w:r w:rsidRPr="008B6655">
        <w:t xml:space="preserve"> the same cells as in (E), normalized to </w:t>
      </w:r>
      <w:r w:rsidR="00D81A49" w:rsidRPr="008B6655">
        <w:t>the cell count</w:t>
      </w:r>
      <w:r w:rsidRPr="008B6655">
        <w:t>. Oligomycin (Oligo), carbonyl cyanide-4-(trifluoromethoxy)phenylhydrazone (FCCP), rotenone, and antimycin A (R/A) were added to measure Basal OCR, ATP content, maximal OCR, and Non-mitochondrial OCR. (</w:t>
      </w:r>
      <w:r w:rsidR="00B023F9" w:rsidRPr="008B6655">
        <w:rPr>
          <w:i/>
          <w:iCs/>
        </w:rPr>
        <w:t>n</w:t>
      </w:r>
      <w:r w:rsidR="00B023F9" w:rsidRPr="008B6655">
        <w:t xml:space="preserve"> = </w:t>
      </w:r>
      <w:r w:rsidR="00B310DA" w:rsidRPr="008B6655">
        <w:t>5</w:t>
      </w:r>
      <w:r w:rsidR="00B023F9" w:rsidRPr="008B6655">
        <w:t xml:space="preserve"> </w:t>
      </w:r>
      <w:r w:rsidR="00FB27B9" w:rsidRPr="00FB27B9">
        <w:t>technical replicates</w:t>
      </w:r>
      <w:r w:rsidRPr="008B6655">
        <w:t>) Middle: Maximal respiratory capacity in OCR (</w:t>
      </w:r>
      <w:r w:rsidR="00B023F9" w:rsidRPr="008B6655">
        <w:rPr>
          <w:i/>
          <w:iCs/>
        </w:rPr>
        <w:t>n</w:t>
      </w:r>
      <w:r w:rsidR="00B023F9" w:rsidRPr="008B6655">
        <w:t xml:space="preserve"> = </w:t>
      </w:r>
      <w:r w:rsidR="00B310DA" w:rsidRPr="008B6655">
        <w:t>5</w:t>
      </w:r>
      <w:r w:rsidR="00B023F9" w:rsidRPr="008B6655">
        <w:t xml:space="preserve"> </w:t>
      </w:r>
      <w:r w:rsidR="00FB27B9" w:rsidRPr="00FB27B9">
        <w:t>technical replicates</w:t>
      </w:r>
      <w:r w:rsidRPr="008B6655">
        <w:t>) Right: Maximal glycolytic capacity in ECAR (</w:t>
      </w:r>
      <w:r w:rsidR="00B023F9" w:rsidRPr="008B6655">
        <w:rPr>
          <w:i/>
          <w:iCs/>
        </w:rPr>
        <w:t>n</w:t>
      </w:r>
      <w:r w:rsidR="00B023F9" w:rsidRPr="008B6655">
        <w:t xml:space="preserve"> = </w:t>
      </w:r>
      <w:r w:rsidR="00B310DA" w:rsidRPr="008B6655">
        <w:t>5</w:t>
      </w:r>
      <w:r w:rsidR="00B023F9" w:rsidRPr="008B6655">
        <w:t xml:space="preserve"> </w:t>
      </w:r>
      <w:r w:rsidR="00A926C7" w:rsidRPr="00A926C7">
        <w:t>technical replicates</w:t>
      </w:r>
      <w:r w:rsidRPr="008B6655">
        <w:t>)</w:t>
      </w:r>
    </w:p>
    <w:p w14:paraId="2FBB6D48" w14:textId="7AEA20DF" w:rsidR="00B310DA" w:rsidRPr="008B6655" w:rsidRDefault="00B310DA" w:rsidP="00B310DA">
      <w:pPr>
        <w:spacing w:after="0" w:line="480" w:lineRule="auto"/>
        <w:jc w:val="both"/>
      </w:pPr>
      <w:r w:rsidRPr="008B6655">
        <w:t xml:space="preserve">Graph data were presented as mean ± SD with </w:t>
      </w:r>
      <w:r w:rsidRPr="008B6655">
        <w:rPr>
          <w:i/>
          <w:iCs/>
        </w:rPr>
        <w:t>n</w:t>
      </w:r>
      <w:r w:rsidRPr="008B6655">
        <w:t xml:space="preserve"> = 3 or 5 per group.</w:t>
      </w:r>
    </w:p>
    <w:p w14:paraId="464FE20C" w14:textId="77777777" w:rsidR="002B31B5" w:rsidRPr="008B6655" w:rsidRDefault="002B31B5" w:rsidP="002B31B5">
      <w:pPr>
        <w:spacing w:after="0" w:line="480" w:lineRule="auto"/>
        <w:jc w:val="both"/>
      </w:pPr>
    </w:p>
    <w:p w14:paraId="4D18A8B1" w14:textId="250657C0" w:rsidR="00604EEB" w:rsidRPr="008B6655" w:rsidRDefault="002B31B5" w:rsidP="002B31B5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lastRenderedPageBreak/>
        <w:t xml:space="preserve">Supplementary Figure </w:t>
      </w:r>
      <w:r w:rsidRPr="008B6655">
        <w:rPr>
          <w:b/>
          <w:bCs/>
          <w:color w:val="000000" w:themeColor="text1"/>
        </w:rPr>
        <w:t xml:space="preserve">2. </w:t>
      </w:r>
      <w:r w:rsidR="000201B2" w:rsidRPr="008B6655">
        <w:rPr>
          <w:b/>
          <w:bCs/>
        </w:rPr>
        <w:t>3D-spheroids oxidize glucose via the TCA cycle for elevated ATP production</w:t>
      </w:r>
    </w:p>
    <w:p w14:paraId="69CDE87D" w14:textId="3F7E2B0A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(A)</w:t>
      </w:r>
      <w:r w:rsidR="00D572EC" w:rsidRPr="008B6655">
        <w:rPr>
          <w:color w:val="000000" w:themeColor="text1"/>
        </w:rPr>
        <w:t xml:space="preserve"> K</w:t>
      </w:r>
      <w:r w:rsidRPr="008B6655">
        <w:rPr>
          <w:color w:val="000000" w:themeColor="text1"/>
        </w:rPr>
        <w:t>inetic graphs showing cell proliferation in 2D-cultured IGROV1 and A2780 cells</w:t>
      </w:r>
      <w:r w:rsidR="00D572EC" w:rsidRPr="008B6655">
        <w:rPr>
          <w:color w:val="000000" w:themeColor="text1"/>
        </w:rPr>
        <w:t>, with the medium of the indicated composition</w:t>
      </w:r>
      <w:r w:rsidRPr="008B6655">
        <w:rPr>
          <w:color w:val="000000" w:themeColor="text1"/>
        </w:rPr>
        <w:t xml:space="preserve"> over time (</w:t>
      </w:r>
      <w:r w:rsidR="00D572EC" w:rsidRPr="008B6655">
        <w:rPr>
          <w:color w:val="000000" w:themeColor="text1"/>
        </w:rPr>
        <w:t>hour</w:t>
      </w:r>
      <w:r w:rsidR="009A7A76" w:rsidRPr="008B6655">
        <w:rPr>
          <w:color w:val="000000" w:themeColor="text1"/>
        </w:rPr>
        <w:t>s</w:t>
      </w:r>
      <w:r w:rsidRPr="008B6655">
        <w:rPr>
          <w:color w:val="000000" w:themeColor="text1"/>
        </w:rPr>
        <w:t>) (</w:t>
      </w:r>
      <w:r w:rsidR="00E1426C" w:rsidRPr="008B6655">
        <w:rPr>
          <w:i/>
          <w:iCs/>
        </w:rPr>
        <w:t>n</w:t>
      </w:r>
      <w:r w:rsidR="00E1426C" w:rsidRPr="008B6655">
        <w:t xml:space="preserve"> = 4 independent experiments</w:t>
      </w:r>
      <w:r w:rsidRPr="008B6655">
        <w:rPr>
          <w:color w:val="000000" w:themeColor="text1"/>
        </w:rPr>
        <w:t>)</w:t>
      </w:r>
    </w:p>
    <w:p w14:paraId="1B5CF455" w14:textId="77777777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(B)</w:t>
      </w:r>
      <w:r w:rsidRPr="008B6655">
        <w:t xml:space="preserve"> Schematic of combined approaches using nuclear magnetic resonance (NMR) and ion chromatography-mass spectrometry (IC-MS) to assess the role of </w:t>
      </w:r>
      <w:r w:rsidRPr="008B6655">
        <w:rPr>
          <w:vertAlign w:val="superscript"/>
        </w:rPr>
        <w:t>13</w:t>
      </w:r>
      <w:r w:rsidRPr="008B6655">
        <w:t>C</w:t>
      </w:r>
      <w:r w:rsidRPr="008B6655">
        <w:rPr>
          <w:vertAlign w:val="subscript"/>
        </w:rPr>
        <w:t>6</w:t>
      </w:r>
      <w:r w:rsidRPr="008B6655">
        <w:t>-glucose in central carbon metabolism, comparing 2D- and 3D-cultured cells.</w:t>
      </w:r>
    </w:p>
    <w:p w14:paraId="43AD3A49" w14:textId="77777777" w:rsidR="00FC3FD7" w:rsidRPr="008B6655" w:rsidRDefault="00FC3FD7" w:rsidP="00FC3FD7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(C)</w:t>
      </w:r>
      <w:r w:rsidRPr="008B6655">
        <w:rPr>
          <w:color w:val="000000" w:themeColor="text1"/>
        </w:rPr>
        <w:t xml:space="preserve"> 1D </w:t>
      </w:r>
      <w:r w:rsidRPr="008B6655">
        <w:rPr>
          <w:color w:val="000000" w:themeColor="text1"/>
          <w:vertAlign w:val="superscript"/>
        </w:rPr>
        <w:t>1</w:t>
      </w:r>
      <w:r w:rsidRPr="008B6655">
        <w:rPr>
          <w:color w:val="000000" w:themeColor="text1"/>
        </w:rPr>
        <w:t>H-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 xml:space="preserve">C spectra obtained from 2D-cultured (red) and 3D-cultured (blue) IGROV1 cells grown in the presence of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>-glucose for 24 h, as compared to 2D-cultured cells grown in the presence of non-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 xml:space="preserve">C-labeled natural abundance glucose (gray). Chemical shift assignments for the 1D </w:t>
      </w:r>
      <w:r w:rsidRPr="008B6655">
        <w:rPr>
          <w:color w:val="000000" w:themeColor="text1"/>
          <w:vertAlign w:val="superscript"/>
        </w:rPr>
        <w:t>1</w:t>
      </w:r>
      <w:r w:rsidRPr="008B6655">
        <w:rPr>
          <w:color w:val="000000" w:themeColor="text1"/>
        </w:rPr>
        <w:t>H-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 xml:space="preserve">C HSQC spectra are based on the combined information acquired from </w:t>
      </w:r>
      <w:r w:rsidRPr="008B6655">
        <w:rPr>
          <w:color w:val="000000" w:themeColor="text1"/>
          <w:vertAlign w:val="superscript"/>
        </w:rPr>
        <w:t>1</w:t>
      </w:r>
      <w:r w:rsidRPr="008B6655">
        <w:rPr>
          <w:color w:val="000000" w:themeColor="text1"/>
        </w:rPr>
        <w:t>H-</w:t>
      </w:r>
      <w:r w:rsidRPr="008B6655">
        <w:rPr>
          <w:color w:val="000000" w:themeColor="text1"/>
          <w:vertAlign w:val="superscript"/>
        </w:rPr>
        <w:t>1</w:t>
      </w:r>
      <w:r w:rsidRPr="008B6655">
        <w:rPr>
          <w:color w:val="000000" w:themeColor="text1"/>
        </w:rPr>
        <w:t xml:space="preserve">H TOCSY, 2D HSQC-TOCSY experiments, as well as IC-MS analyses, all performed on the same samples. These combined analyses revealed that the majority of the UDP-glucose resonances observed in the </w:t>
      </w:r>
      <w:r w:rsidRPr="008B6655">
        <w:rPr>
          <w:color w:val="000000" w:themeColor="text1"/>
          <w:vertAlign w:val="superscript"/>
        </w:rPr>
        <w:t>1</w:t>
      </w:r>
      <w:r w:rsidRPr="008B6655">
        <w:rPr>
          <w:color w:val="000000" w:themeColor="text1"/>
        </w:rPr>
        <w:t>H-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 HSQC spectrum of 3D-cultured cells were in the form of UDP-N-acetylglucosamine (UDP-GlcNac).</w:t>
      </w:r>
    </w:p>
    <w:p w14:paraId="6245B6A9" w14:textId="0F45D610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(D)</w:t>
      </w:r>
      <w:r w:rsidRPr="008B6655">
        <w:rPr>
          <w:color w:val="000000" w:themeColor="text1"/>
        </w:rPr>
        <w:t xml:space="preserve"> Comparison of the glucose consumption </w:t>
      </w:r>
      <w:r w:rsidR="00667877" w:rsidRPr="008B6655">
        <w:rPr>
          <w:color w:val="000000" w:themeColor="text1"/>
        </w:rPr>
        <w:t>in</w:t>
      </w:r>
      <w:r w:rsidRPr="008B6655">
        <w:rPr>
          <w:color w:val="000000" w:themeColor="text1"/>
        </w:rPr>
        <w:t xml:space="preserve"> 2D- and 3D-cultured cells after 24 h incubation. (</w:t>
      </w:r>
      <w:r w:rsidR="00E1426C" w:rsidRPr="008B6655">
        <w:rPr>
          <w:i/>
          <w:iCs/>
        </w:rPr>
        <w:t>n</w:t>
      </w:r>
      <w:r w:rsidR="00E1426C" w:rsidRPr="008B6655">
        <w:t xml:space="preserve"> = 3 </w:t>
      </w:r>
      <w:r w:rsidR="0084299E" w:rsidRPr="008B6655">
        <w:t>independent experiments</w:t>
      </w:r>
      <w:r w:rsidRPr="008B6655">
        <w:rPr>
          <w:color w:val="000000" w:themeColor="text1"/>
        </w:rPr>
        <w:t>)</w:t>
      </w:r>
    </w:p>
    <w:p w14:paraId="1A65EECE" w14:textId="442F4681" w:rsidR="002A3573" w:rsidRPr="008B6655" w:rsidRDefault="002A3573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(E)</w:t>
      </w:r>
      <w:r w:rsidR="001F1291" w:rsidRPr="008B6655">
        <w:rPr>
          <w:color w:val="000000" w:themeColor="text1"/>
        </w:rPr>
        <w:t xml:space="preserve"> Schematic illustrating showing </w:t>
      </w:r>
      <w:r w:rsidR="005265CB" w:rsidRPr="008B6655">
        <w:rPr>
          <w:color w:val="000000" w:themeColor="text1"/>
        </w:rPr>
        <w:t>HK</w:t>
      </w:r>
      <w:r w:rsidR="001F1291" w:rsidRPr="008B6655">
        <w:rPr>
          <w:color w:val="000000" w:themeColor="text1"/>
        </w:rPr>
        <w:t xml:space="preserve">-mediated conversion of </w:t>
      </w:r>
      <w:r w:rsidR="007A0074" w:rsidRPr="008B6655">
        <w:rPr>
          <w:color w:val="000000" w:themeColor="text1"/>
        </w:rPr>
        <w:t>g</w:t>
      </w:r>
      <w:r w:rsidR="001F1291" w:rsidRPr="008B6655">
        <w:rPr>
          <w:color w:val="000000" w:themeColor="text1"/>
        </w:rPr>
        <w:t>lucose to G6P.</w:t>
      </w:r>
    </w:p>
    <w:p w14:paraId="3EE9890C" w14:textId="1FA2013C" w:rsidR="002A3573" w:rsidRPr="008B6655" w:rsidRDefault="002A3573" w:rsidP="002B31B5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  <w:color w:val="000000" w:themeColor="text1"/>
        </w:rPr>
        <w:t>(F)</w:t>
      </w:r>
      <w:r w:rsidR="007A0074" w:rsidRPr="008B6655">
        <w:rPr>
          <w:b/>
          <w:bCs/>
          <w:color w:val="000000" w:themeColor="text1"/>
        </w:rPr>
        <w:t xml:space="preserve"> </w:t>
      </w:r>
      <w:r w:rsidR="007F13C8" w:rsidRPr="008B6655">
        <w:rPr>
          <w:color w:val="000000" w:themeColor="text1"/>
        </w:rPr>
        <w:t xml:space="preserve">Left: </w:t>
      </w:r>
      <w:r w:rsidR="007A0074" w:rsidRPr="008B6655">
        <w:rPr>
          <w:color w:val="000000" w:themeColor="text1"/>
        </w:rPr>
        <w:t xml:space="preserve">Immunoblotting conducted to assess the levels of </w:t>
      </w:r>
      <w:r w:rsidR="005265CB" w:rsidRPr="008B6655">
        <w:rPr>
          <w:color w:val="000000" w:themeColor="text1"/>
        </w:rPr>
        <w:t>HK2</w:t>
      </w:r>
      <w:r w:rsidR="007A0074" w:rsidRPr="008B6655">
        <w:rPr>
          <w:color w:val="000000" w:themeColor="text1"/>
        </w:rPr>
        <w:t xml:space="preserve"> in both 2D- and 3D-cultured IGROV1 cell lines, with HSP90 serving as a control. Right: Comparison of </w:t>
      </w:r>
      <w:r w:rsidR="00E71187" w:rsidRPr="008B6655">
        <w:rPr>
          <w:color w:val="000000" w:themeColor="text1"/>
        </w:rPr>
        <w:t>HK2</w:t>
      </w:r>
      <w:r w:rsidR="007A0074" w:rsidRPr="008B6655">
        <w:rPr>
          <w:color w:val="000000" w:themeColor="text1"/>
        </w:rPr>
        <w:t xml:space="preserve"> levels, normalized to HSP90 levels</w:t>
      </w:r>
      <w:r w:rsidR="00A44C39">
        <w:rPr>
          <w:color w:val="000000" w:themeColor="text1"/>
        </w:rPr>
        <w:t xml:space="preserve"> </w:t>
      </w:r>
      <w:r w:rsidR="00A44C39" w:rsidRPr="008B6655">
        <w:rPr>
          <w:color w:val="000000" w:themeColor="text1"/>
        </w:rPr>
        <w:t>(</w:t>
      </w:r>
      <w:r w:rsidR="00A44C39" w:rsidRPr="008B6655">
        <w:rPr>
          <w:i/>
          <w:iCs/>
        </w:rPr>
        <w:t>n</w:t>
      </w:r>
      <w:r w:rsidR="00A44C39" w:rsidRPr="008B6655">
        <w:t xml:space="preserve"> = </w:t>
      </w:r>
      <w:r w:rsidR="00A44C39">
        <w:t>3</w:t>
      </w:r>
      <w:r w:rsidR="00A44C39" w:rsidRPr="008B6655">
        <w:t xml:space="preserve"> independent experiments</w:t>
      </w:r>
      <w:r w:rsidR="00A44C39" w:rsidRPr="008B6655">
        <w:rPr>
          <w:color w:val="000000" w:themeColor="text1"/>
        </w:rPr>
        <w:t>)</w:t>
      </w:r>
      <w:r w:rsidR="007A0074" w:rsidRPr="008B6655">
        <w:rPr>
          <w:color w:val="000000" w:themeColor="text1"/>
        </w:rPr>
        <w:t>.</w:t>
      </w:r>
    </w:p>
    <w:p w14:paraId="34AAFBE5" w14:textId="38CC0B03" w:rsidR="005265CB" w:rsidRPr="008B6655" w:rsidRDefault="00BD186F" w:rsidP="002B31B5">
      <w:pPr>
        <w:spacing w:after="0" w:line="480" w:lineRule="auto"/>
        <w:jc w:val="both"/>
      </w:pPr>
      <w:r w:rsidRPr="008B6655">
        <w:t xml:space="preserve">AXP: </w:t>
      </w:r>
      <w:bookmarkStart w:id="0" w:name="_Hlk158639499"/>
      <w:r w:rsidRPr="008B6655">
        <w:t>AMP+ADP+ATP</w:t>
      </w:r>
      <w:bookmarkEnd w:id="0"/>
      <w:r w:rsidRPr="008B6655">
        <w:t xml:space="preserve">, UXP: UMP+UDP+UTP, </w:t>
      </w:r>
      <w:r w:rsidR="00B9467A" w:rsidRPr="008B6655">
        <w:t xml:space="preserve">G6P: glucose-6-phosphate, </w:t>
      </w:r>
      <w:r w:rsidR="003B79A6" w:rsidRPr="008B6655">
        <w:t>UDP: uridine diphosphate,</w:t>
      </w:r>
      <w:r w:rsidR="007A0074" w:rsidRPr="008B6655">
        <w:t xml:space="preserve"> </w:t>
      </w:r>
      <w:r w:rsidR="005265CB" w:rsidRPr="008B6655">
        <w:t>HK: hexokinase</w:t>
      </w:r>
    </w:p>
    <w:p w14:paraId="5C581011" w14:textId="09CDBBD1" w:rsidR="00B310DA" w:rsidRPr="008B6655" w:rsidRDefault="00B310DA" w:rsidP="002B31B5">
      <w:pPr>
        <w:spacing w:after="0" w:line="480" w:lineRule="auto"/>
        <w:jc w:val="both"/>
      </w:pPr>
      <w:r w:rsidRPr="008B6655">
        <w:lastRenderedPageBreak/>
        <w:t xml:space="preserve">Graph data were presented as mean ± SD with </w:t>
      </w:r>
      <w:r w:rsidRPr="008B6655">
        <w:rPr>
          <w:i/>
          <w:iCs/>
        </w:rPr>
        <w:t>n</w:t>
      </w:r>
      <w:r w:rsidRPr="008B6655">
        <w:t xml:space="preserve"> = 3 per group.</w:t>
      </w:r>
    </w:p>
    <w:p w14:paraId="0E48BCA0" w14:textId="77777777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</w:p>
    <w:p w14:paraId="40062B0A" w14:textId="3877E3C3" w:rsidR="002A3573" w:rsidRPr="008B6655" w:rsidRDefault="002B31B5" w:rsidP="002B31B5">
      <w:pPr>
        <w:spacing w:after="0" w:line="480" w:lineRule="auto"/>
        <w:jc w:val="both"/>
        <w:rPr>
          <w:b/>
          <w:bCs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Pr="008B6655">
        <w:rPr>
          <w:b/>
          <w:bCs/>
          <w:color w:val="000000" w:themeColor="text1"/>
        </w:rPr>
        <w:t xml:space="preserve">3. </w:t>
      </w:r>
      <w:r w:rsidR="00604EEB" w:rsidRPr="008B6655">
        <w:rPr>
          <w:b/>
          <w:bCs/>
          <w:color w:val="000000" w:themeColor="text1"/>
        </w:rPr>
        <w:t xml:space="preserve">3D-spheroids enhance the activity of the PC-mediated anaplerotic TCA cycle and </w:t>
      </w:r>
      <w:r w:rsidR="00604EEB" w:rsidRPr="008B6655">
        <w:rPr>
          <w:b/>
          <w:bCs/>
          <w:i/>
          <w:iCs/>
          <w:color w:val="000000" w:themeColor="text1"/>
        </w:rPr>
        <w:t>de novo</w:t>
      </w:r>
      <w:r w:rsidR="00604EEB" w:rsidRPr="008B6655">
        <w:rPr>
          <w:b/>
          <w:bCs/>
          <w:color w:val="000000" w:themeColor="text1"/>
        </w:rPr>
        <w:t xml:space="preserve"> pyrimidine synthesis</w:t>
      </w:r>
      <w:r w:rsidR="00604EEB" w:rsidRPr="008B6655">
        <w:rPr>
          <w:b/>
          <w:bCs/>
        </w:rPr>
        <w:t xml:space="preserve"> </w:t>
      </w:r>
    </w:p>
    <w:p w14:paraId="0E34CBC4" w14:textId="3E378A07" w:rsidR="002A3573" w:rsidRPr="008B6655" w:rsidRDefault="002A3573" w:rsidP="002A3573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(A)</w:t>
      </w:r>
      <w:r w:rsidRPr="008B6655">
        <w:rPr>
          <w:color w:val="000000" w:themeColor="text1"/>
        </w:rPr>
        <w:t xml:space="preserve"> Schematic of cataplerotic input of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 xml:space="preserve">-glucose. Labeled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 xml:space="preserve">C carbons are shown as colored circles, and unlabeled </w:t>
      </w:r>
      <w:r w:rsidRPr="008B6655">
        <w:rPr>
          <w:color w:val="000000" w:themeColor="text1"/>
          <w:vertAlign w:val="superscript"/>
        </w:rPr>
        <w:t>12</w:t>
      </w:r>
      <w:r w:rsidRPr="008B6655">
        <w:rPr>
          <w:color w:val="000000" w:themeColor="text1"/>
        </w:rPr>
        <w:t>C carbons as white circles. Labeling in the first turn of the TCA cycle is by black circles, and in the second turn by gray circles.</w:t>
      </w:r>
    </w:p>
    <w:p w14:paraId="552804AD" w14:textId="5DCE5A5C" w:rsidR="002A3573" w:rsidRPr="008B6655" w:rsidRDefault="002A3573" w:rsidP="002A3573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(B)</w:t>
      </w:r>
      <w:r w:rsidRPr="008B6655">
        <w:rPr>
          <w:color w:val="000000" w:themeColor="text1"/>
        </w:rPr>
        <w:t xml:space="preserve"> Schematic of anaplerotic input from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 xml:space="preserve">-glucose. Labeled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 xml:space="preserve">C carbons are shown as colored circles, and unlabeled </w:t>
      </w:r>
      <w:r w:rsidRPr="008B6655">
        <w:rPr>
          <w:color w:val="000000" w:themeColor="text1"/>
          <w:vertAlign w:val="superscript"/>
        </w:rPr>
        <w:t>12</w:t>
      </w:r>
      <w:r w:rsidRPr="008B6655">
        <w:rPr>
          <w:color w:val="000000" w:themeColor="text1"/>
        </w:rPr>
        <w:t>C carbons as white circles. Labeling in the first turn of the TCA cycle is represented by black circles, and in the second turn by gray circles</w:t>
      </w:r>
      <w:r w:rsidR="009A0D56" w:rsidRPr="008B6655">
        <w:rPr>
          <w:color w:val="000000" w:themeColor="text1"/>
        </w:rPr>
        <w:t>.</w:t>
      </w:r>
    </w:p>
    <w:p w14:paraId="26AFBF50" w14:textId="54530D12" w:rsidR="009A0D56" w:rsidRPr="008B6655" w:rsidRDefault="009A0D56" w:rsidP="002A3573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(C)</w:t>
      </w:r>
      <w:r w:rsidR="00E71187" w:rsidRPr="008B6655">
        <w:rPr>
          <w:color w:val="000000" w:themeColor="text1"/>
        </w:rPr>
        <w:t xml:space="preserve"> </w:t>
      </w:r>
      <w:r w:rsidR="00D26A6A" w:rsidRPr="008B6655">
        <w:rPr>
          <w:color w:val="000000" w:themeColor="text1"/>
        </w:rPr>
        <w:t xml:space="preserve">Left: </w:t>
      </w:r>
      <w:r w:rsidR="00E71187" w:rsidRPr="008B6655">
        <w:rPr>
          <w:color w:val="000000" w:themeColor="text1"/>
        </w:rPr>
        <w:t>Immunoblotting conducted to assess the levels of PC in both 2D- and 3D-cultured A2780 and IGROV1 cell lines, with HSP90 serving as a control. Right: Comparison of PC levels, normalized to HSP90 levels</w:t>
      </w:r>
      <w:r w:rsidR="00DF5532">
        <w:rPr>
          <w:color w:val="000000" w:themeColor="text1"/>
        </w:rPr>
        <w:t xml:space="preserve"> </w:t>
      </w:r>
      <w:r w:rsidR="00DF5532" w:rsidRPr="008B6655">
        <w:rPr>
          <w:color w:val="000000" w:themeColor="text1"/>
        </w:rPr>
        <w:t>(</w:t>
      </w:r>
      <w:r w:rsidR="00DF5532" w:rsidRPr="008B6655">
        <w:rPr>
          <w:i/>
          <w:iCs/>
        </w:rPr>
        <w:t>n</w:t>
      </w:r>
      <w:r w:rsidR="00DF5532" w:rsidRPr="008B6655">
        <w:t xml:space="preserve"> = </w:t>
      </w:r>
      <w:r w:rsidR="00A44C39">
        <w:t>3</w:t>
      </w:r>
      <w:r w:rsidR="00DF5532" w:rsidRPr="008B6655">
        <w:t xml:space="preserve"> independent experiments</w:t>
      </w:r>
      <w:r w:rsidR="00DF5532" w:rsidRPr="008B6655">
        <w:rPr>
          <w:color w:val="000000" w:themeColor="text1"/>
        </w:rPr>
        <w:t>)</w:t>
      </w:r>
      <w:r w:rsidR="00DF5532">
        <w:rPr>
          <w:color w:val="000000" w:themeColor="text1"/>
        </w:rPr>
        <w:t>.</w:t>
      </w:r>
    </w:p>
    <w:p w14:paraId="4838D27F" w14:textId="43531ED0" w:rsidR="009A0D56" w:rsidRPr="008B6655" w:rsidRDefault="009A0D56" w:rsidP="002A3573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  <w:color w:val="000000" w:themeColor="text1"/>
        </w:rPr>
        <w:t>(D)</w:t>
      </w:r>
      <w:r w:rsidR="00D14CDD" w:rsidRPr="008B6655">
        <w:rPr>
          <w:b/>
          <w:bCs/>
          <w:color w:val="000000" w:themeColor="text1"/>
        </w:rPr>
        <w:t xml:space="preserve"> </w:t>
      </w:r>
      <w:r w:rsidR="00D14CDD" w:rsidRPr="008B6655">
        <w:rPr>
          <w:color w:val="000000" w:themeColor="text1"/>
        </w:rPr>
        <w:t xml:space="preserve">Comparison of key metabolite levels in </w:t>
      </w:r>
      <w:r w:rsidR="00D14CDD" w:rsidRPr="008B6655">
        <w:rPr>
          <w:i/>
          <w:iCs/>
          <w:color w:val="000000" w:themeColor="text1"/>
        </w:rPr>
        <w:t>de novo</w:t>
      </w:r>
      <w:r w:rsidR="00D14CDD" w:rsidRPr="008B6655">
        <w:rPr>
          <w:color w:val="000000" w:themeColor="text1"/>
        </w:rPr>
        <w:t xml:space="preserve"> pyrimidine synthesis in 2D- and 3D-cultured IGROV1 cells. The carbon distribution of the metabolites is also illustrated (n = 3 </w:t>
      </w:r>
      <w:r w:rsidR="00C937D0" w:rsidRPr="008B6655">
        <w:t>independent experiments</w:t>
      </w:r>
      <w:r w:rsidR="00D14CDD" w:rsidRPr="008B6655">
        <w:rPr>
          <w:color w:val="000000" w:themeColor="text1"/>
        </w:rPr>
        <w:t>).</w:t>
      </w:r>
    </w:p>
    <w:p w14:paraId="0BC28938" w14:textId="3C2C79EA" w:rsidR="009A0D56" w:rsidRPr="008B6655" w:rsidRDefault="009A0D56" w:rsidP="009A0D56">
      <w:pPr>
        <w:spacing w:after="0" w:line="480" w:lineRule="auto"/>
        <w:jc w:val="both"/>
        <w:rPr>
          <w:color w:val="000000" w:themeColor="text1"/>
        </w:rPr>
      </w:pPr>
      <w:r w:rsidRPr="008B6655">
        <w:t xml:space="preserve">G6P: glucose-6-phosphate, F6P: fructose-6-phosphate, 3PG_2PG: 3-phosphoglycerate or 2-phosphoglycerate, PEP: phosphoenolpyruvate, α-KG: alpha-ketoglutarate, PC: </w:t>
      </w:r>
      <w:r w:rsidRPr="008B6655">
        <w:rPr>
          <w:color w:val="000000" w:themeColor="text1"/>
        </w:rPr>
        <w:t>pyruvate carboxylase</w:t>
      </w:r>
      <w:r w:rsidR="00F26EFE" w:rsidRPr="008B6655">
        <w:rPr>
          <w:color w:val="000000" w:themeColor="text1"/>
        </w:rPr>
        <w:t xml:space="preserve">, </w:t>
      </w:r>
      <w:r w:rsidR="001A6FC3" w:rsidRPr="008B6655">
        <w:rPr>
          <w:color w:val="000000" w:themeColor="text1"/>
        </w:rPr>
        <w:t xml:space="preserve">, PDH: pyruvate dehydrogenase, </w:t>
      </w:r>
      <w:r w:rsidR="00F26EFE" w:rsidRPr="008B6655">
        <w:rPr>
          <w:color w:val="000000" w:themeColor="text1"/>
        </w:rPr>
        <w:t>PRPP: phosphoribosylpyrophosphate</w:t>
      </w:r>
    </w:p>
    <w:p w14:paraId="19C39514" w14:textId="64DEE312" w:rsidR="009A0D56" w:rsidRPr="008B6655" w:rsidRDefault="009A0D56" w:rsidP="002A3573">
      <w:pPr>
        <w:spacing w:after="0" w:line="480" w:lineRule="auto"/>
        <w:jc w:val="both"/>
        <w:rPr>
          <w:color w:val="000000" w:themeColor="text1"/>
        </w:rPr>
      </w:pPr>
      <w:r w:rsidRPr="008B6655">
        <w:t xml:space="preserve">Graph data were presented as mean ± SD with </w:t>
      </w:r>
      <w:r w:rsidRPr="008B6655">
        <w:rPr>
          <w:i/>
          <w:iCs/>
        </w:rPr>
        <w:t>n</w:t>
      </w:r>
      <w:r w:rsidRPr="008B6655">
        <w:t xml:space="preserve"> = 3 per group.</w:t>
      </w:r>
    </w:p>
    <w:p w14:paraId="5720D39C" w14:textId="77777777" w:rsidR="002A3573" w:rsidRPr="008B6655" w:rsidRDefault="002A3573" w:rsidP="002A3573">
      <w:pPr>
        <w:spacing w:after="0" w:line="480" w:lineRule="auto"/>
        <w:jc w:val="both"/>
        <w:rPr>
          <w:color w:val="000000" w:themeColor="text1"/>
        </w:rPr>
      </w:pPr>
    </w:p>
    <w:p w14:paraId="033A23F2" w14:textId="2CC14F3E" w:rsidR="005D125A" w:rsidRPr="008B6655" w:rsidRDefault="005D125A" w:rsidP="005D125A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Pr="008B6655">
        <w:rPr>
          <w:b/>
          <w:bCs/>
          <w:color w:val="000000" w:themeColor="text1"/>
        </w:rPr>
        <w:t xml:space="preserve">4. </w:t>
      </w:r>
      <w:r w:rsidR="008D3521" w:rsidRPr="008B6655">
        <w:rPr>
          <w:b/>
          <w:bCs/>
        </w:rPr>
        <w:t>NAMPT inhibitors are a potential strategy against NAMPT-dependent OV</w:t>
      </w:r>
    </w:p>
    <w:p w14:paraId="197083A9" w14:textId="77777777" w:rsidR="008101FB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lastRenderedPageBreak/>
        <w:t>(A)</w:t>
      </w:r>
      <w:r w:rsidRPr="008B6655">
        <w:t xml:space="preserve"> Schematic diagram depicts the addition of NMN or NA </w:t>
      </w:r>
      <w:r w:rsidR="008101FB" w:rsidRPr="008B6655">
        <w:t xml:space="preserve">to stem cell culture media to assess the effect of NMN or NA rescue. </w:t>
      </w:r>
    </w:p>
    <w:p w14:paraId="5582BCA4" w14:textId="4175E268" w:rsidR="002B31B5" w:rsidRPr="008B6655" w:rsidRDefault="002B31B5" w:rsidP="002B31B5">
      <w:pPr>
        <w:spacing w:after="0" w:line="480" w:lineRule="auto"/>
        <w:jc w:val="both"/>
      </w:pPr>
      <w:r w:rsidRPr="008B6655">
        <w:rPr>
          <w:b/>
          <w:bCs/>
        </w:rPr>
        <w:t>(B)</w:t>
      </w:r>
      <w:r w:rsidRPr="008B6655">
        <w:t xml:space="preserve"> Schematic diagram illustrates that </w:t>
      </w:r>
      <w:r w:rsidR="00FD4068" w:rsidRPr="008B6655">
        <w:t xml:space="preserve">treatment with </w:t>
      </w:r>
      <w:r w:rsidRPr="008B6655">
        <w:t>NAMPT inhibitor induces cell death in NAD</w:t>
      </w:r>
      <w:r w:rsidRPr="008B6655">
        <w:rPr>
          <w:vertAlign w:val="superscript"/>
        </w:rPr>
        <w:t>+</w:t>
      </w:r>
      <w:r w:rsidRPr="008B6655">
        <w:t xml:space="preserve">-dependent cell lines, </w:t>
      </w:r>
      <w:r w:rsidR="007B0EF8" w:rsidRPr="008B6655">
        <w:t>even when NA is present in the media</w:t>
      </w:r>
      <w:r w:rsidRPr="008B6655">
        <w:t>. The same treatment for cell lines that also synthesize NAD</w:t>
      </w:r>
      <w:r w:rsidRPr="008B6655">
        <w:rPr>
          <w:vertAlign w:val="superscript"/>
        </w:rPr>
        <w:t>+</w:t>
      </w:r>
      <w:r w:rsidRPr="008B6655">
        <w:t xml:space="preserve"> from NA results in cell growth (NA rescue).</w:t>
      </w:r>
    </w:p>
    <w:p w14:paraId="07702EAF" w14:textId="77777777" w:rsidR="00604EEB" w:rsidRPr="008B6655" w:rsidRDefault="00604EEB" w:rsidP="002B31B5">
      <w:pPr>
        <w:spacing w:after="0" w:line="480" w:lineRule="auto"/>
        <w:jc w:val="both"/>
        <w:rPr>
          <w:b/>
          <w:bCs/>
          <w:color w:val="000000" w:themeColor="text1"/>
        </w:rPr>
      </w:pPr>
    </w:p>
    <w:p w14:paraId="138BB66C" w14:textId="6C658E87" w:rsidR="002B31B5" w:rsidRPr="008B6655" w:rsidRDefault="00604EEB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Pr="008B6655">
        <w:rPr>
          <w:b/>
          <w:bCs/>
          <w:color w:val="000000" w:themeColor="text1"/>
        </w:rPr>
        <w:t xml:space="preserve">5. </w:t>
      </w:r>
      <w:r w:rsidR="00970679" w:rsidRPr="008B6655">
        <w:rPr>
          <w:b/>
          <w:bCs/>
          <w:color w:val="000000" w:themeColor="text1"/>
        </w:rPr>
        <w:t>The combination of NAMPT inhibitors and disulfiram inhibits cell viability</w:t>
      </w:r>
    </w:p>
    <w:p w14:paraId="71E214B7" w14:textId="4EFFFBEA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(A)</w:t>
      </w:r>
      <w:r w:rsidRPr="008B6655">
        <w:rPr>
          <w:color w:val="000000" w:themeColor="text1"/>
        </w:rPr>
        <w:t xml:space="preserve"> </w:t>
      </w:r>
      <w:r w:rsidR="009E6939" w:rsidRPr="008B6655">
        <w:rPr>
          <w:color w:val="000000" w:themeColor="text1"/>
        </w:rPr>
        <w:t xml:space="preserve">HSA values generated by Combenefit showing the analysis of the interaction between </w:t>
      </w:r>
      <w:r w:rsidR="00945DB7" w:rsidRPr="008B6655">
        <w:rPr>
          <w:color w:val="000000" w:themeColor="text1"/>
        </w:rPr>
        <w:t>d</w:t>
      </w:r>
      <w:r w:rsidR="009E6939" w:rsidRPr="008B6655">
        <w:rPr>
          <w:color w:val="000000" w:themeColor="text1"/>
        </w:rPr>
        <w:t>isulfiram and GNE-617, FK-866, GNE-618, and KPT-9274 in 3D-cultured A2780 and IGROV1 cells. (</w:t>
      </w:r>
      <w:r w:rsidR="009E6939" w:rsidRPr="008B6655">
        <w:rPr>
          <w:i/>
          <w:iCs/>
        </w:rPr>
        <w:t>n</w:t>
      </w:r>
      <w:r w:rsidR="009E6939" w:rsidRPr="008B6655">
        <w:t xml:space="preserve"> = 4 independent experiments</w:t>
      </w:r>
      <w:r w:rsidR="009E6939" w:rsidRPr="008B6655">
        <w:rPr>
          <w:color w:val="000000" w:themeColor="text1"/>
        </w:rPr>
        <w:t>)</w:t>
      </w:r>
    </w:p>
    <w:p w14:paraId="2846EB9F" w14:textId="79F6FD87" w:rsidR="00E1426C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(B)</w:t>
      </w:r>
      <w:r w:rsidR="00D356D3" w:rsidRPr="008B6655">
        <w:rPr>
          <w:b/>
          <w:bCs/>
          <w:color w:val="000000" w:themeColor="text1"/>
        </w:rPr>
        <w:t xml:space="preserve"> </w:t>
      </w:r>
      <w:r w:rsidR="009E6939" w:rsidRPr="008B6655">
        <w:rPr>
          <w:color w:val="000000" w:themeColor="text1"/>
        </w:rPr>
        <w:t xml:space="preserve">Synergy plots generated by Combenefit illustrating the interaction between </w:t>
      </w:r>
      <w:r w:rsidR="002D6FCC" w:rsidRPr="008B6655">
        <w:rPr>
          <w:color w:val="000000" w:themeColor="text1"/>
        </w:rPr>
        <w:t>d</w:t>
      </w:r>
      <w:r w:rsidR="009E6939" w:rsidRPr="008B6655">
        <w:rPr>
          <w:color w:val="000000" w:themeColor="text1"/>
        </w:rPr>
        <w:t>isulfiram and FK-866, GNE-618, and KPT-9274 in 3D-cultured A2780 and IGROV1 cells. (</w:t>
      </w:r>
      <w:r w:rsidR="009E6939" w:rsidRPr="008B6655">
        <w:rPr>
          <w:i/>
          <w:iCs/>
        </w:rPr>
        <w:t>n</w:t>
      </w:r>
      <w:r w:rsidR="009E6939" w:rsidRPr="008B6655">
        <w:t xml:space="preserve"> = 4 independent experiments</w:t>
      </w:r>
      <w:r w:rsidR="009E6939" w:rsidRPr="008B6655">
        <w:rPr>
          <w:color w:val="000000" w:themeColor="text1"/>
        </w:rPr>
        <w:t>)</w:t>
      </w:r>
    </w:p>
    <w:p w14:paraId="09419543" w14:textId="2265265C" w:rsidR="002B31B5" w:rsidRPr="008B6655" w:rsidRDefault="00E1426C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(C)</w:t>
      </w:r>
      <w:r w:rsidR="002B31B5" w:rsidRPr="008B6655">
        <w:rPr>
          <w:color w:val="000000" w:themeColor="text1"/>
        </w:rPr>
        <w:t xml:space="preserve"> Left: Representative figures depicting changes in ALDH activity in 3D-cultured A2780 and IGROV1 cells </w:t>
      </w:r>
      <w:r w:rsidR="002D6FCC" w:rsidRPr="008B6655">
        <w:rPr>
          <w:color w:val="000000" w:themeColor="text1"/>
        </w:rPr>
        <w:t xml:space="preserve">with or </w:t>
      </w:r>
      <w:r w:rsidR="002B31B5" w:rsidRPr="008B6655">
        <w:rPr>
          <w:color w:val="000000" w:themeColor="text1"/>
        </w:rPr>
        <w:t>without ALDEFLUOR fluorescence (FITC). Cells enclosed in the trapezoid represent ALDEFLUOR-positive cells.</w:t>
      </w:r>
    </w:p>
    <w:p w14:paraId="026050A4" w14:textId="7287CEDF" w:rsidR="00B310DA" w:rsidRPr="008B6655" w:rsidRDefault="00B310DA" w:rsidP="002B31B5">
      <w:pPr>
        <w:spacing w:after="0" w:line="480" w:lineRule="auto"/>
        <w:jc w:val="both"/>
      </w:pPr>
      <w:r w:rsidRPr="008B6655">
        <w:t xml:space="preserve">Graph data were presented as mean ± SD with </w:t>
      </w:r>
      <w:r w:rsidRPr="008B6655">
        <w:rPr>
          <w:i/>
          <w:iCs/>
        </w:rPr>
        <w:t>n</w:t>
      </w:r>
      <w:r w:rsidRPr="008B6655">
        <w:t xml:space="preserve"> = 4 per group.</w:t>
      </w:r>
    </w:p>
    <w:p w14:paraId="3407EAA8" w14:textId="77777777" w:rsidR="002B31B5" w:rsidRPr="008B6655" w:rsidRDefault="002B31B5" w:rsidP="002B31B5">
      <w:pPr>
        <w:spacing w:after="0" w:line="480" w:lineRule="auto"/>
        <w:jc w:val="both"/>
      </w:pPr>
    </w:p>
    <w:p w14:paraId="2EC1F52A" w14:textId="44D6ED70" w:rsidR="002B31B5" w:rsidRPr="008B6655" w:rsidRDefault="002B31B5" w:rsidP="002B31B5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="00D72BC2" w:rsidRPr="008B6655">
        <w:rPr>
          <w:b/>
          <w:bCs/>
          <w:color w:val="000000" w:themeColor="text1"/>
        </w:rPr>
        <w:t>6</w:t>
      </w:r>
      <w:r w:rsidRPr="008B6655">
        <w:rPr>
          <w:b/>
          <w:bCs/>
          <w:color w:val="000000" w:themeColor="text1"/>
        </w:rPr>
        <w:t xml:space="preserve">. </w:t>
      </w:r>
      <w:r w:rsidR="00D72BC2" w:rsidRPr="008B6655">
        <w:rPr>
          <w:b/>
          <w:bCs/>
          <w:color w:val="000000" w:themeColor="text1"/>
        </w:rPr>
        <w:t>Disulfiram and combinatorial treatment suppresses glucose oxidation and the anaplerotic TCA cycle</w:t>
      </w:r>
    </w:p>
    <w:p w14:paraId="61E726B2" w14:textId="54EC6034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lastRenderedPageBreak/>
        <w:t>(A)</w:t>
      </w:r>
      <w:r w:rsidRPr="008B6655">
        <w:rPr>
          <w:color w:val="000000" w:themeColor="text1"/>
        </w:rPr>
        <w:t xml:space="preserve"> Schematic of combined approaches using NMR and IC-MS to evaluate the impact of GNE-617, </w:t>
      </w:r>
      <w:r w:rsidR="00262E48" w:rsidRPr="008B6655">
        <w:rPr>
          <w:color w:val="000000" w:themeColor="text1"/>
        </w:rPr>
        <w:t>d</w:t>
      </w:r>
      <w:r w:rsidRPr="008B6655">
        <w:rPr>
          <w:color w:val="000000" w:themeColor="text1"/>
        </w:rPr>
        <w:t>isulfiram, and their combinat</w:t>
      </w:r>
      <w:r w:rsidR="00F54F64" w:rsidRPr="008B6655">
        <w:rPr>
          <w:color w:val="000000" w:themeColor="text1"/>
        </w:rPr>
        <w:t>or</w:t>
      </w:r>
      <w:r w:rsidRPr="008B6655">
        <w:rPr>
          <w:color w:val="000000" w:themeColor="text1"/>
        </w:rPr>
        <w:t>i</w:t>
      </w:r>
      <w:r w:rsidR="00F54F64" w:rsidRPr="008B6655">
        <w:rPr>
          <w:color w:val="000000" w:themeColor="text1"/>
        </w:rPr>
        <w:t>al</w:t>
      </w:r>
      <w:r w:rsidRPr="008B6655">
        <w:rPr>
          <w:color w:val="000000" w:themeColor="text1"/>
        </w:rPr>
        <w:t xml:space="preserve"> treatment on the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 xml:space="preserve">-glucose metabolism </w:t>
      </w:r>
      <w:r w:rsidR="00A65317" w:rsidRPr="008B6655">
        <w:rPr>
          <w:color w:val="000000" w:themeColor="text1"/>
        </w:rPr>
        <w:t>in</w:t>
      </w:r>
      <w:r w:rsidRPr="008B6655">
        <w:rPr>
          <w:color w:val="000000" w:themeColor="text1"/>
        </w:rPr>
        <w:t xml:space="preserve"> 3D-cultured IGROV1</w:t>
      </w:r>
      <w:r w:rsidR="00A65317" w:rsidRPr="008B6655">
        <w:rPr>
          <w:color w:val="000000" w:themeColor="text1"/>
        </w:rPr>
        <w:t xml:space="preserve"> cells</w:t>
      </w:r>
      <w:r w:rsidRPr="008B6655">
        <w:rPr>
          <w:color w:val="000000" w:themeColor="text1"/>
        </w:rPr>
        <w:t>.</w:t>
      </w:r>
    </w:p>
    <w:p w14:paraId="7BC45DB7" w14:textId="08CE860B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(B)</w:t>
      </w:r>
      <w:r w:rsidRPr="008B6655">
        <w:rPr>
          <w:color w:val="000000" w:themeColor="text1"/>
        </w:rPr>
        <w:t xml:space="preserve"> Principal component analysis (PCA) illustrating robust separation among the groups. Each point in the plot corresponds to a</w:t>
      </w:r>
      <w:r w:rsidR="0013013A" w:rsidRPr="008B6655">
        <w:rPr>
          <w:color w:val="000000" w:themeColor="text1"/>
        </w:rPr>
        <w:t>n individual</w:t>
      </w:r>
      <w:r w:rsidRPr="008B6655">
        <w:rPr>
          <w:color w:val="000000" w:themeColor="text1"/>
        </w:rPr>
        <w:t xml:space="preserve"> sample.</w:t>
      </w:r>
    </w:p>
    <w:p w14:paraId="027203CA" w14:textId="3248CE0F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(C)</w:t>
      </w:r>
      <w:r w:rsidRPr="008B6655">
        <w:rPr>
          <w:color w:val="000000" w:themeColor="text1"/>
        </w:rPr>
        <w:t xml:space="preserve"> Schematic illustrating the change in carbon distribution </w:t>
      </w:r>
      <w:r w:rsidR="00485B7A" w:rsidRPr="008B6655">
        <w:rPr>
          <w:color w:val="000000" w:themeColor="text1"/>
        </w:rPr>
        <w:t>within t</w:t>
      </w:r>
      <w:r w:rsidRPr="008B6655">
        <w:rPr>
          <w:color w:val="000000" w:themeColor="text1"/>
        </w:rPr>
        <w:t>he glycolytic and TCA cycle in 3D-cultured IGROV1 cells, as described above. (</w:t>
      </w:r>
      <w:r w:rsidR="002C7470" w:rsidRPr="008B6655">
        <w:rPr>
          <w:i/>
          <w:iCs/>
        </w:rPr>
        <w:t>n</w:t>
      </w:r>
      <w:r w:rsidR="002C7470" w:rsidRPr="008B6655">
        <w:t xml:space="preserve"> = 3 </w:t>
      </w:r>
      <w:r w:rsidR="00C937D0" w:rsidRPr="008B6655">
        <w:t>independent experiments</w:t>
      </w:r>
      <w:r w:rsidRPr="008B6655">
        <w:rPr>
          <w:color w:val="000000" w:themeColor="text1"/>
        </w:rPr>
        <w:t>)</w:t>
      </w:r>
    </w:p>
    <w:p w14:paraId="6B0812EE" w14:textId="78CF608E" w:rsidR="002B31B5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color w:val="000000" w:themeColor="text1"/>
        </w:rPr>
        <w:t xml:space="preserve">Red circles indicate carbon. "m+0" represents the carbon contribution from sources other than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 xml:space="preserve">-glucose, </w:t>
      </w:r>
      <w:r w:rsidR="00485B7A" w:rsidRPr="008B6655">
        <w:rPr>
          <w:color w:val="000000" w:themeColor="text1"/>
        </w:rPr>
        <w:t>while</w:t>
      </w:r>
      <w:r w:rsidRPr="008B6655">
        <w:rPr>
          <w:color w:val="000000" w:themeColor="text1"/>
        </w:rPr>
        <w:t xml:space="preserve"> "m+1," "m+2," etc. represent the carbon contribution from </w:t>
      </w:r>
      <w:r w:rsidRPr="008B6655">
        <w:rPr>
          <w:color w:val="000000" w:themeColor="text1"/>
          <w:vertAlign w:val="superscript"/>
        </w:rPr>
        <w:t>13</w:t>
      </w:r>
      <w:r w:rsidRPr="008B6655">
        <w:rPr>
          <w:color w:val="000000" w:themeColor="text1"/>
        </w:rPr>
        <w:t>C</w:t>
      </w:r>
      <w:r w:rsidRPr="008B6655">
        <w:rPr>
          <w:color w:val="000000" w:themeColor="text1"/>
          <w:vertAlign w:val="subscript"/>
        </w:rPr>
        <w:t>6</w:t>
      </w:r>
      <w:r w:rsidRPr="008B6655">
        <w:rPr>
          <w:color w:val="000000" w:themeColor="text1"/>
        </w:rPr>
        <w:t>-glucose.</w:t>
      </w:r>
    </w:p>
    <w:p w14:paraId="5837D29E" w14:textId="77777777" w:rsidR="00B9467A" w:rsidRPr="008B6655" w:rsidRDefault="00B9467A" w:rsidP="00B9467A">
      <w:pPr>
        <w:spacing w:after="0" w:line="480" w:lineRule="auto"/>
        <w:jc w:val="both"/>
        <w:rPr>
          <w:color w:val="000000" w:themeColor="text1"/>
        </w:rPr>
      </w:pPr>
      <w:r w:rsidRPr="008B6655">
        <w:t xml:space="preserve">G6P: glucose-6-phosphate, F6P: fructose-6-phosphate, 3PG_2PG: 3-phosphoglycerate or 2-phosphoglycerate, PEP: phosphoenolpyruvate, α-KG: alpha-ketoglutarate, PC: </w:t>
      </w:r>
      <w:r w:rsidRPr="008B6655">
        <w:rPr>
          <w:color w:val="000000" w:themeColor="text1"/>
        </w:rPr>
        <w:t>pyruvate carboxylase.</w:t>
      </w:r>
    </w:p>
    <w:p w14:paraId="1D497921" w14:textId="77777777" w:rsidR="002B31B5" w:rsidRPr="008B6655" w:rsidRDefault="002B31B5" w:rsidP="002B31B5">
      <w:pPr>
        <w:spacing w:after="0" w:line="480" w:lineRule="auto"/>
        <w:jc w:val="both"/>
      </w:pPr>
    </w:p>
    <w:p w14:paraId="266D26D3" w14:textId="726DE24A" w:rsidR="00D72BC2" w:rsidRPr="008B6655" w:rsidRDefault="002B31B5" w:rsidP="002B31B5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rFonts w:hint="eastAsia"/>
          <w:b/>
          <w:bCs/>
          <w:color w:val="000000" w:themeColor="text1"/>
        </w:rPr>
        <w:t xml:space="preserve">Supplementary Figure </w:t>
      </w:r>
      <w:r w:rsidR="00D72BC2" w:rsidRPr="008B6655">
        <w:rPr>
          <w:b/>
          <w:bCs/>
          <w:color w:val="000000" w:themeColor="text1"/>
        </w:rPr>
        <w:t>7</w:t>
      </w:r>
      <w:r w:rsidRPr="008B6655">
        <w:rPr>
          <w:b/>
          <w:bCs/>
          <w:color w:val="000000" w:themeColor="text1"/>
        </w:rPr>
        <w:t xml:space="preserve">. </w:t>
      </w:r>
      <w:r w:rsidR="00970679" w:rsidRPr="008B6655">
        <w:rPr>
          <w:b/>
          <w:bCs/>
          <w:color w:val="000000" w:themeColor="text1"/>
        </w:rPr>
        <w:t>Combinatorial treatment induces a synergistic anti-tumor effect by suppressing mitochondrial function</w:t>
      </w:r>
      <w:r w:rsidR="00D72BC2" w:rsidRPr="008B6655">
        <w:rPr>
          <w:b/>
          <w:bCs/>
          <w:color w:val="000000" w:themeColor="text1"/>
        </w:rPr>
        <w:t xml:space="preserve"> </w:t>
      </w:r>
    </w:p>
    <w:p w14:paraId="68E627BE" w14:textId="669044B0" w:rsidR="002873D3" w:rsidRPr="008B6655" w:rsidRDefault="002B31B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(A)</w:t>
      </w:r>
      <w:r w:rsidRPr="008B6655">
        <w:rPr>
          <w:color w:val="000000" w:themeColor="text1"/>
        </w:rPr>
        <w:t xml:space="preserve"> </w:t>
      </w:r>
      <w:r w:rsidR="002873D3" w:rsidRPr="008B6655">
        <w:rPr>
          <w:color w:val="000000" w:themeColor="text1"/>
        </w:rPr>
        <w:t>Top: Immunoblotting to assess the expression of ETC proteins (Complex III and V) in 3D-cultured IGROV1 cell lysates using the same cells as in (B). HSP90 was used as a control. Bottom: Changes in ETC Complex V protein levels</w:t>
      </w:r>
      <w:r w:rsidR="00936762" w:rsidRPr="008B6655">
        <w:rPr>
          <w:color w:val="000000" w:themeColor="text1"/>
        </w:rPr>
        <w:t>,</w:t>
      </w:r>
      <w:r w:rsidR="002873D3" w:rsidRPr="008B6655">
        <w:rPr>
          <w:color w:val="000000" w:themeColor="text1"/>
        </w:rPr>
        <w:t xml:space="preserve"> normalized to HSP90</w:t>
      </w:r>
      <w:r w:rsidR="00936762" w:rsidRPr="008B6655">
        <w:rPr>
          <w:color w:val="000000" w:themeColor="text1"/>
        </w:rPr>
        <w:t>,</w:t>
      </w:r>
      <w:r w:rsidR="002873D3" w:rsidRPr="008B6655">
        <w:rPr>
          <w:color w:val="000000" w:themeColor="text1"/>
        </w:rPr>
        <w:t xml:space="preserve"> in 3D-cultured IGROV1 cells</w:t>
      </w:r>
      <w:r w:rsidR="00936762" w:rsidRPr="008B6655">
        <w:rPr>
          <w:color w:val="000000" w:themeColor="text1"/>
        </w:rPr>
        <w:t xml:space="preserve">, </w:t>
      </w:r>
      <w:r w:rsidR="002873D3" w:rsidRPr="008B6655">
        <w:rPr>
          <w:color w:val="000000" w:themeColor="text1"/>
        </w:rPr>
        <w:t>as described above (</w:t>
      </w:r>
      <w:r w:rsidR="002873D3" w:rsidRPr="008B6655">
        <w:rPr>
          <w:i/>
          <w:iCs/>
        </w:rPr>
        <w:t>n</w:t>
      </w:r>
      <w:r w:rsidR="002873D3" w:rsidRPr="008B6655">
        <w:t xml:space="preserve"> = 3 independent experiments</w:t>
      </w:r>
      <w:r w:rsidR="002873D3" w:rsidRPr="008B6655">
        <w:rPr>
          <w:color w:val="000000" w:themeColor="text1"/>
        </w:rPr>
        <w:t>).</w:t>
      </w:r>
    </w:p>
    <w:p w14:paraId="17FE3FDF" w14:textId="11235F7C" w:rsidR="002B31B5" w:rsidRPr="008B6655" w:rsidRDefault="002873D3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(B)</w:t>
      </w:r>
      <w:r w:rsidRPr="008B6655">
        <w:rPr>
          <w:color w:val="000000" w:themeColor="text1"/>
        </w:rPr>
        <w:t xml:space="preserve"> </w:t>
      </w:r>
      <w:r w:rsidR="002B31B5" w:rsidRPr="008B6655">
        <w:rPr>
          <w:color w:val="000000" w:themeColor="text1"/>
        </w:rPr>
        <w:t xml:space="preserve">Left: Representative figures showing changes in ROS production from mitochondria using MitoSOX Red (YFP) in 3D-cultured IGROV1 cells with </w:t>
      </w:r>
      <w:r w:rsidR="00B67108" w:rsidRPr="008B6655">
        <w:rPr>
          <w:color w:val="000000" w:themeColor="text1"/>
        </w:rPr>
        <w:t>d</w:t>
      </w:r>
      <w:r w:rsidR="002B31B5" w:rsidRPr="008B6655">
        <w:rPr>
          <w:color w:val="000000" w:themeColor="text1"/>
        </w:rPr>
        <w:t xml:space="preserve">isulfiram at the indicated dose for 48 h. Cells within the rectangle represent MitoSOX Red-positive cells. Right: Comparison of MitoSOX </w:t>
      </w:r>
      <w:r w:rsidR="002B31B5" w:rsidRPr="008B6655">
        <w:rPr>
          <w:color w:val="000000" w:themeColor="text1"/>
        </w:rPr>
        <w:lastRenderedPageBreak/>
        <w:t xml:space="preserve">Red </w:t>
      </w:r>
      <w:r w:rsidR="00831BEA" w:rsidRPr="008B6655">
        <w:rPr>
          <w:color w:val="000000" w:themeColor="text1"/>
        </w:rPr>
        <w:t xml:space="preserve">fluorescence </w:t>
      </w:r>
      <w:r w:rsidR="002B31B5" w:rsidRPr="008B6655">
        <w:rPr>
          <w:color w:val="000000" w:themeColor="text1"/>
        </w:rPr>
        <w:t>using geometric MFI in 3D-cultured IGROV1 cells</w:t>
      </w:r>
      <w:r w:rsidR="00831BEA" w:rsidRPr="008B6655">
        <w:rPr>
          <w:color w:val="000000" w:themeColor="text1"/>
        </w:rPr>
        <w:t>,</w:t>
      </w:r>
      <w:r w:rsidR="002B31B5" w:rsidRPr="008B6655">
        <w:rPr>
          <w:color w:val="000000" w:themeColor="text1"/>
        </w:rPr>
        <w:t xml:space="preserve"> as described above. (</w:t>
      </w:r>
      <w:r w:rsidR="007865A2" w:rsidRPr="008B6655">
        <w:rPr>
          <w:i/>
          <w:iCs/>
        </w:rPr>
        <w:t>n</w:t>
      </w:r>
      <w:r w:rsidR="007865A2" w:rsidRPr="008B6655">
        <w:t xml:space="preserve"> = 3 independent experiments</w:t>
      </w:r>
      <w:r w:rsidR="002B31B5" w:rsidRPr="008B6655">
        <w:rPr>
          <w:color w:val="000000" w:themeColor="text1"/>
        </w:rPr>
        <w:t>)</w:t>
      </w:r>
    </w:p>
    <w:p w14:paraId="0FE51918" w14:textId="0E9BDCCC" w:rsidR="002B31B5" w:rsidRPr="008B6655" w:rsidRDefault="006550A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(C)</w:t>
      </w:r>
      <w:r w:rsidRPr="008B6655">
        <w:rPr>
          <w:color w:val="000000" w:themeColor="text1"/>
        </w:rPr>
        <w:t xml:space="preserve"> </w:t>
      </w:r>
      <w:r w:rsidR="002B31B5" w:rsidRPr="008B6655">
        <w:rPr>
          <w:color w:val="000000" w:themeColor="text1"/>
        </w:rPr>
        <w:t>Comparison of MitoSOX Red</w:t>
      </w:r>
      <w:r w:rsidR="00CF1235" w:rsidRPr="008B6655">
        <w:rPr>
          <w:color w:val="000000" w:themeColor="text1"/>
        </w:rPr>
        <w:t xml:space="preserve"> fluorescence</w:t>
      </w:r>
      <w:r w:rsidR="002B31B5" w:rsidRPr="008B6655">
        <w:rPr>
          <w:color w:val="000000" w:themeColor="text1"/>
        </w:rPr>
        <w:t xml:space="preserve"> using geometric MFI in 3D-cultured A2780 cells with </w:t>
      </w:r>
      <w:r w:rsidR="00CF1235" w:rsidRPr="008B6655">
        <w:rPr>
          <w:color w:val="000000" w:themeColor="text1"/>
        </w:rPr>
        <w:t>c</w:t>
      </w:r>
      <w:r w:rsidR="002B31B5" w:rsidRPr="008B6655">
        <w:rPr>
          <w:color w:val="000000" w:themeColor="text1"/>
        </w:rPr>
        <w:t xml:space="preserve">ontrol, GNE-617, </w:t>
      </w:r>
      <w:r w:rsidR="00CF1235" w:rsidRPr="008B6655">
        <w:rPr>
          <w:color w:val="000000" w:themeColor="text1"/>
        </w:rPr>
        <w:t>d</w:t>
      </w:r>
      <w:r w:rsidR="002B31B5" w:rsidRPr="008B6655">
        <w:rPr>
          <w:color w:val="000000" w:themeColor="text1"/>
        </w:rPr>
        <w:t xml:space="preserve">isulfiram, and </w:t>
      </w:r>
      <w:r w:rsidR="00CF1235" w:rsidRPr="008B6655">
        <w:rPr>
          <w:color w:val="000000" w:themeColor="text1"/>
        </w:rPr>
        <w:t>c</w:t>
      </w:r>
      <w:r w:rsidR="002B31B5" w:rsidRPr="008B6655">
        <w:rPr>
          <w:color w:val="000000" w:themeColor="text1"/>
        </w:rPr>
        <w:t>ombinat</w:t>
      </w:r>
      <w:r w:rsidR="00CF1235" w:rsidRPr="008B6655">
        <w:rPr>
          <w:color w:val="000000" w:themeColor="text1"/>
        </w:rPr>
        <w:t>or</w:t>
      </w:r>
      <w:r w:rsidR="002B31B5" w:rsidRPr="008B6655">
        <w:rPr>
          <w:color w:val="000000" w:themeColor="text1"/>
        </w:rPr>
        <w:t>i</w:t>
      </w:r>
      <w:r w:rsidR="00CF1235" w:rsidRPr="008B6655">
        <w:rPr>
          <w:color w:val="000000" w:themeColor="text1"/>
        </w:rPr>
        <w:t>al</w:t>
      </w:r>
      <w:r w:rsidR="002B31B5" w:rsidRPr="008B6655">
        <w:rPr>
          <w:color w:val="000000" w:themeColor="text1"/>
        </w:rPr>
        <w:t xml:space="preserve"> treatment at the indicated doses for 48 h. (</w:t>
      </w:r>
      <w:r w:rsidR="007865A2" w:rsidRPr="008B6655">
        <w:rPr>
          <w:i/>
          <w:iCs/>
        </w:rPr>
        <w:t>n</w:t>
      </w:r>
      <w:r w:rsidR="007865A2" w:rsidRPr="008B6655">
        <w:t xml:space="preserve"> = </w:t>
      </w:r>
      <w:r w:rsidR="00BD01B2">
        <w:t>4</w:t>
      </w:r>
      <w:r w:rsidR="007865A2" w:rsidRPr="008B6655">
        <w:t xml:space="preserve"> </w:t>
      </w:r>
      <w:bookmarkStart w:id="1" w:name="_Hlk158852346"/>
      <w:r w:rsidR="00B24D02" w:rsidRPr="008B6655">
        <w:t>independent experiments</w:t>
      </w:r>
      <w:bookmarkEnd w:id="1"/>
      <w:r w:rsidR="002B31B5" w:rsidRPr="008B6655">
        <w:rPr>
          <w:color w:val="000000" w:themeColor="text1"/>
        </w:rPr>
        <w:t>)</w:t>
      </w:r>
    </w:p>
    <w:p w14:paraId="63006158" w14:textId="0D881870" w:rsidR="002B31B5" w:rsidRPr="008B6655" w:rsidRDefault="006550A5" w:rsidP="002B31B5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(D)</w:t>
      </w:r>
      <w:r w:rsidRPr="008B6655">
        <w:rPr>
          <w:color w:val="000000" w:themeColor="text1"/>
        </w:rPr>
        <w:t xml:space="preserve"> </w:t>
      </w:r>
      <w:r w:rsidR="002B31B5" w:rsidRPr="008B6655">
        <w:rPr>
          <w:color w:val="000000" w:themeColor="text1"/>
        </w:rPr>
        <w:t xml:space="preserve">Left: Representative </w:t>
      </w:r>
      <w:r w:rsidR="000929CD" w:rsidRPr="008B6655">
        <w:rPr>
          <w:color w:val="000000" w:themeColor="text1"/>
        </w:rPr>
        <w:t>image</w:t>
      </w:r>
      <w:r w:rsidR="002B31B5" w:rsidRPr="008B6655">
        <w:rPr>
          <w:color w:val="000000" w:themeColor="text1"/>
        </w:rPr>
        <w:t xml:space="preserve">s showing fluorescence analysis of A2780 spheroids with </w:t>
      </w:r>
      <w:r w:rsidR="00546294" w:rsidRPr="008B6655">
        <w:rPr>
          <w:color w:val="000000" w:themeColor="text1"/>
        </w:rPr>
        <w:t>c</w:t>
      </w:r>
      <w:r w:rsidR="002B31B5" w:rsidRPr="008B6655">
        <w:rPr>
          <w:color w:val="000000" w:themeColor="text1"/>
        </w:rPr>
        <w:t xml:space="preserve">ontrol, GNE-617, </w:t>
      </w:r>
      <w:r w:rsidR="00546294" w:rsidRPr="008B6655">
        <w:rPr>
          <w:color w:val="000000" w:themeColor="text1"/>
        </w:rPr>
        <w:t>d</w:t>
      </w:r>
      <w:r w:rsidR="002B31B5" w:rsidRPr="008B6655">
        <w:rPr>
          <w:color w:val="000000" w:themeColor="text1"/>
        </w:rPr>
        <w:t xml:space="preserve">isulfiram, and </w:t>
      </w:r>
      <w:r w:rsidR="00546294" w:rsidRPr="008B6655">
        <w:rPr>
          <w:color w:val="000000" w:themeColor="text1"/>
        </w:rPr>
        <w:t xml:space="preserve">combinatorial treatment </w:t>
      </w:r>
      <w:r w:rsidR="002B31B5" w:rsidRPr="008B6655">
        <w:rPr>
          <w:color w:val="000000" w:themeColor="text1"/>
        </w:rPr>
        <w:t xml:space="preserve">at the indicated doses. </w:t>
      </w:r>
      <w:r w:rsidR="00116675" w:rsidRPr="008B6655">
        <w:rPr>
          <w:color w:val="000000" w:themeColor="text1"/>
        </w:rPr>
        <w:t>Treatment commenced 3 days post cell seeding.</w:t>
      </w:r>
      <w:r w:rsidR="002B31B5" w:rsidRPr="008B6655">
        <w:rPr>
          <w:color w:val="000000" w:themeColor="text1"/>
        </w:rPr>
        <w:t xml:space="preserve"> Time-dependent bright field and fluorescent overlay images of cleaved caspase-3/7 for the spheroids. Right: Quantification of Cleaved caspase-3/7 Green Mean Intensity over time (days) using IncuCyte S3. (</w:t>
      </w:r>
      <w:r w:rsidR="002E47A8" w:rsidRPr="008B6655">
        <w:rPr>
          <w:i/>
          <w:iCs/>
        </w:rPr>
        <w:t>n</w:t>
      </w:r>
      <w:r w:rsidR="002E47A8" w:rsidRPr="008B6655">
        <w:t xml:space="preserve"> = 4 </w:t>
      </w:r>
      <w:r w:rsidR="00562AD9" w:rsidRPr="008B6655">
        <w:t>independent experiments</w:t>
      </w:r>
      <w:r w:rsidR="002B31B5" w:rsidRPr="008B6655">
        <w:rPr>
          <w:color w:val="000000" w:themeColor="text1"/>
        </w:rPr>
        <w:t>)</w:t>
      </w:r>
    </w:p>
    <w:p w14:paraId="22CE8079" w14:textId="75582BA8" w:rsidR="00D77FC2" w:rsidRPr="008B6655" w:rsidRDefault="006550A5" w:rsidP="00D77FC2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  <w:color w:val="000000" w:themeColor="text1"/>
        </w:rPr>
        <w:t>(E)</w:t>
      </w:r>
      <w:r w:rsidR="00D77FC2" w:rsidRPr="008B6655">
        <w:rPr>
          <w:b/>
          <w:bCs/>
          <w:color w:val="000000" w:themeColor="text1"/>
        </w:rPr>
        <w:t xml:space="preserve"> </w:t>
      </w:r>
      <w:r w:rsidR="00D77FC2" w:rsidRPr="008B6655">
        <w:rPr>
          <w:color w:val="000000" w:themeColor="text1"/>
        </w:rPr>
        <w:t>Changes in GF-AFC substrate intensity (left), bis-AAF-R110 substrate intensity normalized to viability (middle), and cleaved caspase-3/7 normalized to viability (right) in 3D-cultured A2780 cells after treatment with GNE-617, disulfiram, and combinatorial therapy at the indicated doses for 96 h (</w:t>
      </w:r>
      <w:r w:rsidR="00D77FC2" w:rsidRPr="008B6655">
        <w:rPr>
          <w:i/>
          <w:iCs/>
        </w:rPr>
        <w:t>n</w:t>
      </w:r>
      <w:r w:rsidR="00D77FC2" w:rsidRPr="008B6655">
        <w:t xml:space="preserve"> = </w:t>
      </w:r>
      <w:r w:rsidR="00887828" w:rsidRPr="008B6655">
        <w:t>5</w:t>
      </w:r>
      <w:r w:rsidR="00D77FC2" w:rsidRPr="008B6655">
        <w:t xml:space="preserve"> </w:t>
      </w:r>
      <w:r w:rsidR="00562AD9" w:rsidRPr="008B6655">
        <w:t>independent experiments</w:t>
      </w:r>
      <w:r w:rsidR="00D77FC2" w:rsidRPr="008B6655">
        <w:rPr>
          <w:color w:val="000000" w:themeColor="text1"/>
        </w:rPr>
        <w:t>).</w:t>
      </w:r>
    </w:p>
    <w:p w14:paraId="0FEB95BA" w14:textId="455857BC" w:rsidR="00D77FC2" w:rsidRPr="008B6655" w:rsidRDefault="00D77FC2" w:rsidP="00887828">
      <w:pPr>
        <w:spacing w:after="0" w:line="480" w:lineRule="auto"/>
        <w:jc w:val="both"/>
        <w:rPr>
          <w:color w:val="000000" w:themeColor="text1"/>
        </w:rPr>
      </w:pPr>
      <w:r w:rsidRPr="008B6655">
        <w:rPr>
          <w:b/>
          <w:bCs/>
          <w:color w:val="000000" w:themeColor="text1"/>
        </w:rPr>
        <w:t>(F)</w:t>
      </w:r>
      <w:r w:rsidRPr="008B6655">
        <w:rPr>
          <w:color w:val="000000" w:themeColor="text1"/>
        </w:rPr>
        <w:t xml:space="preserve"> Changes in treatment with Z-VAD-FMK 20 μM for 1 h before the same treatment as (</w:t>
      </w:r>
      <w:r w:rsidR="00887828" w:rsidRPr="008B6655">
        <w:rPr>
          <w:color w:val="000000" w:themeColor="text1"/>
        </w:rPr>
        <w:t>E</w:t>
      </w:r>
      <w:r w:rsidRPr="008B6655">
        <w:rPr>
          <w:color w:val="000000" w:themeColor="text1"/>
        </w:rPr>
        <w:t>). (</w:t>
      </w:r>
      <w:r w:rsidRPr="008B6655">
        <w:rPr>
          <w:i/>
          <w:iCs/>
        </w:rPr>
        <w:t>n</w:t>
      </w:r>
      <w:r w:rsidRPr="008B6655">
        <w:t xml:space="preserve"> = </w:t>
      </w:r>
      <w:r w:rsidR="00887828" w:rsidRPr="008B6655">
        <w:t>5</w:t>
      </w:r>
      <w:r w:rsidRPr="008B6655">
        <w:t xml:space="preserve"> </w:t>
      </w:r>
      <w:r w:rsidR="00C937D0" w:rsidRPr="008B6655">
        <w:t>independent experiments</w:t>
      </w:r>
      <w:r w:rsidRPr="008B6655">
        <w:rPr>
          <w:color w:val="000000" w:themeColor="text1"/>
        </w:rPr>
        <w:t>)</w:t>
      </w:r>
    </w:p>
    <w:p w14:paraId="62627F07" w14:textId="062E2B87" w:rsidR="00B310DA" w:rsidRPr="008B6655" w:rsidRDefault="00B310DA" w:rsidP="00B310DA">
      <w:pPr>
        <w:spacing w:after="0" w:line="480" w:lineRule="auto"/>
        <w:jc w:val="both"/>
      </w:pPr>
      <w:r w:rsidRPr="008B6655">
        <w:t xml:space="preserve">Graph data were presented as mean ± SD with </w:t>
      </w:r>
      <w:r w:rsidRPr="008B6655">
        <w:rPr>
          <w:i/>
          <w:iCs/>
        </w:rPr>
        <w:t>n</w:t>
      </w:r>
      <w:r w:rsidRPr="008B6655">
        <w:t xml:space="preserve"> = 3-5 per group.</w:t>
      </w:r>
    </w:p>
    <w:p w14:paraId="62AE0E4A" w14:textId="77777777" w:rsidR="00D72BC2" w:rsidRPr="008B6655" w:rsidRDefault="00D72BC2" w:rsidP="00B310DA">
      <w:pPr>
        <w:spacing w:after="0" w:line="480" w:lineRule="auto"/>
        <w:jc w:val="both"/>
      </w:pPr>
    </w:p>
    <w:p w14:paraId="08D1C5AC" w14:textId="64F6D433" w:rsidR="00AF3706" w:rsidRPr="008B6655" w:rsidRDefault="00AF3706" w:rsidP="00AF3706">
      <w:pPr>
        <w:spacing w:after="0" w:line="480" w:lineRule="auto"/>
        <w:jc w:val="both"/>
        <w:rPr>
          <w:b/>
          <w:bCs/>
          <w:color w:val="000000" w:themeColor="text1"/>
        </w:rPr>
      </w:pPr>
      <w:r w:rsidRPr="008B6655">
        <w:rPr>
          <w:b/>
          <w:bCs/>
          <w:color w:val="000000" w:themeColor="text1"/>
        </w:rPr>
        <w:t xml:space="preserve">Figure 8. </w:t>
      </w:r>
      <w:r w:rsidR="00970679" w:rsidRPr="008B6655">
        <w:rPr>
          <w:b/>
          <w:bCs/>
          <w:color w:val="000000" w:themeColor="text1"/>
        </w:rPr>
        <w:t xml:space="preserve">Combinatorial treatment significantly inhibits tumor growth and extends the survival </w:t>
      </w:r>
      <w:r w:rsidR="00970679" w:rsidRPr="008B6655">
        <w:rPr>
          <w:b/>
          <w:bCs/>
          <w:i/>
          <w:iCs/>
          <w:color w:val="000000" w:themeColor="text1"/>
        </w:rPr>
        <w:t>in vivo</w:t>
      </w:r>
    </w:p>
    <w:p w14:paraId="381D3BF6" w14:textId="56894FA7" w:rsidR="00A00EBB" w:rsidRPr="008B6655" w:rsidRDefault="00AF3706" w:rsidP="00A00EBB">
      <w:pPr>
        <w:spacing w:after="0" w:line="480" w:lineRule="auto"/>
        <w:jc w:val="both"/>
      </w:pPr>
      <w:r w:rsidRPr="008B6655">
        <w:rPr>
          <w:b/>
          <w:bCs/>
          <w:color w:val="000000" w:themeColor="text1"/>
        </w:rPr>
        <w:t>(A)</w:t>
      </w:r>
      <w:r w:rsidRPr="008B6655">
        <w:rPr>
          <w:color w:val="000000" w:themeColor="text1"/>
        </w:rPr>
        <w:t xml:space="preserve"> </w:t>
      </w:r>
      <w:r w:rsidR="00A00EBB" w:rsidRPr="008B6655">
        <w:t>Comparison of body weight in mice subcutaneously injected with IGROV1 cells before treatment. (</w:t>
      </w:r>
      <w:r w:rsidR="00A00EBB" w:rsidRPr="008B6655">
        <w:rPr>
          <w:i/>
          <w:iCs/>
        </w:rPr>
        <w:t>n</w:t>
      </w:r>
      <w:r w:rsidR="00A00EBB" w:rsidRPr="008B6655">
        <w:t xml:space="preserve"> = 8 independent experiments)</w:t>
      </w:r>
    </w:p>
    <w:p w14:paraId="0E33CA65" w14:textId="30B88E9F" w:rsidR="00A00EBB" w:rsidRPr="008B6655" w:rsidRDefault="00A00EBB" w:rsidP="00A00EBB">
      <w:pPr>
        <w:spacing w:after="0" w:line="480" w:lineRule="auto"/>
        <w:jc w:val="both"/>
        <w:rPr>
          <w:b/>
          <w:bCs/>
        </w:rPr>
      </w:pPr>
      <w:r w:rsidRPr="008B6655">
        <w:rPr>
          <w:b/>
          <w:bCs/>
        </w:rPr>
        <w:lastRenderedPageBreak/>
        <w:t xml:space="preserve">(B) </w:t>
      </w:r>
      <w:r w:rsidRPr="008B6655">
        <w:t xml:space="preserve">Change </w:t>
      </w:r>
      <w:r w:rsidR="00820E53" w:rsidRPr="008B6655">
        <w:t>in</w:t>
      </w:r>
      <w:r w:rsidRPr="008B6655">
        <w:t xml:space="preserve"> body weight in mice </w:t>
      </w:r>
      <w:bookmarkStart w:id="2" w:name="OLE_LINK1"/>
      <w:r w:rsidR="00820E53" w:rsidRPr="008B6655">
        <w:t>receiving</w:t>
      </w:r>
      <w:bookmarkEnd w:id="2"/>
      <w:r w:rsidRPr="008B6655">
        <w:t xml:space="preserve"> vehicle control, GNE-617, disulfiram, or the combinatorial treatment for 5 consecutive days. (</w:t>
      </w:r>
      <w:r w:rsidRPr="008B6655">
        <w:rPr>
          <w:i/>
          <w:iCs/>
        </w:rPr>
        <w:t>n</w:t>
      </w:r>
      <w:r w:rsidRPr="008B6655">
        <w:t xml:space="preserve"> = 8 independent experiments)</w:t>
      </w:r>
    </w:p>
    <w:p w14:paraId="26508F9C" w14:textId="37A0762B" w:rsidR="00A00EBB" w:rsidRPr="008B6655" w:rsidRDefault="00A00EBB" w:rsidP="00A00EBB">
      <w:pPr>
        <w:spacing w:after="0" w:line="480" w:lineRule="auto"/>
        <w:jc w:val="both"/>
      </w:pPr>
      <w:r w:rsidRPr="008B6655">
        <w:rPr>
          <w:b/>
          <w:bCs/>
        </w:rPr>
        <w:t xml:space="preserve">(C) </w:t>
      </w:r>
      <w:r w:rsidRPr="008B6655">
        <w:t>Comparison of body weight in mice intraperitoneally injected with A2780 cells before treatment. (</w:t>
      </w:r>
      <w:r w:rsidRPr="008B6655">
        <w:rPr>
          <w:i/>
          <w:iCs/>
        </w:rPr>
        <w:t>n</w:t>
      </w:r>
      <w:r w:rsidRPr="008B6655">
        <w:t xml:space="preserve"> = 11 independent experiments)</w:t>
      </w:r>
    </w:p>
    <w:p w14:paraId="7C0D9064" w14:textId="74101C15" w:rsidR="00C706F5" w:rsidRPr="00820E53" w:rsidRDefault="00A00EBB" w:rsidP="00AF3706">
      <w:pPr>
        <w:spacing w:after="0" w:line="480" w:lineRule="auto"/>
        <w:jc w:val="both"/>
      </w:pPr>
      <w:r w:rsidRPr="008B6655">
        <w:rPr>
          <w:b/>
          <w:bCs/>
        </w:rPr>
        <w:t xml:space="preserve">(D) </w:t>
      </w:r>
      <w:r w:rsidRPr="008B6655">
        <w:t xml:space="preserve">Change </w:t>
      </w:r>
      <w:r w:rsidR="00820E53" w:rsidRPr="008B6655">
        <w:t>in</w:t>
      </w:r>
      <w:r w:rsidRPr="008B6655">
        <w:t xml:space="preserve"> body weight in mice </w:t>
      </w:r>
      <w:r w:rsidR="00820E53" w:rsidRPr="008B6655">
        <w:t>receiving</w:t>
      </w:r>
      <w:r w:rsidRPr="008B6655">
        <w:t xml:space="preserve"> vehicle control, GNE-617, disulfiram, or the combinatorial treatment for 5 consecutive days. (</w:t>
      </w:r>
      <w:r w:rsidRPr="008B6655">
        <w:rPr>
          <w:i/>
          <w:iCs/>
        </w:rPr>
        <w:t>n</w:t>
      </w:r>
      <w:r w:rsidRPr="008B6655">
        <w:t xml:space="preserve"> = 11 independent experiments)</w:t>
      </w:r>
    </w:p>
    <w:sectPr w:rsidR="00C706F5" w:rsidRPr="00820E53" w:rsidSect="00A77D08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C20B7" w14:textId="77777777" w:rsidR="00A77D08" w:rsidRDefault="00A77D08" w:rsidP="007802DA">
      <w:pPr>
        <w:spacing w:after="0" w:line="240" w:lineRule="auto"/>
      </w:pPr>
      <w:r>
        <w:separator/>
      </w:r>
    </w:p>
  </w:endnote>
  <w:endnote w:type="continuationSeparator" w:id="0">
    <w:p w14:paraId="76C0FF80" w14:textId="77777777" w:rsidR="00A77D08" w:rsidRDefault="00A77D08" w:rsidP="00780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44179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1C0C9E" w14:textId="2A37E1F8" w:rsidR="007802DA" w:rsidRDefault="007802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72E528" w14:textId="77777777" w:rsidR="007802DA" w:rsidRDefault="0078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08E93" w14:textId="77777777" w:rsidR="00A77D08" w:rsidRDefault="00A77D08" w:rsidP="007802DA">
      <w:pPr>
        <w:spacing w:after="0" w:line="240" w:lineRule="auto"/>
      </w:pPr>
      <w:r>
        <w:separator/>
      </w:r>
    </w:p>
  </w:footnote>
  <w:footnote w:type="continuationSeparator" w:id="0">
    <w:p w14:paraId="63C89489" w14:textId="77777777" w:rsidR="00A77D08" w:rsidRDefault="00A77D08" w:rsidP="00780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0A131" w14:textId="7209CEBA" w:rsidR="004A21B0" w:rsidRDefault="004A21B0" w:rsidP="004A21B0">
    <w:pPr>
      <w:pStyle w:val="Header"/>
      <w:tabs>
        <w:tab w:val="clear" w:pos="4680"/>
        <w:tab w:val="clear" w:pos="9360"/>
      </w:tabs>
      <w:jc w:val="right"/>
    </w:pPr>
    <w:r w:rsidRPr="00587262">
      <w:rPr>
        <w:color w:val="8496B0" w:themeColor="text2" w:themeTint="99"/>
        <w:szCs w:val="24"/>
      </w:rPr>
      <w:t>Combining NAMPT Inhibitors &amp; Disulfiram in Ovarian Cancer</w:t>
    </w:r>
  </w:p>
  <w:p w14:paraId="0A5FA8D3" w14:textId="70A7D7AC" w:rsidR="004A21B0" w:rsidRDefault="004A21B0">
    <w:pPr>
      <w:pStyle w:val="Header"/>
    </w:pPr>
  </w:p>
  <w:p w14:paraId="462A7DAB" w14:textId="77777777" w:rsidR="004A21B0" w:rsidRDefault="004A21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F4EA7"/>
    <w:multiLevelType w:val="hybridMultilevel"/>
    <w:tmpl w:val="F370D348"/>
    <w:lvl w:ilvl="0" w:tplc="7DF236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913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DA"/>
    <w:rsid w:val="00000647"/>
    <w:rsid w:val="000170A0"/>
    <w:rsid w:val="000201B2"/>
    <w:rsid w:val="00020A99"/>
    <w:rsid w:val="00032621"/>
    <w:rsid w:val="00046F1E"/>
    <w:rsid w:val="00055AA2"/>
    <w:rsid w:val="00076BCE"/>
    <w:rsid w:val="000929CD"/>
    <w:rsid w:val="00096AF2"/>
    <w:rsid w:val="000A0706"/>
    <w:rsid w:val="000A0793"/>
    <w:rsid w:val="000A29C9"/>
    <w:rsid w:val="000A769C"/>
    <w:rsid w:val="000D105E"/>
    <w:rsid w:val="00116675"/>
    <w:rsid w:val="0013013A"/>
    <w:rsid w:val="0015028B"/>
    <w:rsid w:val="00153DE4"/>
    <w:rsid w:val="00157FC3"/>
    <w:rsid w:val="001826A6"/>
    <w:rsid w:val="001832CC"/>
    <w:rsid w:val="00185537"/>
    <w:rsid w:val="00185FB8"/>
    <w:rsid w:val="001A6FC3"/>
    <w:rsid w:val="001D13F4"/>
    <w:rsid w:val="001D5E7A"/>
    <w:rsid w:val="001F1291"/>
    <w:rsid w:val="002022B3"/>
    <w:rsid w:val="00211765"/>
    <w:rsid w:val="00211859"/>
    <w:rsid w:val="002464F3"/>
    <w:rsid w:val="002550E8"/>
    <w:rsid w:val="0026006E"/>
    <w:rsid w:val="00262E48"/>
    <w:rsid w:val="002656C4"/>
    <w:rsid w:val="002873D3"/>
    <w:rsid w:val="0029094C"/>
    <w:rsid w:val="00296E97"/>
    <w:rsid w:val="00297C77"/>
    <w:rsid w:val="002A3573"/>
    <w:rsid w:val="002B1CE0"/>
    <w:rsid w:val="002B31B5"/>
    <w:rsid w:val="002C242C"/>
    <w:rsid w:val="002C69E5"/>
    <w:rsid w:val="002C7470"/>
    <w:rsid w:val="002D0406"/>
    <w:rsid w:val="002D6FCC"/>
    <w:rsid w:val="002E1772"/>
    <w:rsid w:val="002E47A8"/>
    <w:rsid w:val="002E77CD"/>
    <w:rsid w:val="002F5417"/>
    <w:rsid w:val="003162C1"/>
    <w:rsid w:val="003203B5"/>
    <w:rsid w:val="00326BA8"/>
    <w:rsid w:val="00351189"/>
    <w:rsid w:val="00372C6A"/>
    <w:rsid w:val="00384A64"/>
    <w:rsid w:val="003A12D0"/>
    <w:rsid w:val="003B79A6"/>
    <w:rsid w:val="003D49CA"/>
    <w:rsid w:val="003D4BAF"/>
    <w:rsid w:val="003F7466"/>
    <w:rsid w:val="00450690"/>
    <w:rsid w:val="00485B54"/>
    <w:rsid w:val="00485B7A"/>
    <w:rsid w:val="004A21B0"/>
    <w:rsid w:val="004A394A"/>
    <w:rsid w:val="004B095B"/>
    <w:rsid w:val="004B5702"/>
    <w:rsid w:val="004D50B0"/>
    <w:rsid w:val="004F6A20"/>
    <w:rsid w:val="0051402E"/>
    <w:rsid w:val="00520070"/>
    <w:rsid w:val="005265CB"/>
    <w:rsid w:val="00531653"/>
    <w:rsid w:val="00546294"/>
    <w:rsid w:val="00562352"/>
    <w:rsid w:val="00562AD9"/>
    <w:rsid w:val="00562FF8"/>
    <w:rsid w:val="005653AE"/>
    <w:rsid w:val="0058517C"/>
    <w:rsid w:val="00586FFD"/>
    <w:rsid w:val="005A4DEA"/>
    <w:rsid w:val="005B32BA"/>
    <w:rsid w:val="005D125A"/>
    <w:rsid w:val="005F38A7"/>
    <w:rsid w:val="00604EEB"/>
    <w:rsid w:val="006201E5"/>
    <w:rsid w:val="00623A5C"/>
    <w:rsid w:val="00632D33"/>
    <w:rsid w:val="006332D8"/>
    <w:rsid w:val="00645A2E"/>
    <w:rsid w:val="006550A5"/>
    <w:rsid w:val="00664203"/>
    <w:rsid w:val="006658E6"/>
    <w:rsid w:val="00666AC8"/>
    <w:rsid w:val="00667877"/>
    <w:rsid w:val="0069451C"/>
    <w:rsid w:val="006968B0"/>
    <w:rsid w:val="006B1BAE"/>
    <w:rsid w:val="006C4599"/>
    <w:rsid w:val="006E1D59"/>
    <w:rsid w:val="006F28A9"/>
    <w:rsid w:val="00730451"/>
    <w:rsid w:val="00736592"/>
    <w:rsid w:val="00747C9D"/>
    <w:rsid w:val="007611D5"/>
    <w:rsid w:val="007802DA"/>
    <w:rsid w:val="00785EE2"/>
    <w:rsid w:val="007865A2"/>
    <w:rsid w:val="00793CE2"/>
    <w:rsid w:val="0079495E"/>
    <w:rsid w:val="007A0074"/>
    <w:rsid w:val="007A4885"/>
    <w:rsid w:val="007B0EF8"/>
    <w:rsid w:val="007E47C7"/>
    <w:rsid w:val="007F13C8"/>
    <w:rsid w:val="007F4DE0"/>
    <w:rsid w:val="008101FB"/>
    <w:rsid w:val="00817ED2"/>
    <w:rsid w:val="00820E53"/>
    <w:rsid w:val="00831BEA"/>
    <w:rsid w:val="0083306E"/>
    <w:rsid w:val="00837A98"/>
    <w:rsid w:val="0084299E"/>
    <w:rsid w:val="008569F8"/>
    <w:rsid w:val="008625D5"/>
    <w:rsid w:val="008861E1"/>
    <w:rsid w:val="00887828"/>
    <w:rsid w:val="008960EA"/>
    <w:rsid w:val="008973A2"/>
    <w:rsid w:val="008B6655"/>
    <w:rsid w:val="008B679F"/>
    <w:rsid w:val="008C187A"/>
    <w:rsid w:val="008D23E3"/>
    <w:rsid w:val="008D3521"/>
    <w:rsid w:val="008F49C3"/>
    <w:rsid w:val="009073D8"/>
    <w:rsid w:val="00930E64"/>
    <w:rsid w:val="00936762"/>
    <w:rsid w:val="00945DB7"/>
    <w:rsid w:val="009565FE"/>
    <w:rsid w:val="00956990"/>
    <w:rsid w:val="009672F3"/>
    <w:rsid w:val="00970679"/>
    <w:rsid w:val="00982E93"/>
    <w:rsid w:val="00986C62"/>
    <w:rsid w:val="009921D0"/>
    <w:rsid w:val="009A0D56"/>
    <w:rsid w:val="009A7A76"/>
    <w:rsid w:val="009E1C35"/>
    <w:rsid w:val="009E4A53"/>
    <w:rsid w:val="009E64E3"/>
    <w:rsid w:val="009E6939"/>
    <w:rsid w:val="00A00EBB"/>
    <w:rsid w:val="00A40762"/>
    <w:rsid w:val="00A44C39"/>
    <w:rsid w:val="00A46AA5"/>
    <w:rsid w:val="00A5035F"/>
    <w:rsid w:val="00A65317"/>
    <w:rsid w:val="00A70E55"/>
    <w:rsid w:val="00A77D08"/>
    <w:rsid w:val="00A83918"/>
    <w:rsid w:val="00A8541B"/>
    <w:rsid w:val="00A926C7"/>
    <w:rsid w:val="00AA58FD"/>
    <w:rsid w:val="00AC2AA8"/>
    <w:rsid w:val="00AC58C8"/>
    <w:rsid w:val="00AD42D2"/>
    <w:rsid w:val="00AE7362"/>
    <w:rsid w:val="00AF3706"/>
    <w:rsid w:val="00B023F9"/>
    <w:rsid w:val="00B0247A"/>
    <w:rsid w:val="00B24D02"/>
    <w:rsid w:val="00B310DA"/>
    <w:rsid w:val="00B370DA"/>
    <w:rsid w:val="00B406B8"/>
    <w:rsid w:val="00B443ED"/>
    <w:rsid w:val="00B600F4"/>
    <w:rsid w:val="00B67108"/>
    <w:rsid w:val="00B77199"/>
    <w:rsid w:val="00B77740"/>
    <w:rsid w:val="00B86D46"/>
    <w:rsid w:val="00B9467A"/>
    <w:rsid w:val="00B974FD"/>
    <w:rsid w:val="00BA6471"/>
    <w:rsid w:val="00BA753A"/>
    <w:rsid w:val="00BA7B0A"/>
    <w:rsid w:val="00BB27BE"/>
    <w:rsid w:val="00BC4445"/>
    <w:rsid w:val="00BD01B2"/>
    <w:rsid w:val="00BD186F"/>
    <w:rsid w:val="00BF6B81"/>
    <w:rsid w:val="00C018C8"/>
    <w:rsid w:val="00C13CA3"/>
    <w:rsid w:val="00C42276"/>
    <w:rsid w:val="00C63566"/>
    <w:rsid w:val="00C706F5"/>
    <w:rsid w:val="00C749F9"/>
    <w:rsid w:val="00C76D34"/>
    <w:rsid w:val="00C8278E"/>
    <w:rsid w:val="00C84CC5"/>
    <w:rsid w:val="00C937D0"/>
    <w:rsid w:val="00CE4367"/>
    <w:rsid w:val="00CF1235"/>
    <w:rsid w:val="00D001D4"/>
    <w:rsid w:val="00D0205B"/>
    <w:rsid w:val="00D022CA"/>
    <w:rsid w:val="00D14CDD"/>
    <w:rsid w:val="00D20AE0"/>
    <w:rsid w:val="00D26A6A"/>
    <w:rsid w:val="00D356D3"/>
    <w:rsid w:val="00D36E3F"/>
    <w:rsid w:val="00D5573A"/>
    <w:rsid w:val="00D572EC"/>
    <w:rsid w:val="00D620EA"/>
    <w:rsid w:val="00D63333"/>
    <w:rsid w:val="00D66EB5"/>
    <w:rsid w:val="00D72BC2"/>
    <w:rsid w:val="00D77E21"/>
    <w:rsid w:val="00D77FC2"/>
    <w:rsid w:val="00D81A49"/>
    <w:rsid w:val="00D84E5E"/>
    <w:rsid w:val="00DA2BB4"/>
    <w:rsid w:val="00DA4747"/>
    <w:rsid w:val="00DA767C"/>
    <w:rsid w:val="00DB74ED"/>
    <w:rsid w:val="00DD08EB"/>
    <w:rsid w:val="00DD762B"/>
    <w:rsid w:val="00DE7AF1"/>
    <w:rsid w:val="00DF30B8"/>
    <w:rsid w:val="00DF5532"/>
    <w:rsid w:val="00E06790"/>
    <w:rsid w:val="00E07EC4"/>
    <w:rsid w:val="00E11701"/>
    <w:rsid w:val="00E1426C"/>
    <w:rsid w:val="00E16ECF"/>
    <w:rsid w:val="00E2296A"/>
    <w:rsid w:val="00E50557"/>
    <w:rsid w:val="00E57E97"/>
    <w:rsid w:val="00E71187"/>
    <w:rsid w:val="00E76FBE"/>
    <w:rsid w:val="00E85FD3"/>
    <w:rsid w:val="00EA128A"/>
    <w:rsid w:val="00EC414B"/>
    <w:rsid w:val="00EC49A0"/>
    <w:rsid w:val="00ED71AC"/>
    <w:rsid w:val="00F16603"/>
    <w:rsid w:val="00F2237A"/>
    <w:rsid w:val="00F2595F"/>
    <w:rsid w:val="00F26EFE"/>
    <w:rsid w:val="00F511C7"/>
    <w:rsid w:val="00F51892"/>
    <w:rsid w:val="00F54F64"/>
    <w:rsid w:val="00F57A05"/>
    <w:rsid w:val="00FA06D1"/>
    <w:rsid w:val="00FA1C34"/>
    <w:rsid w:val="00FB27B9"/>
    <w:rsid w:val="00FC34AA"/>
    <w:rsid w:val="00FC3FD7"/>
    <w:rsid w:val="00FD4068"/>
    <w:rsid w:val="00FE3091"/>
    <w:rsid w:val="00FF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6A328"/>
  <w15:docId w15:val="{3DD39B4B-E87C-44A9-8FA4-D5BDB7709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Yu Gothic" w:hAnsi="Times New Roman" w:cstheme="minorBidi"/>
        <w:kern w:val="2"/>
        <w:sz w:val="24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802DA"/>
  </w:style>
  <w:style w:type="paragraph" w:styleId="Header">
    <w:name w:val="header"/>
    <w:basedOn w:val="Normal"/>
    <w:link w:val="HeaderChar"/>
    <w:uiPriority w:val="99"/>
    <w:unhideWhenUsed/>
    <w:rsid w:val="00780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2DA"/>
  </w:style>
  <w:style w:type="paragraph" w:styleId="Footer">
    <w:name w:val="footer"/>
    <w:basedOn w:val="Normal"/>
    <w:link w:val="FooterChar"/>
    <w:uiPriority w:val="99"/>
    <w:unhideWhenUsed/>
    <w:rsid w:val="00780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2DA"/>
  </w:style>
  <w:style w:type="character" w:styleId="Hyperlink">
    <w:name w:val="Hyperlink"/>
    <w:basedOn w:val="DefaultParagraphFont"/>
    <w:uiPriority w:val="99"/>
    <w:unhideWhenUsed/>
    <w:rsid w:val="001502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28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6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FA239-9225-49A7-A58C-5A75A64FF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1621</Words>
  <Characters>9240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Kudo Kei</dc:creator>
  <cp:keywords/>
  <dc:description/>
  <cp:lastModifiedBy>Kudo, Kei (NIH/NCI) [F]</cp:lastModifiedBy>
  <cp:revision>3</cp:revision>
  <cp:lastPrinted>2023-10-08T06:56:00Z</cp:lastPrinted>
  <dcterms:created xsi:type="dcterms:W3CDTF">2024-02-17T19:40:00Z</dcterms:created>
  <dcterms:modified xsi:type="dcterms:W3CDTF">2024-02-17T19:40:00Z</dcterms:modified>
</cp:coreProperties>
</file>