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EB8E0" w14:textId="77777777" w:rsidR="00A911F1" w:rsidRDefault="00A911F1" w:rsidP="00A911F1">
      <w:pPr>
        <w:pStyle w:val="Title"/>
        <w:rPr>
          <w:rStyle w:val="cf01"/>
          <w:rFonts w:ascii="Arial" w:hAnsi="Arial" w:cs="Arial"/>
          <w:sz w:val="32"/>
          <w:szCs w:val="32"/>
        </w:rPr>
      </w:pPr>
      <w:r>
        <w:rPr>
          <w:rStyle w:val="cf01"/>
          <w:rFonts w:ascii="Arial" w:hAnsi="Arial" w:cs="Arial"/>
          <w:sz w:val="32"/>
          <w:szCs w:val="32"/>
        </w:rPr>
        <w:t>Global Basins under Climate Mitigation &amp; Adaptation targets</w:t>
      </w:r>
    </w:p>
    <w:p w14:paraId="76F723E4" w14:textId="77777777" w:rsidR="00A911F1" w:rsidRPr="008202D4" w:rsidRDefault="00A911F1" w:rsidP="00A911F1"/>
    <w:p w14:paraId="0228DCB7" w14:textId="77777777" w:rsidR="00A911F1" w:rsidRPr="00FC277D" w:rsidRDefault="00A911F1" w:rsidP="00A911F1">
      <w:pPr>
        <w:jc w:val="both"/>
      </w:pPr>
      <w:r>
        <w:t>Muhammad Awais</w:t>
      </w:r>
      <w:r w:rsidRPr="00C26311">
        <w:rPr>
          <w:vertAlign w:val="superscript"/>
        </w:rPr>
        <w:t>1</w:t>
      </w:r>
      <w:r>
        <w:rPr>
          <w:vertAlign w:val="superscript"/>
        </w:rPr>
        <w:t>,2</w:t>
      </w:r>
      <w:r>
        <w:t>, Adriano Vinca</w:t>
      </w:r>
      <w:r w:rsidRPr="00C26311">
        <w:rPr>
          <w:vertAlign w:val="superscript"/>
        </w:rPr>
        <w:t>1</w:t>
      </w:r>
      <w:r>
        <w:t>, Edward Byers</w:t>
      </w:r>
      <w:r w:rsidRPr="00FA55B2">
        <w:rPr>
          <w:vertAlign w:val="superscript"/>
        </w:rPr>
        <w:t>1</w:t>
      </w:r>
      <w:r>
        <w:t>,</w:t>
      </w:r>
      <w:r w:rsidRPr="00C81C65">
        <w:t xml:space="preserve"> Marina Andrijevic</w:t>
      </w:r>
      <w:r w:rsidRPr="00FA55B2">
        <w:rPr>
          <w:vertAlign w:val="superscript"/>
        </w:rPr>
        <w:t>1</w:t>
      </w:r>
      <w:r>
        <w:t>,</w:t>
      </w:r>
      <w:r w:rsidRPr="00FC277D">
        <w:rPr>
          <w:rStyle w:val="normaltextrun"/>
          <w:color w:val="000000"/>
          <w:shd w:val="clear" w:color="auto" w:fill="FFFFFF"/>
          <w:lang w:val="en-GB"/>
        </w:rPr>
        <w:t xml:space="preserve"> </w:t>
      </w:r>
      <w:r>
        <w:rPr>
          <w:rStyle w:val="normaltextrun"/>
          <w:color w:val="000000"/>
          <w:shd w:val="clear" w:color="auto" w:fill="FFFFFF"/>
          <w:lang w:val="en-GB"/>
        </w:rPr>
        <w:t>Mathijs Harmsen</w:t>
      </w:r>
      <w:r>
        <w:rPr>
          <w:rStyle w:val="normaltextrun"/>
          <w:color w:val="000000"/>
          <w:sz w:val="17"/>
          <w:szCs w:val="17"/>
          <w:shd w:val="clear" w:color="auto" w:fill="FFFFFF"/>
          <w:vertAlign w:val="superscript"/>
          <w:lang w:val="en-GB"/>
        </w:rPr>
        <w:t>3,4</w:t>
      </w:r>
      <w:r>
        <w:t>, Hassan Niazi</w:t>
      </w:r>
      <w:r w:rsidRPr="00970D1C">
        <w:rPr>
          <w:vertAlign w:val="superscript"/>
        </w:rPr>
        <w:t>5</w:t>
      </w:r>
      <w:r>
        <w:t>, Isabela Schmidt Tagomori</w:t>
      </w:r>
      <w:r w:rsidRPr="009175C7">
        <w:rPr>
          <w:vertAlign w:val="superscript"/>
        </w:rPr>
        <w:t>3</w:t>
      </w:r>
      <w:r>
        <w:t>, Andrew Rowe</w:t>
      </w:r>
      <w:r w:rsidRPr="00FA55B2">
        <w:rPr>
          <w:vertAlign w:val="superscript"/>
        </w:rPr>
        <w:t>2</w:t>
      </w:r>
      <w:r>
        <w:t xml:space="preserve">, </w:t>
      </w:r>
      <w:r w:rsidRPr="00E863FC">
        <w:t>Madeleine</w:t>
      </w:r>
      <w:r>
        <w:t xml:space="preserve"> McPherson</w:t>
      </w:r>
      <w:r w:rsidRPr="00FA55B2">
        <w:rPr>
          <w:vertAlign w:val="superscript"/>
        </w:rPr>
        <w:t>2</w:t>
      </w:r>
      <w:r>
        <w:t>, Volker Krey</w:t>
      </w:r>
      <w:r w:rsidRPr="00FA55B2">
        <w:rPr>
          <w:vertAlign w:val="superscript"/>
        </w:rPr>
        <w:t>1</w:t>
      </w:r>
      <w:r>
        <w:t>,</w:t>
      </w:r>
      <w:r w:rsidRPr="00FC277D">
        <w:t xml:space="preserve"> </w:t>
      </w:r>
      <w:r>
        <w:t>Keywan Riahi</w:t>
      </w:r>
      <w:r w:rsidRPr="00FA55B2">
        <w:rPr>
          <w:vertAlign w:val="superscript"/>
        </w:rPr>
        <w:t>1</w:t>
      </w:r>
      <w:r>
        <w:rPr>
          <w:vertAlign w:val="superscript"/>
        </w:rPr>
        <w:t>,2,4</w:t>
      </w:r>
    </w:p>
    <w:p w14:paraId="74A807C2" w14:textId="77777777" w:rsidR="00A911F1" w:rsidRDefault="00A911F1" w:rsidP="00A911F1">
      <w:pPr>
        <w:pStyle w:val="Affiliation"/>
      </w:pPr>
      <w:r w:rsidRPr="000A1B66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t>Energy, Climate &amp; Environment Program, International Institute of Applied Systems Analysis, Austria</w:t>
      </w:r>
    </w:p>
    <w:p w14:paraId="6D3E8EEB" w14:textId="77777777" w:rsidR="00A911F1" w:rsidRDefault="00A911F1" w:rsidP="00A911F1">
      <w:pPr>
        <w:pStyle w:val="Affiliation"/>
      </w:pPr>
      <w:r w:rsidRPr="00AA7E58">
        <w:rPr>
          <w:vertAlign w:val="superscript"/>
        </w:rPr>
        <w:t>2</w:t>
      </w:r>
      <w:r>
        <w:rPr>
          <w:vertAlign w:val="superscript"/>
        </w:rPr>
        <w:t xml:space="preserve"> </w:t>
      </w:r>
      <w:r w:rsidRPr="00322979">
        <w:t>Institute for Integrated Energy Systems</w:t>
      </w:r>
      <w:r>
        <w:t>, University of Victoria, Canada</w:t>
      </w:r>
    </w:p>
    <w:p w14:paraId="13FDBE4B" w14:textId="77777777" w:rsidR="00A911F1" w:rsidRDefault="00A911F1" w:rsidP="00A911F1">
      <w:pPr>
        <w:pStyle w:val="Affiliation"/>
      </w:pPr>
      <w:r>
        <w:rPr>
          <w:vertAlign w:val="superscript"/>
        </w:rPr>
        <w:t xml:space="preserve">3  </w:t>
      </w:r>
      <w:r w:rsidRPr="009175C7">
        <w:t>PBL Netherlands Environmental Assessment Agency, The Hague, The Netherland</w:t>
      </w:r>
    </w:p>
    <w:p w14:paraId="0879EC89" w14:textId="77777777" w:rsidR="00A911F1" w:rsidRDefault="00A911F1" w:rsidP="00A911F1">
      <w:pPr>
        <w:pStyle w:val="Affiliation"/>
      </w:pPr>
      <w:r w:rsidRPr="002841AA">
        <w:rPr>
          <w:vertAlign w:val="superscript"/>
        </w:rPr>
        <w:t>4</w:t>
      </w:r>
      <w:r>
        <w:t xml:space="preserve"> </w:t>
      </w:r>
      <w:r w:rsidRPr="00FC277D">
        <w:t>Copernicus Institute of Sustainable Development, Utrecht University, The Netherlands</w:t>
      </w:r>
    </w:p>
    <w:p w14:paraId="4873FA78" w14:textId="77777777" w:rsidR="00A911F1" w:rsidRDefault="00A911F1" w:rsidP="00A911F1">
      <w:pPr>
        <w:pStyle w:val="Affiliation"/>
      </w:pPr>
      <w:r w:rsidRPr="00FC277D">
        <w:rPr>
          <w:vertAlign w:val="superscript"/>
        </w:rPr>
        <w:t>5</w:t>
      </w:r>
      <w:r>
        <w:t xml:space="preserve"> </w:t>
      </w:r>
      <w:r w:rsidRPr="00597016">
        <w:t>Joint Global Change Research Institute, Pacific Northwest National Laboratory, College Park,</w:t>
      </w:r>
      <w:r>
        <w:t xml:space="preserve"> </w:t>
      </w:r>
      <w:r w:rsidRPr="00597016">
        <w:t>USA</w:t>
      </w:r>
    </w:p>
    <w:p w14:paraId="245C9800" w14:textId="77777777" w:rsidR="00A911F1" w:rsidRDefault="00A911F1" w:rsidP="00A911F1">
      <w:pPr>
        <w:pStyle w:val="Affiliation"/>
      </w:pPr>
      <w:r w:rsidRPr="00822937">
        <w:rPr>
          <w:vertAlign w:val="superscript"/>
        </w:rPr>
        <w:t>6</w:t>
      </w:r>
      <w:r>
        <w:rPr>
          <w:vertAlign w:val="superscript"/>
        </w:rPr>
        <w:t xml:space="preserve"> </w:t>
      </w:r>
      <w:r>
        <w:t>Technical University Graz, Austria</w:t>
      </w:r>
    </w:p>
    <w:p w14:paraId="0F3FF9A4" w14:textId="77777777" w:rsidR="00A911F1" w:rsidRDefault="00A911F1" w:rsidP="00A911F1">
      <w:pPr>
        <w:pStyle w:val="Affiliation"/>
      </w:pPr>
    </w:p>
    <w:p w14:paraId="2458C08D" w14:textId="77777777" w:rsidR="00A911F1" w:rsidRDefault="00A911F1" w:rsidP="00A911F1">
      <w:pPr>
        <w:pStyle w:val="Affiliation"/>
        <w:rPr>
          <w:vertAlign w:val="superscript"/>
        </w:rPr>
      </w:pPr>
    </w:p>
    <w:p w14:paraId="7BDFAEFF" w14:textId="77777777" w:rsidR="00A911F1" w:rsidRPr="00FC277D" w:rsidRDefault="00A911F1" w:rsidP="00A911F1">
      <w:pPr>
        <w:pStyle w:val="Correspondence"/>
      </w:pPr>
      <w:r w:rsidRPr="000A1B66">
        <w:rPr>
          <w:i/>
        </w:rPr>
        <w:t>Correspondence to</w:t>
      </w:r>
      <w:r>
        <w:t>: Muhammad Awais (awais@iiasa.ac.at)</w:t>
      </w:r>
    </w:p>
    <w:p w14:paraId="46BE6829" w14:textId="77777777" w:rsidR="00A911F1" w:rsidRDefault="00A911F1" w:rsidP="007C3E02"/>
    <w:p w14:paraId="6DEF0004" w14:textId="54687787" w:rsidR="008E6703" w:rsidRDefault="007C3E02" w:rsidP="007C3E02">
      <w:r w:rsidRPr="007C3E02">
        <w:rPr>
          <w:noProof/>
        </w:rPr>
        <w:lastRenderedPageBreak/>
        <w:drawing>
          <wp:inline distT="0" distB="0" distL="0" distR="0" wp14:anchorId="6D8B0341" wp14:editId="1C036EAE">
            <wp:extent cx="5943600" cy="7948930"/>
            <wp:effectExtent l="0" t="0" r="0" b="1270"/>
            <wp:docPr id="225486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867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4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C6B0B" w14:textId="6970E80C" w:rsidR="007C3E02" w:rsidRDefault="00F172B0" w:rsidP="007C3E02">
      <w:r>
        <w:t xml:space="preserve">Supplementary Figure 1: </w:t>
      </w:r>
      <w:r w:rsidR="00973DDC">
        <w:t>Renewable water supply variation across scenarios</w:t>
      </w:r>
    </w:p>
    <w:p w14:paraId="1CDE76CC" w14:textId="5A0F7DD0" w:rsidR="007C3E02" w:rsidRDefault="00553A9B" w:rsidP="007C3E02">
      <w:r w:rsidRPr="00553A9B">
        <w:rPr>
          <w:noProof/>
        </w:rPr>
        <w:lastRenderedPageBreak/>
        <w:drawing>
          <wp:inline distT="0" distB="0" distL="0" distR="0" wp14:anchorId="1F5A79F1" wp14:editId="40B8508F">
            <wp:extent cx="5943600" cy="2630805"/>
            <wp:effectExtent l="0" t="0" r="0" b="0"/>
            <wp:docPr id="1458563473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63473" name="Picture 1" descr="A close-up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99BE3" w14:textId="6C113B76" w:rsidR="0071128A" w:rsidRDefault="0071128A" w:rsidP="0071128A">
      <w:r>
        <w:t>Supplementary Figure 2: Regional food demand</w:t>
      </w:r>
      <w:r w:rsidR="00051B2E">
        <w:t xml:space="preserve"> and its variation across scenarios from both IAMs</w:t>
      </w:r>
      <w:r w:rsidR="00914C6F">
        <w:t>. F</w:t>
      </w:r>
    </w:p>
    <w:p w14:paraId="151B6AB7" w14:textId="77777777" w:rsidR="0071128A" w:rsidRDefault="0071128A" w:rsidP="007C3E02"/>
    <w:p w14:paraId="20ECD230" w14:textId="77777777" w:rsidR="00553A9B" w:rsidRDefault="00553A9B" w:rsidP="007C3E02"/>
    <w:p w14:paraId="44CC5237" w14:textId="19707EB1" w:rsidR="00553A9B" w:rsidRDefault="00EB3369" w:rsidP="007C3E02">
      <w:r>
        <w:rPr>
          <w:noProof/>
        </w:rPr>
        <w:drawing>
          <wp:inline distT="0" distB="0" distL="0" distR="0" wp14:anchorId="0BB8FFB5" wp14:editId="249981E4">
            <wp:extent cx="5461462" cy="3369312"/>
            <wp:effectExtent l="0" t="0" r="0" b="0"/>
            <wp:docPr id="11825243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524373" name="Picture 118252437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053" cy="342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732A5" w14:textId="5550E5F3" w:rsidR="00051B2E" w:rsidRDefault="00051B2E" w:rsidP="00051B2E">
      <w:r>
        <w:t xml:space="preserve">Supplementary Figure </w:t>
      </w:r>
      <w:r w:rsidR="00E14722">
        <w:t>3</w:t>
      </w:r>
      <w:r>
        <w:t xml:space="preserve">: Population with access to clean drinking water </w:t>
      </w:r>
      <w:r w:rsidR="00EB3369">
        <w:t xml:space="preserve">across scenarios. The assumption for increased access in Adaptation &amp; Resilience scenarios </w:t>
      </w:r>
      <w:r w:rsidR="00914C6F">
        <w:t xml:space="preserve">starts from 2040. </w:t>
      </w:r>
      <w:r>
        <w:t xml:space="preserve">This drives municipal water demand and subsequently piped infrastructure investments in the model. </w:t>
      </w:r>
    </w:p>
    <w:p w14:paraId="36F11DF6" w14:textId="77777777" w:rsidR="00051B2E" w:rsidRDefault="00051B2E" w:rsidP="007C3E02"/>
    <w:p w14:paraId="7732822F" w14:textId="5DFC4A60" w:rsidR="00295457" w:rsidRDefault="00400C95" w:rsidP="007C3E02">
      <w:r w:rsidRPr="00400C95">
        <w:rPr>
          <w:noProof/>
        </w:rPr>
        <w:lastRenderedPageBreak/>
        <w:drawing>
          <wp:inline distT="0" distB="0" distL="0" distR="0" wp14:anchorId="32BE2B87" wp14:editId="53B6DF33">
            <wp:extent cx="5943600" cy="2646045"/>
            <wp:effectExtent l="0" t="0" r="0" b="0"/>
            <wp:docPr id="1867767645" name="Picture 1" descr="A graph and chart with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767645" name="Picture 1" descr="A graph and chart with different colored line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81288" w14:textId="77777777" w:rsidR="00400C95" w:rsidRDefault="00400C95" w:rsidP="007C3E02"/>
    <w:p w14:paraId="4BE5613C" w14:textId="470E4B54" w:rsidR="00051B2E" w:rsidRDefault="00051B2E" w:rsidP="00051B2E">
      <w:r>
        <w:t xml:space="preserve">Supplementary Figure </w:t>
      </w:r>
      <w:r w:rsidR="00E14722">
        <w:t>4</w:t>
      </w:r>
      <w:r>
        <w:t xml:space="preserve">: Water withdrawals for electricity (including energy resource and cooling of thermal power plants) and its variation across scenarios. </w:t>
      </w:r>
    </w:p>
    <w:p w14:paraId="2A884A02" w14:textId="77777777" w:rsidR="007C3E02" w:rsidRPr="00A6557B" w:rsidRDefault="007C3E02" w:rsidP="007C3E02">
      <w:pPr>
        <w:rPr>
          <w:rFonts w:ascii="Arial" w:hAnsi="Arial" w:cs="Arial"/>
        </w:rPr>
      </w:pPr>
    </w:p>
    <w:p w14:paraId="498BFCCD" w14:textId="77777777" w:rsidR="007C3E02" w:rsidRPr="00A6557B" w:rsidRDefault="007C3E02" w:rsidP="007C3E02">
      <w:pPr>
        <w:rPr>
          <w:rFonts w:ascii="Arial" w:hAnsi="Arial" w:cs="Arial"/>
        </w:rPr>
      </w:pPr>
    </w:p>
    <w:p w14:paraId="1A6E28A8" w14:textId="77777777" w:rsidR="007C3E02" w:rsidRPr="00A6557B" w:rsidRDefault="007C3E02" w:rsidP="007C3E02">
      <w:pPr>
        <w:rPr>
          <w:rFonts w:ascii="Arial" w:hAnsi="Arial" w:cs="Arial"/>
        </w:rPr>
      </w:pPr>
    </w:p>
    <w:p w14:paraId="0F1A62E4" w14:textId="77777777" w:rsidR="007C3E02" w:rsidRPr="00A6557B" w:rsidRDefault="007C3E02" w:rsidP="007C3E02">
      <w:pPr>
        <w:rPr>
          <w:rFonts w:ascii="Arial" w:hAnsi="Arial" w:cs="Arial"/>
        </w:rPr>
      </w:pPr>
    </w:p>
    <w:p w14:paraId="02507E9A" w14:textId="77777777" w:rsidR="007C3E02" w:rsidRPr="00A6557B" w:rsidRDefault="007C3E02" w:rsidP="007C3E02">
      <w:pPr>
        <w:rPr>
          <w:rFonts w:ascii="Arial" w:hAnsi="Arial" w:cs="Arial"/>
        </w:rPr>
      </w:pPr>
    </w:p>
    <w:p w14:paraId="65158F24" w14:textId="77777777" w:rsidR="007C3E02" w:rsidRPr="00A6557B" w:rsidRDefault="007C3E02" w:rsidP="007C3E02">
      <w:pPr>
        <w:rPr>
          <w:rFonts w:ascii="Arial" w:hAnsi="Arial" w:cs="Arial"/>
        </w:rPr>
      </w:pPr>
    </w:p>
    <w:p w14:paraId="072156F0" w14:textId="77777777" w:rsidR="007C3E02" w:rsidRPr="00A6557B" w:rsidRDefault="007C3E02" w:rsidP="007C3E02">
      <w:pPr>
        <w:rPr>
          <w:rFonts w:ascii="Arial" w:hAnsi="Arial" w:cs="Arial"/>
        </w:rPr>
      </w:pPr>
    </w:p>
    <w:p w14:paraId="2510ED29" w14:textId="77777777" w:rsidR="007C3E02" w:rsidRPr="00A6557B" w:rsidRDefault="007C3E02" w:rsidP="007C3E02">
      <w:pPr>
        <w:rPr>
          <w:rFonts w:ascii="Arial" w:hAnsi="Arial" w:cs="Arial"/>
        </w:rPr>
      </w:pPr>
    </w:p>
    <w:p w14:paraId="15670BAC" w14:textId="77777777" w:rsidR="007C3E02" w:rsidRPr="00A6557B" w:rsidRDefault="007C3E02" w:rsidP="007C3E02">
      <w:pPr>
        <w:rPr>
          <w:rFonts w:ascii="Arial" w:hAnsi="Arial" w:cs="Arial"/>
        </w:rPr>
      </w:pPr>
    </w:p>
    <w:p w14:paraId="2D378DCB" w14:textId="77777777" w:rsidR="007C3E02" w:rsidRPr="00A6557B" w:rsidRDefault="007C3E02" w:rsidP="007C3E02">
      <w:pPr>
        <w:rPr>
          <w:rFonts w:ascii="Arial" w:hAnsi="Arial" w:cs="Arial"/>
        </w:rPr>
      </w:pPr>
    </w:p>
    <w:p w14:paraId="47476316" w14:textId="77777777" w:rsidR="007C3E02" w:rsidRPr="00A6557B" w:rsidRDefault="007C3E02" w:rsidP="007C3E02">
      <w:pPr>
        <w:rPr>
          <w:rFonts w:ascii="Arial" w:hAnsi="Arial" w:cs="Arial"/>
        </w:rPr>
      </w:pPr>
    </w:p>
    <w:p w14:paraId="4E081171" w14:textId="77777777" w:rsidR="007C3E02" w:rsidRPr="00A6557B" w:rsidRDefault="007C3E02" w:rsidP="007C3E02">
      <w:pPr>
        <w:rPr>
          <w:rFonts w:ascii="Arial" w:hAnsi="Arial" w:cs="Arial"/>
        </w:rPr>
      </w:pPr>
      <w:r w:rsidRPr="00EE0F85">
        <w:rPr>
          <w:rFonts w:ascii="Arial" w:hAnsi="Arial" w:cs="Arial"/>
          <w:noProof/>
        </w:rPr>
        <w:lastRenderedPageBreak/>
        <w:drawing>
          <wp:inline distT="0" distB="0" distL="0" distR="0" wp14:anchorId="7D159CD1" wp14:editId="412DFE47">
            <wp:extent cx="5731510" cy="4229735"/>
            <wp:effectExtent l="0" t="0" r="0" b="0"/>
            <wp:docPr id="975254249" name="Picture 97525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25424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2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1FF1C" w14:textId="77777777" w:rsidR="007C3E02" w:rsidRPr="00A6557B" w:rsidRDefault="007C3E02" w:rsidP="007C3E02">
      <w:pPr>
        <w:rPr>
          <w:rFonts w:ascii="Arial" w:hAnsi="Arial" w:cs="Arial"/>
        </w:rPr>
      </w:pPr>
    </w:p>
    <w:p w14:paraId="4488D1EC" w14:textId="38B88A51" w:rsidR="00051B2E" w:rsidRDefault="00051B2E" w:rsidP="00051B2E">
      <w:r>
        <w:t xml:space="preserve">Supplementary Figure </w:t>
      </w:r>
      <w:r w:rsidR="005C1A52">
        <w:t>4</w:t>
      </w:r>
      <w:r>
        <w:t xml:space="preserve">: </w:t>
      </w:r>
      <w:r w:rsidR="00F03A7E">
        <w:t>Water Stress (ratio of available renewable water to water demands) from MESSAGEix-GLOBIOM</w:t>
      </w:r>
      <w:r>
        <w:t xml:space="preserve"> </w:t>
      </w:r>
    </w:p>
    <w:p w14:paraId="5FB044CE" w14:textId="77777777" w:rsidR="007C3E02" w:rsidRDefault="007C3E02" w:rsidP="007C3E02">
      <w:pPr>
        <w:rPr>
          <w:rFonts w:ascii="Arial" w:hAnsi="Arial" w:cs="Arial"/>
        </w:rPr>
      </w:pPr>
    </w:p>
    <w:p w14:paraId="6EDC0ABF" w14:textId="77777777" w:rsidR="000274D2" w:rsidRDefault="000274D2" w:rsidP="007C3E02">
      <w:pPr>
        <w:rPr>
          <w:rFonts w:ascii="Arial" w:hAnsi="Arial" w:cs="Arial"/>
        </w:rPr>
      </w:pPr>
    </w:p>
    <w:p w14:paraId="167BA3A6" w14:textId="77777777" w:rsidR="000274D2" w:rsidRPr="00A6557B" w:rsidRDefault="000274D2" w:rsidP="007C3E02">
      <w:pPr>
        <w:rPr>
          <w:rFonts w:ascii="Arial" w:hAnsi="Arial" w:cs="Arial"/>
        </w:rPr>
      </w:pPr>
    </w:p>
    <w:p w14:paraId="084C7811" w14:textId="77777777" w:rsidR="007C3E02" w:rsidRPr="00A6557B" w:rsidRDefault="007C3E02" w:rsidP="007C3E02">
      <w:pPr>
        <w:rPr>
          <w:rFonts w:ascii="Arial" w:hAnsi="Arial" w:cs="Arial"/>
        </w:rPr>
      </w:pPr>
    </w:p>
    <w:p w14:paraId="52382F5E" w14:textId="77777777" w:rsidR="000274D2" w:rsidRDefault="000274D2" w:rsidP="007C3E02"/>
    <w:p w14:paraId="71032A8B" w14:textId="77777777" w:rsidR="000274D2" w:rsidRDefault="000274D2" w:rsidP="007C3E02"/>
    <w:p w14:paraId="771A4FCF" w14:textId="77777777" w:rsidR="000274D2" w:rsidRDefault="000274D2" w:rsidP="007C3E02"/>
    <w:p w14:paraId="4452630E" w14:textId="77777777" w:rsidR="00500486" w:rsidRPr="00A6557B" w:rsidRDefault="00500486" w:rsidP="00500486">
      <w:pPr>
        <w:rPr>
          <w:rFonts w:ascii="Arial" w:hAnsi="Arial" w:cs="Arial"/>
        </w:rPr>
      </w:pPr>
    </w:p>
    <w:p w14:paraId="7D31A69F" w14:textId="182F19F5" w:rsidR="000274D2" w:rsidRDefault="00580F84" w:rsidP="007C3E02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1F08A70" wp14:editId="3A638F39">
            <wp:simplePos x="0" y="0"/>
            <wp:positionH relativeFrom="column">
              <wp:posOffset>681355</wp:posOffset>
            </wp:positionH>
            <wp:positionV relativeFrom="paragraph">
              <wp:posOffset>157480</wp:posOffset>
            </wp:positionV>
            <wp:extent cx="4165600" cy="3556000"/>
            <wp:effectExtent l="0" t="0" r="0" b="0"/>
            <wp:wrapTopAndBottom/>
            <wp:docPr id="1663548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548685" name="Picture 166354868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486">
        <w:t xml:space="preserve">Supplementary Figure </w:t>
      </w:r>
      <w:r w:rsidR="003C653A">
        <w:t>5</w:t>
      </w:r>
      <w:r w:rsidR="00A92EBF">
        <w:t xml:space="preserve">: Primary Energy Mix from both IAMs averaged between 2030-2080 across scenarios. </w:t>
      </w:r>
    </w:p>
    <w:p w14:paraId="289F79E4" w14:textId="77777777" w:rsidR="003D7526" w:rsidRDefault="003D7526" w:rsidP="007C3E02"/>
    <w:p w14:paraId="58943B25" w14:textId="2E34E45E" w:rsidR="007C3E02" w:rsidRDefault="00580F84" w:rsidP="007C3E02">
      <w:r>
        <w:rPr>
          <w:noProof/>
        </w:rPr>
        <w:drawing>
          <wp:inline distT="0" distB="0" distL="0" distR="0" wp14:anchorId="7169FB9B" wp14:editId="3E29A3B2">
            <wp:extent cx="4655127" cy="3308039"/>
            <wp:effectExtent l="0" t="0" r="6350" b="0"/>
            <wp:docPr id="18200439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043958" name="Picture 182004395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990" cy="3327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81C5D" w14:textId="00B831A3" w:rsidR="00765BE0" w:rsidRPr="007C3E02" w:rsidRDefault="00765BE0" w:rsidP="00765BE0">
      <w:r>
        <w:t xml:space="preserve">Supplementary Figure </w:t>
      </w:r>
      <w:r w:rsidR="003C653A">
        <w:t>6</w:t>
      </w:r>
      <w:r>
        <w:t xml:space="preserve">: Crop Yields by </w:t>
      </w:r>
      <w:r w:rsidR="00A928FA">
        <w:t xml:space="preserve">three crop types across the horizon. The GLOBIOM input suggests the yields calculated by EPIC crop model before land allocation. MESSAGEix-GLOBIOM </w:t>
      </w:r>
      <w:r w:rsidR="00E46732">
        <w:lastRenderedPageBreak/>
        <w:t xml:space="preserve">crop yields are the outputs after land allocation with socio-economic and climate constraints. IMAGE uses LPJmL crop yields. </w:t>
      </w:r>
    </w:p>
    <w:sectPr w:rsidR="00765BE0" w:rsidRPr="007C3E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02"/>
    <w:rsid w:val="00007818"/>
    <w:rsid w:val="000274D2"/>
    <w:rsid w:val="00051B2E"/>
    <w:rsid w:val="00194496"/>
    <w:rsid w:val="00204B25"/>
    <w:rsid w:val="00295457"/>
    <w:rsid w:val="002D2BCD"/>
    <w:rsid w:val="00310828"/>
    <w:rsid w:val="003C653A"/>
    <w:rsid w:val="003D7526"/>
    <w:rsid w:val="00400C95"/>
    <w:rsid w:val="00500486"/>
    <w:rsid w:val="00553A9B"/>
    <w:rsid w:val="00580F84"/>
    <w:rsid w:val="005C1A52"/>
    <w:rsid w:val="006C5B9A"/>
    <w:rsid w:val="0071128A"/>
    <w:rsid w:val="007150F9"/>
    <w:rsid w:val="00757BD2"/>
    <w:rsid w:val="00765BE0"/>
    <w:rsid w:val="007C3E02"/>
    <w:rsid w:val="008E6703"/>
    <w:rsid w:val="00914C6F"/>
    <w:rsid w:val="00973DDC"/>
    <w:rsid w:val="009C3E8A"/>
    <w:rsid w:val="00A911F1"/>
    <w:rsid w:val="00A928FA"/>
    <w:rsid w:val="00A92EBF"/>
    <w:rsid w:val="00E14722"/>
    <w:rsid w:val="00E46732"/>
    <w:rsid w:val="00E7698A"/>
    <w:rsid w:val="00EB3369"/>
    <w:rsid w:val="00F03A7E"/>
    <w:rsid w:val="00F172B0"/>
    <w:rsid w:val="579EB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DC44A"/>
  <w15:chartTrackingRefBased/>
  <w15:docId w15:val="{C309EAB7-D2E8-B044-ABF8-D71BDB0F3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911F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A911F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cf01">
    <w:name w:val="cf01"/>
    <w:basedOn w:val="DefaultParagraphFont"/>
    <w:rsid w:val="00A911F1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efaultParagraphFont"/>
    <w:rsid w:val="00A911F1"/>
  </w:style>
  <w:style w:type="paragraph" w:customStyle="1" w:styleId="Affiliation">
    <w:name w:val="Affiliation"/>
    <w:basedOn w:val="Normal"/>
    <w:link w:val="AffiliationChar"/>
    <w:qFormat/>
    <w:rsid w:val="00A911F1"/>
    <w:pPr>
      <w:spacing w:before="120"/>
      <w:contextualSpacing/>
      <w:jc w:val="both"/>
    </w:pPr>
    <w:rPr>
      <w:rFonts w:ascii="Times New Roman" w:eastAsia="Times New Roman" w:hAnsi="Times New Roman" w:cs="Times New Roman"/>
      <w:kern w:val="0"/>
      <w:sz w:val="20"/>
      <w:lang w:val="en-GB" w:eastAsia="de-DE"/>
      <w14:ligatures w14:val="none"/>
    </w:rPr>
  </w:style>
  <w:style w:type="character" w:customStyle="1" w:styleId="AffiliationChar">
    <w:name w:val="Affiliation Char"/>
    <w:basedOn w:val="DefaultParagraphFont"/>
    <w:link w:val="Affiliation"/>
    <w:rsid w:val="00A911F1"/>
    <w:rPr>
      <w:rFonts w:ascii="Times New Roman" w:eastAsia="Times New Roman" w:hAnsi="Times New Roman" w:cs="Times New Roman"/>
      <w:kern w:val="0"/>
      <w:sz w:val="20"/>
      <w:lang w:val="en-GB" w:eastAsia="de-DE"/>
      <w14:ligatures w14:val="none"/>
    </w:rPr>
  </w:style>
  <w:style w:type="paragraph" w:customStyle="1" w:styleId="Correspondence">
    <w:name w:val="Correspondence"/>
    <w:basedOn w:val="Normal"/>
    <w:link w:val="CorrespondenceChar"/>
    <w:qFormat/>
    <w:rsid w:val="00A911F1"/>
    <w:pPr>
      <w:spacing w:before="120" w:after="360"/>
      <w:jc w:val="both"/>
    </w:pPr>
    <w:rPr>
      <w:rFonts w:ascii="Times New Roman" w:eastAsia="Times New Roman" w:hAnsi="Times New Roman" w:cs="Times New Roman"/>
      <w:kern w:val="0"/>
      <w:sz w:val="20"/>
      <w:lang w:val="en-GB" w:eastAsia="de-DE"/>
      <w14:ligatures w14:val="none"/>
    </w:rPr>
  </w:style>
  <w:style w:type="character" w:customStyle="1" w:styleId="CorrespondenceChar">
    <w:name w:val="Correspondence Char"/>
    <w:basedOn w:val="DefaultParagraphFont"/>
    <w:link w:val="Correspondence"/>
    <w:rsid w:val="00A911F1"/>
    <w:rPr>
      <w:rFonts w:ascii="Times New Roman" w:eastAsia="Times New Roman" w:hAnsi="Times New Roman" w:cs="Times New Roman"/>
      <w:kern w:val="0"/>
      <w:sz w:val="20"/>
      <w:lang w:val="en-GB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922add-c285-48fc-9477-020deb2509eb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9c70d178-d21c-48a3-aa0e-ddb58e3b729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C141701BBDA64EA48BCC1D7E8C3725" ma:contentTypeVersion="20" ma:contentTypeDescription="Create a new document." ma:contentTypeScope="" ma:versionID="0bd0dad6082bb286561c9648976112ee">
  <xsd:schema xmlns:xsd="http://www.w3.org/2001/XMLSchema" xmlns:xs="http://www.w3.org/2001/XMLSchema" xmlns:p="http://schemas.microsoft.com/office/2006/metadata/properties" xmlns:ns1="http://schemas.microsoft.com/sharepoint/v3" xmlns:ns2="9c70d178-d21c-48a3-aa0e-ddb58e3b7295" xmlns:ns3="35922add-c285-48fc-9477-020deb2509eb" targetNamespace="http://schemas.microsoft.com/office/2006/metadata/properties" ma:root="true" ma:fieldsID="885bec9a4e91eaf2ea51eb54693005a1" ns1:_="" ns2:_="" ns3:_="">
    <xsd:import namespace="http://schemas.microsoft.com/sharepoint/v3"/>
    <xsd:import namespace="9c70d178-d21c-48a3-aa0e-ddb58e3b7295"/>
    <xsd:import namespace="35922add-c285-48fc-9477-020deb2509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0d178-d21c-48a3-aa0e-ddb58e3b72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2b414a-4870-4b76-be62-ecc4760d58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922add-c285-48fc-9477-020deb2509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42e1a2-bc8c-43c6-9db9-6a29d676d996}" ma:internalName="TaxCatchAll" ma:showField="CatchAllData" ma:web="35922add-c285-48fc-9477-020deb2509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5AE680-9CC2-4F6C-B96D-3EFC15DC2A14}">
  <ds:schemaRefs>
    <ds:schemaRef ds:uri="http://schemas.microsoft.com/office/2006/metadata/properties"/>
    <ds:schemaRef ds:uri="http://schemas.microsoft.com/office/infopath/2007/PartnerControls"/>
    <ds:schemaRef ds:uri="35922add-c285-48fc-9477-020deb2509eb"/>
    <ds:schemaRef ds:uri="http://schemas.microsoft.com/sharepoint/v3"/>
    <ds:schemaRef ds:uri="9c70d178-d21c-48a3-aa0e-ddb58e3b7295"/>
  </ds:schemaRefs>
</ds:datastoreItem>
</file>

<file path=customXml/itemProps2.xml><?xml version="1.0" encoding="utf-8"?>
<ds:datastoreItem xmlns:ds="http://schemas.openxmlformats.org/officeDocument/2006/customXml" ds:itemID="{4FF554AB-8DF4-4C28-9F8E-D7390CBCBD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c70d178-d21c-48a3-aa0e-ddb58e3b7295"/>
    <ds:schemaRef ds:uri="35922add-c285-48fc-9477-020deb2509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4F5209-39DF-47E9-BC1C-2478172700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AWAIS Muhammad</dc:creator>
  <cp:keywords/>
  <dc:description/>
  <cp:lastModifiedBy>AWAIS Muhammad</cp:lastModifiedBy>
  <cp:revision>32</cp:revision>
  <dcterms:created xsi:type="dcterms:W3CDTF">2023-12-05T10:25:00Z</dcterms:created>
  <dcterms:modified xsi:type="dcterms:W3CDTF">2024-03-22T12:09:00Z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0x01010018C141701BBDA64EA48BCC1D7E8C3725</vt:lpwstr>
  </property>
</Properties>
</file>