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6FB" w:rsidRDefault="00FF16FB" w:rsidP="00FF16FB">
      <w:pPr>
        <w:pStyle w:val="berschrift1"/>
        <w:jc w:val="center"/>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SUPPORTING INFORMATION</w:t>
      </w:r>
    </w:p>
    <w:p w:rsidR="002D2556" w:rsidRDefault="002D2556" w:rsidP="002D2556">
      <w:pPr>
        <w:pStyle w:val="berschrift1"/>
        <w:jc w:val="center"/>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Ice XIX:</w:t>
      </w:r>
      <w:r>
        <w:rPr>
          <w:rFonts w:ascii="Times New Roman" w:hAnsi="Times New Roman" w:cs="Times New Roman"/>
          <w:b/>
          <w:color w:val="auto"/>
          <w:sz w:val="24"/>
          <w:szCs w:val="24"/>
          <w:lang w:val="en-GB"/>
        </w:rPr>
        <w:br/>
        <w:t xml:space="preserve"> Configurational Entropy, Disordering Kinetics, Phase Boundary and Isotope Effect</w:t>
      </w:r>
    </w:p>
    <w:p w:rsidR="002D2556" w:rsidRPr="00D45B31" w:rsidRDefault="002D2556" w:rsidP="002D2556">
      <w:pPr>
        <w:spacing w:line="276" w:lineRule="auto"/>
        <w:jc w:val="center"/>
        <w:rPr>
          <w:rFonts w:ascii="Times New Roman" w:hAnsi="Times New Roman" w:cs="Times New Roman"/>
          <w:lang w:val="en-GB"/>
        </w:rPr>
      </w:pPr>
    </w:p>
    <w:p w:rsidR="00FF16FB" w:rsidRDefault="00FF16FB" w:rsidP="00FF16FB">
      <w:pPr>
        <w:spacing w:line="276" w:lineRule="auto"/>
        <w:jc w:val="center"/>
        <w:rPr>
          <w:rFonts w:ascii="Times New Roman" w:hAnsi="Times New Roman" w:cs="Times New Roman"/>
          <w:lang w:val="en-US"/>
        </w:rPr>
      </w:pPr>
      <w:r w:rsidRPr="00A85E04">
        <w:rPr>
          <w:rFonts w:ascii="Times New Roman" w:hAnsi="Times New Roman" w:cs="Times New Roman"/>
          <w:lang w:val="en-US"/>
        </w:rPr>
        <w:t>Tobias M. Gasser</w:t>
      </w:r>
      <w:r w:rsidRPr="00A85E04">
        <w:rPr>
          <w:rFonts w:ascii="Times New Roman" w:hAnsi="Times New Roman" w:cs="Times New Roman"/>
          <w:vertAlign w:val="superscript"/>
          <w:lang w:val="en-US"/>
        </w:rPr>
        <w:t>1</w:t>
      </w:r>
      <w:r w:rsidRPr="00A85E04">
        <w:rPr>
          <w:rFonts w:ascii="Times New Roman" w:hAnsi="Times New Roman" w:cs="Times New Roman"/>
          <w:lang w:val="en-US"/>
        </w:rPr>
        <w:t>, Alexander V. Thoeny</w:t>
      </w:r>
      <w:r w:rsidRPr="00A85E04">
        <w:rPr>
          <w:rFonts w:ascii="Times New Roman" w:hAnsi="Times New Roman" w:cs="Times New Roman"/>
          <w:vertAlign w:val="superscript"/>
          <w:lang w:val="en-US"/>
        </w:rPr>
        <w:t>1</w:t>
      </w:r>
      <w:r w:rsidRPr="00A85E04">
        <w:rPr>
          <w:rFonts w:ascii="Times New Roman" w:hAnsi="Times New Roman" w:cs="Times New Roman"/>
          <w:lang w:val="en-US"/>
        </w:rPr>
        <w:t xml:space="preserve">, </w:t>
      </w:r>
      <w:r w:rsidRPr="00F33826">
        <w:rPr>
          <w:rFonts w:ascii="Times New Roman" w:hAnsi="Times New Roman" w:cs="Times New Roman"/>
          <w:lang w:val="en-US"/>
        </w:rPr>
        <w:t>A. Dominic Fortes</w:t>
      </w:r>
      <w:r w:rsidRPr="00F33826">
        <w:rPr>
          <w:rFonts w:ascii="Times New Roman" w:hAnsi="Times New Roman" w:cs="Times New Roman"/>
          <w:vertAlign w:val="superscript"/>
          <w:lang w:val="en-US"/>
        </w:rPr>
        <w:t>2</w:t>
      </w:r>
      <w:r w:rsidRPr="00F33826">
        <w:rPr>
          <w:rFonts w:ascii="Times New Roman" w:hAnsi="Times New Roman" w:cs="Times New Roman"/>
          <w:lang w:val="en-US"/>
        </w:rPr>
        <w:t>,</w:t>
      </w:r>
      <w:r w:rsidRPr="00A85E04">
        <w:rPr>
          <w:rFonts w:ascii="Times New Roman" w:hAnsi="Times New Roman" w:cs="Times New Roman"/>
          <w:lang w:val="en-US"/>
        </w:rPr>
        <w:t xml:space="preserve"> Thomas Loerting</w:t>
      </w:r>
      <w:r w:rsidRPr="00A85E04">
        <w:rPr>
          <w:rFonts w:ascii="Times New Roman" w:hAnsi="Times New Roman" w:cs="Times New Roman"/>
          <w:vertAlign w:val="superscript"/>
          <w:lang w:val="en-US"/>
        </w:rPr>
        <w:t>1,</w:t>
      </w:r>
      <w:r w:rsidRPr="00A85E04">
        <w:rPr>
          <w:rFonts w:ascii="Times New Roman" w:hAnsi="Times New Roman" w:cs="Times New Roman"/>
          <w:lang w:val="en-US"/>
        </w:rPr>
        <w:t>*</w:t>
      </w:r>
    </w:p>
    <w:p w:rsidR="00FF16FB" w:rsidRPr="00A85E04" w:rsidRDefault="00FF16FB" w:rsidP="00FF16FB">
      <w:pPr>
        <w:spacing w:line="276" w:lineRule="auto"/>
        <w:jc w:val="center"/>
        <w:rPr>
          <w:rFonts w:ascii="Times New Roman" w:hAnsi="Times New Roman" w:cs="Times New Roman"/>
          <w:i/>
          <w:lang w:val="en-US"/>
        </w:rPr>
      </w:pPr>
      <w:r w:rsidRPr="00A85E04">
        <w:rPr>
          <w:rFonts w:ascii="Times New Roman" w:hAnsi="Times New Roman" w:cs="Times New Roman"/>
          <w:vertAlign w:val="superscript"/>
          <w:lang w:val="en-US"/>
        </w:rPr>
        <w:t>1</w:t>
      </w:r>
      <w:r w:rsidRPr="00A85E04">
        <w:rPr>
          <w:rFonts w:ascii="Times New Roman" w:hAnsi="Times New Roman" w:cs="Times New Roman"/>
          <w:i/>
          <w:lang w:val="en-US"/>
        </w:rPr>
        <w:t>Institute of Physical Chemistry, University of Innsbruck, 6020 Innsbruck, Austria</w:t>
      </w:r>
    </w:p>
    <w:p w:rsidR="00FF16FB" w:rsidRPr="00A85E04" w:rsidRDefault="00FF16FB" w:rsidP="00FF16FB">
      <w:pPr>
        <w:spacing w:line="276" w:lineRule="auto"/>
        <w:jc w:val="center"/>
        <w:rPr>
          <w:rFonts w:ascii="Times New Roman" w:hAnsi="Times New Roman" w:cs="Times New Roman"/>
          <w:lang w:val="en-GB"/>
        </w:rPr>
      </w:pPr>
      <w:r w:rsidRPr="00A85E04">
        <w:rPr>
          <w:rFonts w:ascii="Times New Roman" w:hAnsi="Times New Roman" w:cs="Times New Roman"/>
          <w:vertAlign w:val="superscript"/>
          <w:lang w:val="en-US"/>
        </w:rPr>
        <w:t>2</w:t>
      </w:r>
      <w:r w:rsidRPr="00A85E04">
        <w:rPr>
          <w:rFonts w:ascii="Times New Roman" w:hAnsi="Times New Roman" w:cs="Times New Roman"/>
          <w:i/>
          <w:lang w:val="en-GB"/>
        </w:rPr>
        <w:t>ISIS Neutron and Muon Facility, Rutherford Appleton Laboratory, Harwell Science and Innovation Campus, Chilton, Oxfordshire, OX11 0QX, UK</w:t>
      </w:r>
    </w:p>
    <w:p w:rsidR="00FF16FB" w:rsidRPr="00A85E04" w:rsidRDefault="00FF16FB" w:rsidP="00FF16FB">
      <w:pPr>
        <w:spacing w:line="276" w:lineRule="auto"/>
        <w:jc w:val="center"/>
        <w:rPr>
          <w:rFonts w:ascii="Times New Roman" w:hAnsi="Times New Roman" w:cs="Times New Roman"/>
          <w:i/>
          <w:lang w:val="de-AT"/>
        </w:rPr>
      </w:pPr>
      <w:proofErr w:type="spellStart"/>
      <w:r w:rsidRPr="00A85E04">
        <w:rPr>
          <w:rFonts w:ascii="Times New Roman" w:hAnsi="Times New Roman" w:cs="Times New Roman"/>
          <w:i/>
          <w:lang w:val="de-AT"/>
        </w:rPr>
        <w:t>e-mail</w:t>
      </w:r>
      <w:proofErr w:type="spellEnd"/>
      <w:r w:rsidRPr="00A85E04">
        <w:rPr>
          <w:rFonts w:ascii="Times New Roman" w:hAnsi="Times New Roman" w:cs="Times New Roman"/>
          <w:i/>
          <w:lang w:val="de-AT"/>
        </w:rPr>
        <w:t>: thomas.loerting@uibk.ac.at</w:t>
      </w:r>
    </w:p>
    <w:p w:rsidR="00FF16FB" w:rsidRDefault="00FF16FB" w:rsidP="00FF16FB">
      <w:pPr>
        <w:jc w:val="both"/>
        <w:rPr>
          <w:rFonts w:ascii="Times New Roman" w:hAnsi="Times New Roman" w:cs="Times New Roman"/>
          <w:lang w:val="en-GB"/>
        </w:rPr>
      </w:pPr>
      <w:bookmarkStart w:id="0" w:name="_GoBack"/>
      <w:bookmarkEnd w:id="0"/>
      <w:r>
        <w:rPr>
          <w:rFonts w:ascii="Times New Roman" w:hAnsi="Times New Roman" w:cs="Times New Roman"/>
          <w:lang w:val="en-GB"/>
        </w:rPr>
        <w:t xml:space="preserve">In the Supporting Information we show why integration of single peaks (called “single peak approach” in the main manuscript) is problematic and how overlapping of the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with both endotherms shifts the peak onset temperatures and changes the peak areas(Figs. </w:t>
      </w:r>
      <w:proofErr w:type="gramStart"/>
      <w:r>
        <w:rPr>
          <w:rFonts w:ascii="Times New Roman" w:hAnsi="Times New Roman" w:cs="Times New Roman"/>
          <w:lang w:val="en-GB"/>
        </w:rPr>
        <w:t>S1 and S2).</w:t>
      </w:r>
      <w:proofErr w:type="gramEnd"/>
      <w:r>
        <w:rPr>
          <w:rFonts w:ascii="Times New Roman" w:hAnsi="Times New Roman" w:cs="Times New Roman"/>
          <w:lang w:val="en-GB"/>
        </w:rPr>
        <w:t xml:space="preserve"> Furthermore we report X-ray powder </w:t>
      </w:r>
      <w:proofErr w:type="spellStart"/>
      <w:r>
        <w:rPr>
          <w:rFonts w:ascii="Times New Roman" w:hAnsi="Times New Roman" w:cs="Times New Roman"/>
          <w:lang w:val="en-GB"/>
        </w:rPr>
        <w:t>diffractograms</w:t>
      </w:r>
      <w:proofErr w:type="spellEnd"/>
      <w:r>
        <w:rPr>
          <w:rFonts w:ascii="Times New Roman" w:hAnsi="Times New Roman" w:cs="Times New Roman"/>
          <w:lang w:val="en-GB"/>
        </w:rPr>
        <w:t xml:space="preserve"> for all samples that were used to measure the </w:t>
      </w:r>
      <w:proofErr w:type="spellStart"/>
      <w:r>
        <w:rPr>
          <w:rFonts w:ascii="Times New Roman" w:hAnsi="Times New Roman" w:cs="Times New Roman"/>
          <w:lang w:val="en-GB"/>
        </w:rPr>
        <w:t>calorigrams</w:t>
      </w:r>
      <w:proofErr w:type="spellEnd"/>
      <w:r>
        <w:rPr>
          <w:rFonts w:ascii="Times New Roman" w:hAnsi="Times New Roman" w:cs="Times New Roman"/>
          <w:lang w:val="en-GB"/>
        </w:rPr>
        <w:t xml:space="preserve"> in the main manuscript (Figs.S3-S5).</w:t>
      </w:r>
    </w:p>
    <w:p w:rsidR="00FF16FB" w:rsidRDefault="00FF16FB" w:rsidP="00FF16FB">
      <w:pPr>
        <w:jc w:val="both"/>
        <w:rPr>
          <w:rFonts w:ascii="Times New Roman" w:hAnsi="Times New Roman" w:cs="Times New Roman"/>
          <w:lang w:val="en-GB"/>
        </w:rPr>
      </w:pPr>
      <w:r>
        <w:rPr>
          <w:rFonts w:ascii="Times New Roman" w:hAnsi="Times New Roman" w:cs="Times New Roman"/>
          <w:lang w:val="en-GB"/>
        </w:rPr>
        <w:t xml:space="preserve"> Fig.S1 shows the three individual contributions to the heat flow signal, where both endotherms are well separated, but the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overlaps with both endotherms. This is representative of the situation that we find for pure water samples in Fig. 1 of the main manuscript. Specifically we have assumed two endotherms of +65 and +50 J mol</w:t>
      </w:r>
      <w:r w:rsidRPr="00122272">
        <w:rPr>
          <w:rFonts w:ascii="Times New Roman" w:hAnsi="Times New Roman" w:cs="Times New Roman"/>
          <w:vertAlign w:val="superscript"/>
          <w:lang w:val="en-GB"/>
        </w:rPr>
        <w:t>-1</w:t>
      </w:r>
      <w:r>
        <w:rPr>
          <w:rFonts w:ascii="Times New Roman" w:hAnsi="Times New Roman" w:cs="Times New Roman"/>
          <w:lang w:val="en-GB"/>
        </w:rPr>
        <w:t xml:space="preserve"> (pink and dashed red line) and one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w:t>
      </w:r>
      <w:proofErr w:type="gramStart"/>
      <w:r>
        <w:rPr>
          <w:rFonts w:ascii="Times New Roman" w:hAnsi="Times New Roman" w:cs="Times New Roman"/>
          <w:lang w:val="en-GB"/>
        </w:rPr>
        <w:t>of -50 J mol</w:t>
      </w:r>
      <w:r w:rsidRPr="00122272">
        <w:rPr>
          <w:rFonts w:ascii="Times New Roman" w:hAnsi="Times New Roman" w:cs="Times New Roman"/>
          <w:vertAlign w:val="superscript"/>
          <w:lang w:val="en-GB"/>
        </w:rPr>
        <w:t>-1</w:t>
      </w:r>
      <w:r>
        <w:rPr>
          <w:rFonts w:ascii="Times New Roman" w:hAnsi="Times New Roman" w:cs="Times New Roman"/>
          <w:lang w:val="en-GB"/>
        </w:rPr>
        <w:t xml:space="preserve"> (dashed blue line)</w:t>
      </w:r>
      <w:proofErr w:type="gramEnd"/>
      <w:r>
        <w:rPr>
          <w:rFonts w:ascii="Times New Roman" w:hAnsi="Times New Roman" w:cs="Times New Roman"/>
          <w:lang w:val="en-GB"/>
        </w:rPr>
        <w:t xml:space="preserve">. These three features overlap significantly, especially since the exothermic formation of ice XV is a very slow process. The black dotted sum curve in Fig.S1 is very similar to what we observe in Fig.1b. Integration of only the first endotherm results </w:t>
      </w:r>
      <w:proofErr w:type="gramStart"/>
      <w:r>
        <w:rPr>
          <w:rFonts w:ascii="Times New Roman" w:hAnsi="Times New Roman" w:cs="Times New Roman"/>
          <w:lang w:val="en-GB"/>
        </w:rPr>
        <w:t>in only +55 J mol</w:t>
      </w:r>
      <w:r w:rsidRPr="00122272">
        <w:rPr>
          <w:rFonts w:ascii="Times New Roman" w:hAnsi="Times New Roman" w:cs="Times New Roman"/>
          <w:vertAlign w:val="superscript"/>
          <w:lang w:val="en-GB"/>
        </w:rPr>
        <w:t>-1</w:t>
      </w:r>
      <w:r>
        <w:rPr>
          <w:rFonts w:ascii="Times New Roman" w:hAnsi="Times New Roman" w:cs="Times New Roman"/>
          <w:lang w:val="en-GB"/>
        </w:rPr>
        <w:t>,</w:t>
      </w:r>
      <w:proofErr w:type="gramEnd"/>
      <w:r>
        <w:rPr>
          <w:rFonts w:ascii="Times New Roman" w:hAnsi="Times New Roman" w:cs="Times New Roman"/>
          <w:lang w:val="en-GB"/>
        </w:rPr>
        <w:t xml:space="preserve"> i.e., underestimates the correct value by about 15%. The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in the sum curve integrates </w:t>
      </w:r>
      <w:proofErr w:type="gramStart"/>
      <w:r>
        <w:rPr>
          <w:rFonts w:ascii="Times New Roman" w:hAnsi="Times New Roman" w:cs="Times New Roman"/>
          <w:lang w:val="en-GB"/>
        </w:rPr>
        <w:t>to -30 J mol</w:t>
      </w:r>
      <w:r w:rsidRPr="00122272">
        <w:rPr>
          <w:rFonts w:ascii="Times New Roman" w:hAnsi="Times New Roman" w:cs="Times New Roman"/>
          <w:vertAlign w:val="superscript"/>
          <w:lang w:val="en-GB"/>
        </w:rPr>
        <w:t>-1</w:t>
      </w:r>
      <w:r>
        <w:rPr>
          <w:rFonts w:ascii="Times New Roman" w:hAnsi="Times New Roman" w:cs="Times New Roman"/>
          <w:lang w:val="en-GB"/>
        </w:rPr>
        <w:t>, which underestimates the real value by 40%,</w:t>
      </w:r>
      <w:proofErr w:type="gramEnd"/>
      <w:r>
        <w:rPr>
          <w:rFonts w:ascii="Times New Roman" w:hAnsi="Times New Roman" w:cs="Times New Roman"/>
          <w:lang w:val="en-GB"/>
        </w:rPr>
        <w:t xml:space="preserve"> and the second endotherm in the sum curve alone integrates to 40 J mol</w:t>
      </w:r>
      <w:r w:rsidRPr="00122272">
        <w:rPr>
          <w:rFonts w:ascii="Times New Roman" w:hAnsi="Times New Roman" w:cs="Times New Roman"/>
          <w:vertAlign w:val="superscript"/>
          <w:lang w:val="en-GB"/>
        </w:rPr>
        <w:t>-1</w:t>
      </w:r>
      <w:r>
        <w:rPr>
          <w:rFonts w:ascii="Times New Roman" w:hAnsi="Times New Roman" w:cs="Times New Roman"/>
          <w:lang w:val="en-GB"/>
        </w:rPr>
        <w:t xml:space="preserve">, an underestimation of 10%. This is because of the annihilation through simultaneous heat generation and heat uptake in the experiment. </w:t>
      </w:r>
      <w:proofErr w:type="spellStart"/>
      <w:r>
        <w:rPr>
          <w:rFonts w:ascii="Times New Roman" w:hAnsi="Times New Roman" w:cs="Times New Roman"/>
          <w:lang w:val="en-GB"/>
        </w:rPr>
        <w:t>Futhermore</w:t>
      </w:r>
      <w:proofErr w:type="spellEnd"/>
      <w:r>
        <w:rPr>
          <w:rFonts w:ascii="Times New Roman" w:hAnsi="Times New Roman" w:cs="Times New Roman"/>
          <w:lang w:val="en-GB"/>
        </w:rPr>
        <w:t>, the onset temperature for the second endotherm is significantly shifted between the black sum curve and the individual red-dashed contribution.</w:t>
      </w:r>
    </w:p>
    <w:p w:rsidR="00FF16FB" w:rsidRDefault="00FF16FB" w:rsidP="00FF16FB">
      <w:pPr>
        <w:jc w:val="both"/>
        <w:rPr>
          <w:rFonts w:ascii="Times New Roman" w:hAnsi="Times New Roman" w:cs="Times New Roman"/>
          <w:lang w:val="en-GB"/>
        </w:rPr>
      </w:pPr>
      <w:r>
        <w:rPr>
          <w:rFonts w:ascii="Times New Roman" w:hAnsi="Times New Roman" w:cs="Times New Roman"/>
          <w:lang w:val="en-GB"/>
        </w:rPr>
        <w:t>The situation encountered for deuterated ice XIX (95%H/5%D) is schematically represented in Fig.S2. In comparison to the case of H</w:t>
      </w:r>
      <w:r w:rsidRPr="00754669">
        <w:rPr>
          <w:rFonts w:ascii="Times New Roman" w:hAnsi="Times New Roman" w:cs="Times New Roman"/>
          <w:vertAlign w:val="subscript"/>
          <w:lang w:val="en-GB"/>
        </w:rPr>
        <w:t>2</w:t>
      </w:r>
      <w:r>
        <w:rPr>
          <w:rFonts w:ascii="Times New Roman" w:hAnsi="Times New Roman" w:cs="Times New Roman"/>
          <w:lang w:val="en-GB"/>
        </w:rPr>
        <w:t xml:space="preserve">O ice XIX in Fig.S1 all individual peak contributions are here much broader because of the sluggish movement of D atoms in comparison to H atoms. This leads to an additional overlapping between the two endotherms – which means that at 120 K all three processes generating heat take place simultaneously: disordering of ice XIX, formation of ice XV and disordering of ice XV. This leads to the situation that the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is not even detected in the black sum curve under these circumstances, even though an </w:t>
      </w:r>
      <w:proofErr w:type="spellStart"/>
      <w:r>
        <w:rPr>
          <w:rFonts w:ascii="Times New Roman" w:hAnsi="Times New Roman" w:cs="Times New Roman"/>
          <w:lang w:val="en-GB"/>
        </w:rPr>
        <w:t>exotherm</w:t>
      </w:r>
      <w:proofErr w:type="spellEnd"/>
      <w:r>
        <w:rPr>
          <w:rFonts w:ascii="Times New Roman" w:hAnsi="Times New Roman" w:cs="Times New Roman"/>
          <w:lang w:val="en-GB"/>
        </w:rPr>
        <w:t xml:space="preserve"> </w:t>
      </w:r>
      <w:proofErr w:type="gramStart"/>
      <w:r>
        <w:rPr>
          <w:rFonts w:ascii="Times New Roman" w:hAnsi="Times New Roman" w:cs="Times New Roman"/>
          <w:lang w:val="en-GB"/>
        </w:rPr>
        <w:t>of -30 J mol</w:t>
      </w:r>
      <w:r w:rsidRPr="00122272">
        <w:rPr>
          <w:rFonts w:ascii="Times New Roman" w:hAnsi="Times New Roman" w:cs="Times New Roman"/>
          <w:vertAlign w:val="superscript"/>
          <w:lang w:val="en-GB"/>
        </w:rPr>
        <w:t>-1</w:t>
      </w:r>
      <w:proofErr w:type="gramEnd"/>
      <w:r>
        <w:rPr>
          <w:rFonts w:ascii="Times New Roman" w:hAnsi="Times New Roman" w:cs="Times New Roman"/>
          <w:lang w:val="en-GB"/>
        </w:rPr>
        <w:t xml:space="preserve"> is in fact present (blue dashed curve). This then leads to problems with determination of integration boundaries and definition of the baseline. Peak integration for the two endotherms is typically done using tilted lines (grey dashed line), instead of the flat baseline (full grey line). Summing up the two endotherms results then in a total enthalpy of +55 + 14 = 69 J mol</w:t>
      </w:r>
      <w:r w:rsidRPr="00122272">
        <w:rPr>
          <w:rFonts w:ascii="Times New Roman" w:hAnsi="Times New Roman" w:cs="Times New Roman"/>
          <w:vertAlign w:val="superscript"/>
          <w:lang w:val="en-GB"/>
        </w:rPr>
        <w:t>-1</w:t>
      </w:r>
      <w:r>
        <w:rPr>
          <w:rFonts w:ascii="Times New Roman" w:hAnsi="Times New Roman" w:cs="Times New Roman"/>
          <w:lang w:val="en-GB"/>
        </w:rPr>
        <w:t xml:space="preserve">, whereas the real total enthalpy would be the sum of the three individual contributions, </w:t>
      </w:r>
      <w:proofErr w:type="spellStart"/>
      <w:r>
        <w:rPr>
          <w:rFonts w:ascii="Times New Roman" w:hAnsi="Times New Roman" w:cs="Times New Roman"/>
          <w:lang w:val="en-GB"/>
        </w:rPr>
        <w:t>ΔH</w:t>
      </w:r>
      <w:r>
        <w:rPr>
          <w:rFonts w:ascii="Times New Roman" w:hAnsi="Times New Roman" w:cs="Times New Roman"/>
          <w:vertAlign w:val="subscript"/>
          <w:lang w:val="en-GB"/>
        </w:rPr>
        <w:t>tot</w:t>
      </w:r>
      <w:proofErr w:type="spellEnd"/>
      <w:r>
        <w:rPr>
          <w:rFonts w:ascii="Times New Roman" w:hAnsi="Times New Roman" w:cs="Times New Roman"/>
          <w:lang w:val="en-GB"/>
        </w:rPr>
        <w:t xml:space="preserve"> = 90 – 30 + 30 = 90 J mol</w:t>
      </w:r>
      <w:r w:rsidRPr="00122272">
        <w:rPr>
          <w:rFonts w:ascii="Times New Roman" w:hAnsi="Times New Roman" w:cs="Times New Roman"/>
          <w:vertAlign w:val="superscript"/>
          <w:lang w:val="en-GB"/>
        </w:rPr>
        <w:t>-1</w:t>
      </w:r>
      <w:r>
        <w:rPr>
          <w:rFonts w:ascii="Times New Roman" w:hAnsi="Times New Roman" w:cs="Times New Roman"/>
          <w:lang w:val="en-GB"/>
        </w:rPr>
        <w:t>. The choice of incorrect baselines in highly overlapping peaks is the fundamental issue that causes the incorrectly derived total peak area. For this reason, the real thermodynamic limit can only be accessed by integrating all peaks in a single step, using a single basis – this is called the “combined integration approach” and superior to the “single peak approach”.</w:t>
      </w:r>
    </w:p>
    <w:p w:rsidR="00FF16FB" w:rsidRPr="00283AB3" w:rsidRDefault="00FF16FB" w:rsidP="00FF16FB">
      <w:pPr>
        <w:rPr>
          <w:lang w:val="en-GB"/>
        </w:rPr>
      </w:pPr>
      <w:r>
        <w:rPr>
          <w:rFonts w:ascii="Times New Roman" w:hAnsi="Times New Roman" w:cs="Times New Roman"/>
          <w:lang w:val="en-GB"/>
        </w:rPr>
        <w:br w:type="page"/>
      </w:r>
      <w:r>
        <w:rPr>
          <w:noProof/>
          <w:lang w:val="de-AT" w:eastAsia="de-AT"/>
        </w:rPr>
        <w:lastRenderedPageBreak/>
        <w:drawing>
          <wp:inline distT="0" distB="0" distL="0" distR="0" wp14:anchorId="7538DB47" wp14:editId="21412FED">
            <wp:extent cx="3918651" cy="2998693"/>
            <wp:effectExtent l="0" t="0" r="5715"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uss_overlay_im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918651" cy="2998693"/>
                    </a:xfrm>
                    <a:prstGeom prst="rect">
                      <a:avLst/>
                    </a:prstGeom>
                    <a:noFill/>
                    <a:ln>
                      <a:noFill/>
                    </a:ln>
                  </pic:spPr>
                </pic:pic>
              </a:graphicData>
            </a:graphic>
          </wp:inline>
        </w:drawing>
      </w:r>
    </w:p>
    <w:p w:rsidR="00FF16FB" w:rsidRPr="00427A7A" w:rsidRDefault="00FF16FB" w:rsidP="00FF16FB">
      <w:pPr>
        <w:pStyle w:val="Beschriftung"/>
        <w:rPr>
          <w:i w:val="0"/>
          <w:iCs w:val="0"/>
          <w:color w:val="auto"/>
          <w:sz w:val="22"/>
          <w:szCs w:val="22"/>
          <w:lang w:val="en-GB"/>
        </w:rPr>
      </w:pPr>
      <w:r w:rsidRPr="00427A7A">
        <w:rPr>
          <w:b/>
          <w:i w:val="0"/>
          <w:color w:val="auto"/>
          <w:sz w:val="22"/>
          <w:szCs w:val="22"/>
          <w:lang w:val="en-GB"/>
        </w:rPr>
        <w:t>Figure S1</w:t>
      </w:r>
      <w:r w:rsidRPr="00427A7A">
        <w:rPr>
          <w:color w:val="auto"/>
          <w:sz w:val="22"/>
          <w:szCs w:val="22"/>
          <w:lang w:val="en-GB"/>
        </w:rPr>
        <w:t xml:space="preserve">: Constructed sum </w:t>
      </w:r>
      <w:proofErr w:type="spellStart"/>
      <w:r w:rsidRPr="00427A7A">
        <w:rPr>
          <w:color w:val="auto"/>
          <w:sz w:val="22"/>
          <w:szCs w:val="22"/>
          <w:lang w:val="en-GB"/>
        </w:rPr>
        <w:t>thermogram</w:t>
      </w:r>
      <w:proofErr w:type="spellEnd"/>
      <w:r w:rsidRPr="00427A7A">
        <w:rPr>
          <w:color w:val="auto"/>
          <w:sz w:val="22"/>
          <w:szCs w:val="22"/>
          <w:lang w:val="en-GB"/>
        </w:rPr>
        <w:t xml:space="preserve"> </w:t>
      </w:r>
      <w:r>
        <w:rPr>
          <w:color w:val="auto"/>
          <w:sz w:val="22"/>
          <w:szCs w:val="22"/>
          <w:lang w:val="en-GB"/>
        </w:rPr>
        <w:t>for the case of an H</w:t>
      </w:r>
      <w:r w:rsidRPr="009331C7">
        <w:rPr>
          <w:color w:val="auto"/>
          <w:sz w:val="22"/>
          <w:szCs w:val="22"/>
          <w:vertAlign w:val="subscript"/>
          <w:lang w:val="en-GB"/>
        </w:rPr>
        <w:t>2</w:t>
      </w:r>
      <w:r>
        <w:rPr>
          <w:color w:val="auto"/>
          <w:sz w:val="22"/>
          <w:szCs w:val="22"/>
          <w:lang w:val="en-GB"/>
        </w:rPr>
        <w:t xml:space="preserve">O ice XIX sample </w:t>
      </w:r>
      <w:r w:rsidRPr="00427A7A">
        <w:rPr>
          <w:color w:val="auto"/>
          <w:sz w:val="22"/>
          <w:szCs w:val="22"/>
          <w:lang w:val="en-GB"/>
        </w:rPr>
        <w:t>(black line) calculated from three individual, but overlapping events. The</w:t>
      </w:r>
      <w:r>
        <w:rPr>
          <w:color w:val="auto"/>
          <w:sz w:val="22"/>
          <w:szCs w:val="22"/>
          <w:lang w:val="en-GB"/>
        </w:rPr>
        <w:t xml:space="preserve"> pink dashed endotherm represents ice XIX disordering, the red dashed endotherm represents ice XV disordering and the blue dashed </w:t>
      </w:r>
      <w:proofErr w:type="spellStart"/>
      <w:r>
        <w:rPr>
          <w:color w:val="auto"/>
          <w:sz w:val="22"/>
          <w:szCs w:val="22"/>
          <w:lang w:val="en-GB"/>
        </w:rPr>
        <w:t>exotherm</w:t>
      </w:r>
      <w:proofErr w:type="spellEnd"/>
      <w:r>
        <w:rPr>
          <w:color w:val="auto"/>
          <w:sz w:val="22"/>
          <w:szCs w:val="22"/>
          <w:lang w:val="en-GB"/>
        </w:rPr>
        <w:t xml:space="preserve"> represent ice XV formation from transient ice VI</w:t>
      </w:r>
      <w:r w:rsidRPr="00427A7A">
        <w:rPr>
          <w:rFonts w:cstheme="minorHAnsi"/>
          <w:color w:val="auto"/>
          <w:sz w:val="22"/>
          <w:szCs w:val="22"/>
          <w:vertAlign w:val="superscript"/>
          <w:lang w:val="en-GB"/>
        </w:rPr>
        <w:t>‡</w:t>
      </w:r>
      <w:r>
        <w:rPr>
          <w:color w:val="auto"/>
          <w:sz w:val="22"/>
          <w:szCs w:val="22"/>
          <w:lang w:val="en-GB"/>
        </w:rPr>
        <w:t>. The grey line represents the baseline of the scan.</w:t>
      </w:r>
      <w:r w:rsidRPr="00427A7A">
        <w:rPr>
          <w:i w:val="0"/>
          <w:iCs w:val="0"/>
          <w:color w:val="auto"/>
          <w:sz w:val="22"/>
          <w:szCs w:val="22"/>
          <w:lang w:val="en-GB"/>
        </w:rPr>
        <w:t xml:space="preserve"> </w:t>
      </w:r>
      <w:r>
        <w:rPr>
          <w:i w:val="0"/>
          <w:iCs w:val="0"/>
          <w:color w:val="auto"/>
          <w:sz w:val="22"/>
          <w:szCs w:val="22"/>
          <w:lang w:val="en-GB"/>
        </w:rPr>
        <w:t xml:space="preserve">Arrows are marking the lower integration limits of the second endotherm of the </w:t>
      </w:r>
      <w:proofErr w:type="spellStart"/>
      <w:r>
        <w:rPr>
          <w:i w:val="0"/>
          <w:iCs w:val="0"/>
          <w:color w:val="auto"/>
          <w:sz w:val="22"/>
          <w:szCs w:val="22"/>
          <w:lang w:val="en-GB"/>
        </w:rPr>
        <w:t>deconvoluted</w:t>
      </w:r>
      <w:proofErr w:type="spellEnd"/>
      <w:r>
        <w:rPr>
          <w:i w:val="0"/>
          <w:iCs w:val="0"/>
          <w:color w:val="auto"/>
          <w:sz w:val="22"/>
          <w:szCs w:val="22"/>
          <w:lang w:val="en-GB"/>
        </w:rPr>
        <w:t xml:space="preserve"> traces (red) and the sum trace (black). </w:t>
      </w:r>
    </w:p>
    <w:p w:rsidR="00FF16FB" w:rsidRDefault="00FF16FB" w:rsidP="00FF16FB">
      <w:pPr>
        <w:jc w:val="center"/>
        <w:rPr>
          <w:lang w:val="en-GB"/>
        </w:rPr>
      </w:pPr>
      <w:r>
        <w:rPr>
          <w:noProof/>
          <w:lang w:val="de-AT" w:eastAsia="de-AT"/>
        </w:rPr>
        <w:drawing>
          <wp:inline distT="0" distB="0" distL="0" distR="0">
            <wp:extent cx="4067175" cy="3121025"/>
            <wp:effectExtent l="0" t="0" r="9525" b="3175"/>
            <wp:docPr id="5" name="Grafik 5" descr="Gauss_case3_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uss_case3_9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67175" cy="3121025"/>
                    </a:xfrm>
                    <a:prstGeom prst="rect">
                      <a:avLst/>
                    </a:prstGeom>
                    <a:noFill/>
                    <a:ln>
                      <a:noFill/>
                    </a:ln>
                  </pic:spPr>
                </pic:pic>
              </a:graphicData>
            </a:graphic>
          </wp:inline>
        </w:drawing>
      </w:r>
    </w:p>
    <w:p w:rsidR="00FF16FB" w:rsidRPr="00427A7A" w:rsidRDefault="00FF16FB" w:rsidP="00FF16FB">
      <w:pPr>
        <w:pStyle w:val="Beschriftung"/>
        <w:jc w:val="both"/>
        <w:rPr>
          <w:i w:val="0"/>
          <w:iCs w:val="0"/>
          <w:color w:val="auto"/>
          <w:sz w:val="22"/>
          <w:szCs w:val="22"/>
          <w:lang w:val="en-GB"/>
        </w:rPr>
      </w:pPr>
      <w:r w:rsidRPr="00427A7A">
        <w:rPr>
          <w:b/>
          <w:i w:val="0"/>
          <w:color w:val="auto"/>
          <w:sz w:val="22"/>
          <w:szCs w:val="22"/>
          <w:lang w:val="en-GB"/>
        </w:rPr>
        <w:t>Figure S</w:t>
      </w:r>
      <w:r>
        <w:rPr>
          <w:b/>
          <w:i w:val="0"/>
          <w:color w:val="auto"/>
          <w:sz w:val="22"/>
          <w:szCs w:val="22"/>
          <w:lang w:val="en-GB"/>
        </w:rPr>
        <w:t>2</w:t>
      </w:r>
      <w:r w:rsidRPr="00427A7A">
        <w:rPr>
          <w:color w:val="auto"/>
          <w:sz w:val="22"/>
          <w:szCs w:val="22"/>
          <w:lang w:val="en-GB"/>
        </w:rPr>
        <w:t xml:space="preserve">: Constructed sum </w:t>
      </w:r>
      <w:proofErr w:type="spellStart"/>
      <w:r w:rsidRPr="00427A7A">
        <w:rPr>
          <w:color w:val="auto"/>
          <w:sz w:val="22"/>
          <w:szCs w:val="22"/>
          <w:lang w:val="en-GB"/>
        </w:rPr>
        <w:t>thermogram</w:t>
      </w:r>
      <w:proofErr w:type="spellEnd"/>
      <w:r w:rsidRPr="00427A7A">
        <w:rPr>
          <w:color w:val="auto"/>
          <w:sz w:val="22"/>
          <w:szCs w:val="22"/>
          <w:lang w:val="en-GB"/>
        </w:rPr>
        <w:t xml:space="preserve"> </w:t>
      </w:r>
      <w:r>
        <w:rPr>
          <w:color w:val="auto"/>
          <w:sz w:val="22"/>
          <w:szCs w:val="22"/>
          <w:lang w:val="en-GB"/>
        </w:rPr>
        <w:t>for the case of a D</w:t>
      </w:r>
      <w:r w:rsidRPr="009331C7">
        <w:rPr>
          <w:color w:val="auto"/>
          <w:sz w:val="22"/>
          <w:szCs w:val="22"/>
          <w:vertAlign w:val="subscript"/>
          <w:lang w:val="en-GB"/>
        </w:rPr>
        <w:t>2</w:t>
      </w:r>
      <w:r>
        <w:rPr>
          <w:color w:val="auto"/>
          <w:sz w:val="22"/>
          <w:szCs w:val="22"/>
          <w:lang w:val="en-GB"/>
        </w:rPr>
        <w:t xml:space="preserve">O ice XIX sample </w:t>
      </w:r>
      <w:r w:rsidRPr="00427A7A">
        <w:rPr>
          <w:color w:val="auto"/>
          <w:sz w:val="22"/>
          <w:szCs w:val="22"/>
          <w:lang w:val="en-GB"/>
        </w:rPr>
        <w:t>(black line) calculated from three individual, but overlapping events. The</w:t>
      </w:r>
      <w:r>
        <w:rPr>
          <w:color w:val="auto"/>
          <w:sz w:val="22"/>
          <w:szCs w:val="22"/>
          <w:lang w:val="en-GB"/>
        </w:rPr>
        <w:t xml:space="preserve"> pink dashed endotherm represents ice XIX disordering, the red dashed endotherm represents ice XV disordering and the blue dashed </w:t>
      </w:r>
      <w:proofErr w:type="spellStart"/>
      <w:r>
        <w:rPr>
          <w:color w:val="auto"/>
          <w:sz w:val="22"/>
          <w:szCs w:val="22"/>
          <w:lang w:val="en-GB"/>
        </w:rPr>
        <w:t>exotherm</w:t>
      </w:r>
      <w:proofErr w:type="spellEnd"/>
      <w:r>
        <w:rPr>
          <w:color w:val="auto"/>
          <w:sz w:val="22"/>
          <w:szCs w:val="22"/>
          <w:lang w:val="en-GB"/>
        </w:rPr>
        <w:t xml:space="preserve"> represent ice XV formation from transient ice VI</w:t>
      </w:r>
      <w:r w:rsidRPr="00427A7A">
        <w:rPr>
          <w:rFonts w:cstheme="minorHAnsi"/>
          <w:color w:val="auto"/>
          <w:sz w:val="22"/>
          <w:szCs w:val="22"/>
          <w:vertAlign w:val="superscript"/>
          <w:lang w:val="en-GB"/>
        </w:rPr>
        <w:t>‡</w:t>
      </w:r>
      <w:r>
        <w:rPr>
          <w:color w:val="auto"/>
          <w:sz w:val="22"/>
          <w:szCs w:val="22"/>
          <w:lang w:val="en-GB"/>
        </w:rPr>
        <w:t xml:space="preserve">. </w:t>
      </w:r>
      <w:proofErr w:type="gramStart"/>
      <w:r>
        <w:rPr>
          <w:color w:val="auto"/>
          <w:sz w:val="22"/>
          <w:szCs w:val="22"/>
          <w:lang w:val="en-GB"/>
        </w:rPr>
        <w:t>Compared to Fig.</w:t>
      </w:r>
      <w:proofErr w:type="gramEnd"/>
      <w:r>
        <w:rPr>
          <w:color w:val="auto"/>
          <w:sz w:val="22"/>
          <w:szCs w:val="22"/>
          <w:lang w:val="en-GB"/>
        </w:rPr>
        <w:t xml:space="preserve"> S1 all peaks are broader because rearrangements of D atoms are more sluggish than rearrangements of H atoms. The full grey line represents the baseline of the measurement. The grey dotted lines represent the incorrect baselines typically chosen for integration of the two endotherms. The choice of such incorrect baselines then falsifies the total peak area, calculated as sum of the two endotherm areas.</w:t>
      </w:r>
    </w:p>
    <w:p w:rsidR="00FF16FB" w:rsidRDefault="00FF16FB" w:rsidP="00FF16FB">
      <w:pPr>
        <w:pStyle w:val="Beschriftung"/>
        <w:rPr>
          <w:sz w:val="22"/>
          <w:szCs w:val="22"/>
          <w:lang w:val="en-GB"/>
        </w:rPr>
      </w:pPr>
      <w:r>
        <w:rPr>
          <w:noProof/>
          <w:sz w:val="22"/>
          <w:szCs w:val="22"/>
          <w:lang w:val="de-AT" w:eastAsia="de-AT"/>
        </w:rPr>
        <w:lastRenderedPageBreak/>
        <w:drawing>
          <wp:inline distT="0" distB="0" distL="0" distR="0">
            <wp:extent cx="5752465" cy="4067175"/>
            <wp:effectExtent l="0" t="0" r="635" b="9525"/>
            <wp:docPr id="4" name="Grafik 4" descr="XRD_XV_Clapeyron_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RD_XV_Clapeyron_9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rsidR="00FF16FB" w:rsidRPr="00166C30" w:rsidRDefault="00FF16FB" w:rsidP="00FF16FB">
      <w:pPr>
        <w:pStyle w:val="Beschriftung"/>
        <w:jc w:val="both"/>
        <w:rPr>
          <w:i w:val="0"/>
          <w:iCs w:val="0"/>
          <w:color w:val="auto"/>
          <w:sz w:val="22"/>
          <w:szCs w:val="22"/>
          <w:lang w:val="en-GB"/>
        </w:rPr>
      </w:pPr>
      <w:r w:rsidRPr="00427A7A">
        <w:rPr>
          <w:b/>
          <w:i w:val="0"/>
          <w:color w:val="auto"/>
          <w:sz w:val="22"/>
          <w:szCs w:val="22"/>
          <w:lang w:val="en-GB"/>
        </w:rPr>
        <w:t>Figure S</w:t>
      </w:r>
      <w:r>
        <w:rPr>
          <w:b/>
          <w:i w:val="0"/>
          <w:color w:val="auto"/>
          <w:sz w:val="22"/>
          <w:szCs w:val="22"/>
          <w:lang w:val="en-GB"/>
        </w:rPr>
        <w:t>3</w:t>
      </w:r>
      <w:r w:rsidRPr="00427A7A">
        <w:rPr>
          <w:color w:val="auto"/>
          <w:sz w:val="22"/>
          <w:szCs w:val="22"/>
          <w:lang w:val="en-GB"/>
        </w:rPr>
        <w:t xml:space="preserve">: </w:t>
      </w:r>
      <w:r>
        <w:rPr>
          <w:color w:val="auto"/>
          <w:sz w:val="22"/>
          <w:szCs w:val="22"/>
          <w:lang w:val="en-GB"/>
        </w:rPr>
        <w:t xml:space="preserve">X-ray powder </w:t>
      </w:r>
      <w:proofErr w:type="spellStart"/>
      <w:r>
        <w:rPr>
          <w:color w:val="auto"/>
          <w:sz w:val="22"/>
          <w:szCs w:val="22"/>
          <w:lang w:val="en-GB"/>
        </w:rPr>
        <w:t>diffractograms</w:t>
      </w:r>
      <w:proofErr w:type="spellEnd"/>
      <w:r>
        <w:rPr>
          <w:color w:val="auto"/>
          <w:sz w:val="22"/>
          <w:szCs w:val="22"/>
          <w:lang w:val="en-GB"/>
        </w:rPr>
        <w:t xml:space="preserve"> of the sample batch used for obtaining the data in Fig. 1a of the main manuscript. The pattern was measured using a Bruker D8 powder diffractometer. Grey shaded areas mark the region of the Cu sample holder peaks. Ice </w:t>
      </w:r>
      <w:proofErr w:type="spellStart"/>
      <w:r>
        <w:rPr>
          <w:color w:val="auto"/>
          <w:sz w:val="22"/>
          <w:szCs w:val="22"/>
          <w:lang w:val="en-GB"/>
        </w:rPr>
        <w:t>I</w:t>
      </w:r>
      <w:r>
        <w:rPr>
          <w:color w:val="auto"/>
          <w:sz w:val="22"/>
          <w:szCs w:val="22"/>
          <w:vertAlign w:val="subscript"/>
          <w:lang w:val="en-GB"/>
        </w:rPr>
        <w:t>h</w:t>
      </w:r>
      <w:proofErr w:type="spellEnd"/>
      <w:r>
        <w:rPr>
          <w:color w:val="auto"/>
          <w:sz w:val="22"/>
          <w:szCs w:val="22"/>
          <w:lang w:val="en-GB"/>
        </w:rPr>
        <w:t xml:space="preserve"> </w: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 </w:instrTex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EN.CITE.DATA </w:instrText>
      </w:r>
      <w:r>
        <w:rPr>
          <w:color w:val="auto"/>
          <w:sz w:val="22"/>
          <w:szCs w:val="22"/>
          <w:lang w:val="en-GB"/>
        </w:rPr>
      </w:r>
      <w:r>
        <w:rPr>
          <w:color w:val="auto"/>
          <w:sz w:val="22"/>
          <w:szCs w:val="22"/>
          <w:lang w:val="en-GB"/>
        </w:rPr>
        <w:fldChar w:fldCharType="end"/>
      </w:r>
      <w:r>
        <w:rPr>
          <w:color w:val="auto"/>
          <w:sz w:val="22"/>
          <w:szCs w:val="22"/>
          <w:lang w:val="en-GB"/>
        </w:rPr>
      </w:r>
      <w:r>
        <w:rPr>
          <w:color w:val="auto"/>
          <w:sz w:val="22"/>
          <w:szCs w:val="22"/>
          <w:lang w:val="en-GB"/>
        </w:rPr>
        <w:fldChar w:fldCharType="separate"/>
      </w:r>
      <w:r w:rsidRPr="00A90E43">
        <w:rPr>
          <w:noProof/>
          <w:color w:val="auto"/>
          <w:sz w:val="22"/>
          <w:szCs w:val="22"/>
          <w:vertAlign w:val="superscript"/>
          <w:lang w:val="en-GB"/>
        </w:rPr>
        <w:t>21</w:t>
      </w:r>
      <w:r>
        <w:rPr>
          <w:color w:val="auto"/>
          <w:sz w:val="22"/>
          <w:szCs w:val="22"/>
          <w:lang w:val="en-GB"/>
        </w:rPr>
        <w:fldChar w:fldCharType="end"/>
      </w:r>
      <w:r>
        <w:rPr>
          <w:color w:val="auto"/>
          <w:sz w:val="22"/>
          <w:szCs w:val="22"/>
          <w:lang w:val="en-GB"/>
        </w:rPr>
        <w:t xml:space="preserve"> and ice VI </w:t>
      </w:r>
      <w:r>
        <w:rPr>
          <w:color w:val="auto"/>
          <w:sz w:val="22"/>
          <w:szCs w:val="22"/>
          <w:lang w:val="en-GB"/>
        </w:rPr>
        <w:fldChar w:fldCharType="begin"/>
      </w:r>
      <w:r>
        <w:rPr>
          <w:color w:val="auto"/>
          <w:sz w:val="22"/>
          <w:szCs w:val="22"/>
          <w:lang w:val="en-GB"/>
        </w:rPr>
        <w:instrText xml:space="preserve"> ADDIN EN.CITE &lt;EndNote&gt;&lt;Cite&gt;&lt;Author&gt;Kamb&lt;/Author&gt;&lt;Year&gt;1965&lt;/Year&gt;&lt;RecNum&gt;32&lt;/RecNum&gt;&lt;IDText&gt;Structure of Ice VI&lt;/IDText&gt;&lt;DisplayText&gt;&lt;style face="superscript"&gt;22&lt;/style&gt;&lt;/DisplayText&gt;&lt;record&gt;&lt;rec-number&gt;32&lt;/rec-number&gt;&lt;foreign-keys&gt;&lt;key app="EN" db-id="x520vwz5rdff21exxvxpx2rorxv9w5zfeeae" timestamp="1636916660"&gt;32&lt;/key&gt;&lt;/foreign-keys&gt;&lt;ref-type name="Journal Article"&gt;17&lt;/ref-type&gt;&lt;contributors&gt;&lt;authors&gt;&lt;author&gt;Kamb, B.&lt;/author&gt;&lt;/authors&gt;&lt;/contributors&gt;&lt;titles&gt;&lt;title&gt;Structure of Ice VI&lt;/title&gt;&lt;secondary-title&gt;Science&lt;/secondary-title&gt;&lt;alt-title&gt;Science&lt;/alt-title&gt;&lt;short-title&gt;Structure of Ice VI&lt;/short-title&gt;&lt;/titles&gt;&lt;periodical&gt;&lt;full-title&gt;Science&lt;/full-title&gt;&lt;abbr-1&gt;Science&lt;/abbr-1&gt;&lt;/periodical&gt;&lt;alt-periodical&gt;&lt;full-title&gt;Science&lt;/full-title&gt;&lt;abbr-1&gt;Science&lt;/abbr-1&gt;&lt;/alt-periodical&gt;&lt;pages&gt;205-209&lt;/pages&gt;&lt;volume&gt;150&lt;/volume&gt;&lt;number&gt;3693&lt;/number&gt;&lt;keywords&gt;&lt;keyword&gt;Science &amp;amp; Technology - Other Topics&lt;/keyword&gt;&lt;/keywords&gt;&lt;dates&gt;&lt;year&gt;1965&lt;/year&gt;&lt;/dates&gt;&lt;isbn&gt;0036-8075&lt;/isbn&gt;&lt;accession-num&gt;WOS:A19656869200017&lt;/accession-num&gt;&lt;work-type&gt;Article&lt;/work-type&gt;&lt;urls&gt;&lt;/urls&gt;&lt;electronic-resource-num&gt;10.1126/science.150.3693.205&lt;/electronic-resource-num&gt;&lt;language&gt;English&lt;/language&gt;&lt;/record&gt;&lt;/Cite&gt;&lt;/EndNote&gt;</w:instrText>
      </w:r>
      <w:r>
        <w:rPr>
          <w:color w:val="auto"/>
          <w:sz w:val="22"/>
          <w:szCs w:val="22"/>
          <w:lang w:val="en-GB"/>
        </w:rPr>
        <w:fldChar w:fldCharType="separate"/>
      </w:r>
      <w:r w:rsidRPr="00A90E43">
        <w:rPr>
          <w:noProof/>
          <w:color w:val="auto"/>
          <w:sz w:val="22"/>
          <w:szCs w:val="22"/>
          <w:vertAlign w:val="superscript"/>
          <w:lang w:val="en-GB"/>
        </w:rPr>
        <w:t>22</w:t>
      </w:r>
      <w:r>
        <w:rPr>
          <w:color w:val="auto"/>
          <w:sz w:val="22"/>
          <w:szCs w:val="22"/>
          <w:lang w:val="en-GB"/>
        </w:rPr>
        <w:fldChar w:fldCharType="end"/>
      </w:r>
      <w:r>
        <w:rPr>
          <w:color w:val="auto"/>
          <w:sz w:val="22"/>
          <w:szCs w:val="22"/>
          <w:lang w:val="en-GB"/>
        </w:rPr>
        <w:t xml:space="preserve"> sample reflex positions are indicated as tick marks.</w:t>
      </w:r>
    </w:p>
    <w:p w:rsidR="00FF16FB" w:rsidRDefault="00FF16FB" w:rsidP="00FF16FB">
      <w:pPr>
        <w:rPr>
          <w:lang w:val="en-GB"/>
        </w:rPr>
      </w:pPr>
      <w:r>
        <w:rPr>
          <w:noProof/>
          <w:lang w:val="de-AT" w:eastAsia="de-AT"/>
        </w:rPr>
        <w:lastRenderedPageBreak/>
        <w:drawing>
          <wp:inline distT="0" distB="0" distL="0" distR="0">
            <wp:extent cx="5752465" cy="4067175"/>
            <wp:effectExtent l="0" t="0" r="635" b="9525"/>
            <wp:docPr id="2" name="Grafik 2" descr="XRD_XIX_Clapeyron_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RD_XIX_Clapeyron_9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rsidR="00FF16FB" w:rsidRPr="00166C30" w:rsidRDefault="00FF16FB" w:rsidP="00FF16FB">
      <w:pPr>
        <w:pStyle w:val="Beschriftung"/>
        <w:jc w:val="both"/>
        <w:rPr>
          <w:i w:val="0"/>
          <w:iCs w:val="0"/>
          <w:color w:val="auto"/>
          <w:sz w:val="22"/>
          <w:szCs w:val="22"/>
          <w:lang w:val="en-GB"/>
        </w:rPr>
      </w:pPr>
      <w:r w:rsidRPr="00427A7A">
        <w:rPr>
          <w:b/>
          <w:i w:val="0"/>
          <w:color w:val="auto"/>
          <w:sz w:val="22"/>
          <w:szCs w:val="22"/>
          <w:lang w:val="en-GB"/>
        </w:rPr>
        <w:t>Figure S</w:t>
      </w:r>
      <w:r>
        <w:rPr>
          <w:b/>
          <w:i w:val="0"/>
          <w:color w:val="auto"/>
          <w:sz w:val="22"/>
          <w:szCs w:val="22"/>
          <w:lang w:val="en-GB"/>
        </w:rPr>
        <w:t>4</w:t>
      </w:r>
      <w:r w:rsidRPr="00427A7A">
        <w:rPr>
          <w:color w:val="auto"/>
          <w:sz w:val="22"/>
          <w:szCs w:val="22"/>
          <w:lang w:val="en-GB"/>
        </w:rPr>
        <w:t xml:space="preserve">: </w:t>
      </w:r>
      <w:r>
        <w:rPr>
          <w:color w:val="auto"/>
          <w:sz w:val="22"/>
          <w:szCs w:val="22"/>
          <w:lang w:val="en-GB"/>
        </w:rPr>
        <w:t xml:space="preserve">X-ray powder </w:t>
      </w:r>
      <w:proofErr w:type="spellStart"/>
      <w:r>
        <w:rPr>
          <w:color w:val="auto"/>
          <w:sz w:val="22"/>
          <w:szCs w:val="22"/>
          <w:lang w:val="en-GB"/>
        </w:rPr>
        <w:t>diffractograms</w:t>
      </w:r>
      <w:proofErr w:type="spellEnd"/>
      <w:r>
        <w:rPr>
          <w:color w:val="auto"/>
          <w:sz w:val="22"/>
          <w:szCs w:val="22"/>
          <w:lang w:val="en-GB"/>
        </w:rPr>
        <w:t xml:space="preserve"> of the sample batch used for obtaining the data</w:t>
      </w:r>
      <w:r w:rsidDel="00F70F42">
        <w:rPr>
          <w:color w:val="auto"/>
          <w:sz w:val="22"/>
          <w:szCs w:val="22"/>
          <w:lang w:val="en-GB"/>
        </w:rPr>
        <w:t xml:space="preserve"> </w:t>
      </w:r>
      <w:r>
        <w:rPr>
          <w:color w:val="auto"/>
          <w:sz w:val="22"/>
          <w:szCs w:val="22"/>
          <w:lang w:val="en-GB"/>
        </w:rPr>
        <w:t xml:space="preserve">in Fig. 1b of the main manuscript. The pattern was measured using a Bruker D8 powder diffractometer. Grey shaded areas mark the region of the Cu sample holder peaks. Ice </w:t>
      </w:r>
      <w:proofErr w:type="spellStart"/>
      <w:r>
        <w:rPr>
          <w:color w:val="auto"/>
          <w:sz w:val="22"/>
          <w:szCs w:val="22"/>
          <w:lang w:val="en-GB"/>
        </w:rPr>
        <w:t>I</w:t>
      </w:r>
      <w:r>
        <w:rPr>
          <w:color w:val="auto"/>
          <w:sz w:val="22"/>
          <w:szCs w:val="22"/>
          <w:vertAlign w:val="subscript"/>
          <w:lang w:val="en-GB"/>
        </w:rPr>
        <w:t>h</w:t>
      </w:r>
      <w:proofErr w:type="spellEnd"/>
      <w:r>
        <w:rPr>
          <w:color w:val="auto"/>
          <w:sz w:val="22"/>
          <w:szCs w:val="22"/>
          <w:lang w:val="en-GB"/>
        </w:rPr>
        <w:t xml:space="preserve"> </w: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 </w:instrTex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EN.CITE.DATA </w:instrText>
      </w:r>
      <w:r>
        <w:rPr>
          <w:color w:val="auto"/>
          <w:sz w:val="22"/>
          <w:szCs w:val="22"/>
          <w:lang w:val="en-GB"/>
        </w:rPr>
      </w:r>
      <w:r>
        <w:rPr>
          <w:color w:val="auto"/>
          <w:sz w:val="22"/>
          <w:szCs w:val="22"/>
          <w:lang w:val="en-GB"/>
        </w:rPr>
        <w:fldChar w:fldCharType="end"/>
      </w:r>
      <w:r>
        <w:rPr>
          <w:color w:val="auto"/>
          <w:sz w:val="22"/>
          <w:szCs w:val="22"/>
          <w:lang w:val="en-GB"/>
        </w:rPr>
      </w:r>
      <w:r>
        <w:rPr>
          <w:color w:val="auto"/>
          <w:sz w:val="22"/>
          <w:szCs w:val="22"/>
          <w:lang w:val="en-GB"/>
        </w:rPr>
        <w:fldChar w:fldCharType="separate"/>
      </w:r>
      <w:r w:rsidRPr="00A90E43">
        <w:rPr>
          <w:noProof/>
          <w:color w:val="auto"/>
          <w:sz w:val="22"/>
          <w:szCs w:val="22"/>
          <w:vertAlign w:val="superscript"/>
          <w:lang w:val="en-GB"/>
        </w:rPr>
        <w:t>21</w:t>
      </w:r>
      <w:r>
        <w:rPr>
          <w:color w:val="auto"/>
          <w:sz w:val="22"/>
          <w:szCs w:val="22"/>
          <w:lang w:val="en-GB"/>
        </w:rPr>
        <w:fldChar w:fldCharType="end"/>
      </w:r>
      <w:r>
        <w:rPr>
          <w:color w:val="auto"/>
          <w:sz w:val="22"/>
          <w:szCs w:val="22"/>
          <w:lang w:val="en-GB"/>
        </w:rPr>
        <w:t xml:space="preserve"> and ice VI </w:t>
      </w:r>
      <w:r>
        <w:rPr>
          <w:color w:val="auto"/>
          <w:sz w:val="22"/>
          <w:szCs w:val="22"/>
          <w:lang w:val="en-GB"/>
        </w:rPr>
        <w:fldChar w:fldCharType="begin"/>
      </w:r>
      <w:r>
        <w:rPr>
          <w:color w:val="auto"/>
          <w:sz w:val="22"/>
          <w:szCs w:val="22"/>
          <w:lang w:val="en-GB"/>
        </w:rPr>
        <w:instrText xml:space="preserve"> ADDIN EN.CITE &lt;EndNote&gt;&lt;Cite&gt;&lt;Author&gt;Kamb&lt;/Author&gt;&lt;Year&gt;1965&lt;/Year&gt;&lt;RecNum&gt;32&lt;/RecNum&gt;&lt;IDText&gt;Structure of Ice VI&lt;/IDText&gt;&lt;DisplayText&gt;&lt;style face="superscript"&gt;22&lt;/style&gt;&lt;/DisplayText&gt;&lt;record&gt;&lt;rec-number&gt;32&lt;/rec-number&gt;&lt;foreign-keys&gt;&lt;key app="EN" db-id="x520vwz5rdff21exxvxpx2rorxv9w5zfeeae" timestamp="1636916660"&gt;32&lt;/key&gt;&lt;/foreign-keys&gt;&lt;ref-type name="Journal Article"&gt;17&lt;/ref-type&gt;&lt;contributors&gt;&lt;authors&gt;&lt;author&gt;Kamb, B.&lt;/author&gt;&lt;/authors&gt;&lt;/contributors&gt;&lt;titles&gt;&lt;title&gt;Structure of Ice VI&lt;/title&gt;&lt;secondary-title&gt;Science&lt;/secondary-title&gt;&lt;alt-title&gt;Science&lt;/alt-title&gt;&lt;short-title&gt;Structure of Ice VI&lt;/short-title&gt;&lt;/titles&gt;&lt;periodical&gt;&lt;full-title&gt;Science&lt;/full-title&gt;&lt;abbr-1&gt;Science&lt;/abbr-1&gt;&lt;/periodical&gt;&lt;alt-periodical&gt;&lt;full-title&gt;Science&lt;/full-title&gt;&lt;abbr-1&gt;Science&lt;/abbr-1&gt;&lt;/alt-periodical&gt;&lt;pages&gt;205-209&lt;/pages&gt;&lt;volume&gt;150&lt;/volume&gt;&lt;number&gt;3693&lt;/number&gt;&lt;keywords&gt;&lt;keyword&gt;Science &amp;amp; Technology - Other Topics&lt;/keyword&gt;&lt;/keywords&gt;&lt;dates&gt;&lt;year&gt;1965&lt;/year&gt;&lt;/dates&gt;&lt;isbn&gt;0036-8075&lt;/isbn&gt;&lt;accession-num&gt;WOS:A19656869200017&lt;/accession-num&gt;&lt;work-type&gt;Article&lt;/work-type&gt;&lt;urls&gt;&lt;/urls&gt;&lt;electronic-resource-num&gt;10.1126/science.150.3693.205&lt;/electronic-resource-num&gt;&lt;language&gt;English&lt;/language&gt;&lt;/record&gt;&lt;/Cite&gt;&lt;/EndNote&gt;</w:instrText>
      </w:r>
      <w:r>
        <w:rPr>
          <w:color w:val="auto"/>
          <w:sz w:val="22"/>
          <w:szCs w:val="22"/>
          <w:lang w:val="en-GB"/>
        </w:rPr>
        <w:fldChar w:fldCharType="separate"/>
      </w:r>
      <w:r w:rsidRPr="00A90E43">
        <w:rPr>
          <w:noProof/>
          <w:color w:val="auto"/>
          <w:sz w:val="22"/>
          <w:szCs w:val="22"/>
          <w:vertAlign w:val="superscript"/>
          <w:lang w:val="en-GB"/>
        </w:rPr>
        <w:t>22</w:t>
      </w:r>
      <w:r>
        <w:rPr>
          <w:color w:val="auto"/>
          <w:sz w:val="22"/>
          <w:szCs w:val="22"/>
          <w:lang w:val="en-GB"/>
        </w:rPr>
        <w:fldChar w:fldCharType="end"/>
      </w:r>
      <w:r>
        <w:rPr>
          <w:color w:val="auto"/>
          <w:sz w:val="22"/>
          <w:szCs w:val="22"/>
          <w:lang w:val="en-GB"/>
        </w:rPr>
        <w:t xml:space="preserve"> sample reflex positions are indicated as tick marks.</w:t>
      </w:r>
    </w:p>
    <w:p w:rsidR="00FF16FB" w:rsidRDefault="00FF16FB" w:rsidP="00FF16FB">
      <w:pPr>
        <w:rPr>
          <w:lang w:val="en-GB"/>
        </w:rPr>
      </w:pPr>
    </w:p>
    <w:p w:rsidR="00FF16FB" w:rsidRDefault="00FF16FB" w:rsidP="00FF16FB">
      <w:pPr>
        <w:rPr>
          <w:lang w:val="en-GB"/>
        </w:rPr>
      </w:pPr>
      <w:r>
        <w:rPr>
          <w:noProof/>
          <w:lang w:val="de-AT" w:eastAsia="de-AT"/>
        </w:rPr>
        <w:lastRenderedPageBreak/>
        <w:drawing>
          <wp:inline distT="0" distB="0" distL="0" distR="0">
            <wp:extent cx="5752465" cy="4067175"/>
            <wp:effectExtent l="0" t="0" r="635" b="9525"/>
            <wp:docPr id="1" name="Grafik 1" descr="XRD_XV_XIX_Clapeyron_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RD_XV_XIX_Clapeyron_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rsidR="00FF16FB" w:rsidRPr="00166C30" w:rsidRDefault="00FF16FB" w:rsidP="00FF16FB">
      <w:pPr>
        <w:pStyle w:val="Beschriftung"/>
        <w:jc w:val="both"/>
        <w:rPr>
          <w:i w:val="0"/>
          <w:iCs w:val="0"/>
          <w:color w:val="auto"/>
          <w:sz w:val="22"/>
          <w:szCs w:val="22"/>
          <w:lang w:val="en-GB"/>
        </w:rPr>
      </w:pPr>
      <w:r w:rsidRPr="00427A7A">
        <w:rPr>
          <w:b/>
          <w:i w:val="0"/>
          <w:color w:val="auto"/>
          <w:sz w:val="22"/>
          <w:szCs w:val="22"/>
          <w:lang w:val="en-GB"/>
        </w:rPr>
        <w:t>Figure S</w:t>
      </w:r>
      <w:r>
        <w:rPr>
          <w:b/>
          <w:i w:val="0"/>
          <w:color w:val="auto"/>
          <w:sz w:val="22"/>
          <w:szCs w:val="22"/>
          <w:lang w:val="en-GB"/>
        </w:rPr>
        <w:t>5</w:t>
      </w:r>
      <w:r w:rsidRPr="00427A7A">
        <w:rPr>
          <w:color w:val="auto"/>
          <w:sz w:val="22"/>
          <w:szCs w:val="22"/>
          <w:lang w:val="en-GB"/>
        </w:rPr>
        <w:t xml:space="preserve">: </w:t>
      </w:r>
      <w:r>
        <w:rPr>
          <w:color w:val="auto"/>
          <w:sz w:val="22"/>
          <w:szCs w:val="22"/>
          <w:lang w:val="en-GB"/>
        </w:rPr>
        <w:t xml:space="preserve">X-ray powder </w:t>
      </w:r>
      <w:proofErr w:type="spellStart"/>
      <w:r>
        <w:rPr>
          <w:color w:val="auto"/>
          <w:sz w:val="22"/>
          <w:szCs w:val="22"/>
          <w:lang w:val="en-GB"/>
        </w:rPr>
        <w:t>diffractograms</w:t>
      </w:r>
      <w:proofErr w:type="spellEnd"/>
      <w:r>
        <w:rPr>
          <w:color w:val="auto"/>
          <w:sz w:val="22"/>
          <w:szCs w:val="22"/>
          <w:lang w:val="en-GB"/>
        </w:rPr>
        <w:t xml:space="preserve"> of the sample batch used for obtaining the data in Fig. 4 of the main manuscript. The pattern was measured using a Bruker D8 powder diffractometer. Grey shaded areas mark the region of the Cu sample holder peaks. Ice </w:t>
      </w:r>
      <w:proofErr w:type="spellStart"/>
      <w:r>
        <w:rPr>
          <w:color w:val="auto"/>
          <w:sz w:val="22"/>
          <w:szCs w:val="22"/>
          <w:lang w:val="en-GB"/>
        </w:rPr>
        <w:t>I</w:t>
      </w:r>
      <w:r>
        <w:rPr>
          <w:color w:val="auto"/>
          <w:sz w:val="22"/>
          <w:szCs w:val="22"/>
          <w:vertAlign w:val="subscript"/>
          <w:lang w:val="en-GB"/>
        </w:rPr>
        <w:t>h</w:t>
      </w:r>
      <w:proofErr w:type="spellEnd"/>
      <w:r>
        <w:rPr>
          <w:color w:val="auto"/>
          <w:sz w:val="22"/>
          <w:szCs w:val="22"/>
          <w:lang w:val="en-GB"/>
        </w:rPr>
        <w:t xml:space="preserve"> </w: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 </w:instrText>
      </w:r>
      <w:r>
        <w:rPr>
          <w:color w:val="auto"/>
          <w:sz w:val="22"/>
          <w:szCs w:val="22"/>
          <w:lang w:val="en-GB"/>
        </w:rPr>
        <w:fldChar w:fldCharType="begin">
          <w:fldData xml:space="preserve">PEVuZE5vdGU+PENpdGU+PEF1dGhvcj5Gb3J0ZXM8L0F1dGhvcj48WWVhcj4yMDA0PC9ZZWFyPjxS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</w:fldData>
        </w:fldChar>
      </w:r>
      <w:r>
        <w:rPr>
          <w:color w:val="auto"/>
          <w:sz w:val="22"/>
          <w:szCs w:val="22"/>
          <w:lang w:val="en-GB"/>
        </w:rPr>
        <w:instrText xml:space="preserve"> ADDIN EN.CITE.DATA </w:instrText>
      </w:r>
      <w:r>
        <w:rPr>
          <w:color w:val="auto"/>
          <w:sz w:val="22"/>
          <w:szCs w:val="22"/>
          <w:lang w:val="en-GB"/>
        </w:rPr>
      </w:r>
      <w:r>
        <w:rPr>
          <w:color w:val="auto"/>
          <w:sz w:val="22"/>
          <w:szCs w:val="22"/>
          <w:lang w:val="en-GB"/>
        </w:rPr>
        <w:fldChar w:fldCharType="end"/>
      </w:r>
      <w:r>
        <w:rPr>
          <w:color w:val="auto"/>
          <w:sz w:val="22"/>
          <w:szCs w:val="22"/>
          <w:lang w:val="en-GB"/>
        </w:rPr>
      </w:r>
      <w:r>
        <w:rPr>
          <w:color w:val="auto"/>
          <w:sz w:val="22"/>
          <w:szCs w:val="22"/>
          <w:lang w:val="en-GB"/>
        </w:rPr>
        <w:fldChar w:fldCharType="separate"/>
      </w:r>
      <w:r w:rsidRPr="00A90E43">
        <w:rPr>
          <w:noProof/>
          <w:color w:val="auto"/>
          <w:sz w:val="22"/>
          <w:szCs w:val="22"/>
          <w:vertAlign w:val="superscript"/>
          <w:lang w:val="en-GB"/>
        </w:rPr>
        <w:t>21</w:t>
      </w:r>
      <w:r>
        <w:rPr>
          <w:color w:val="auto"/>
          <w:sz w:val="22"/>
          <w:szCs w:val="22"/>
          <w:lang w:val="en-GB"/>
        </w:rPr>
        <w:fldChar w:fldCharType="end"/>
      </w:r>
      <w:r>
        <w:rPr>
          <w:color w:val="auto"/>
          <w:sz w:val="22"/>
          <w:szCs w:val="22"/>
          <w:lang w:val="en-GB"/>
        </w:rPr>
        <w:t xml:space="preserve"> and ice VI </w:t>
      </w:r>
      <w:r>
        <w:rPr>
          <w:color w:val="auto"/>
          <w:sz w:val="22"/>
          <w:szCs w:val="22"/>
          <w:lang w:val="en-GB"/>
        </w:rPr>
        <w:fldChar w:fldCharType="begin"/>
      </w:r>
      <w:r>
        <w:rPr>
          <w:color w:val="auto"/>
          <w:sz w:val="22"/>
          <w:szCs w:val="22"/>
          <w:lang w:val="en-GB"/>
        </w:rPr>
        <w:instrText xml:space="preserve"> ADDIN EN.CITE &lt;EndNote&gt;&lt;Cite&gt;&lt;Author&gt;Kamb&lt;/Author&gt;&lt;Year&gt;1965&lt;/Year&gt;&lt;RecNum&gt;32&lt;/RecNum&gt;&lt;IDText&gt;Structure of Ice VI&lt;/IDText&gt;&lt;DisplayText&gt;&lt;style face="superscript"&gt;22&lt;/style&gt;&lt;/DisplayText&gt;&lt;record&gt;&lt;rec-number&gt;32&lt;/rec-number&gt;&lt;foreign-keys&gt;&lt;key app="EN" db-id="x520vwz5rdff21exxvxpx2rorxv9w5zfeeae" timestamp="1636916660"&gt;32&lt;/key&gt;&lt;/foreign-keys&gt;&lt;ref-type name="Journal Article"&gt;17&lt;/ref-type&gt;&lt;contributors&gt;&lt;authors&gt;&lt;author&gt;Kamb, B.&lt;/author&gt;&lt;/authors&gt;&lt;/contributors&gt;&lt;titles&gt;&lt;title&gt;Structure of Ice VI&lt;/title&gt;&lt;secondary-title&gt;Science&lt;/secondary-title&gt;&lt;alt-title&gt;Science&lt;/alt-title&gt;&lt;short-title&gt;Structure of Ice VI&lt;/short-title&gt;&lt;/titles&gt;&lt;periodical&gt;&lt;full-title&gt;Science&lt;/full-title&gt;&lt;abbr-1&gt;Science&lt;/abbr-1&gt;&lt;/periodical&gt;&lt;alt-periodical&gt;&lt;full-title&gt;Science&lt;/full-title&gt;&lt;abbr-1&gt;Science&lt;/abbr-1&gt;&lt;/alt-periodical&gt;&lt;pages&gt;205-209&lt;/pages&gt;&lt;volume&gt;150&lt;/volume&gt;&lt;number&gt;3693&lt;/number&gt;&lt;keywords&gt;&lt;keyword&gt;Science &amp;amp; Technology - Other Topics&lt;/keyword&gt;&lt;/keywords&gt;&lt;dates&gt;&lt;year&gt;1965&lt;/year&gt;&lt;/dates&gt;&lt;isbn&gt;0036-8075&lt;/isbn&gt;&lt;accession-num&gt;WOS:A19656869200017&lt;/accession-num&gt;&lt;work-type&gt;Article&lt;/work-type&gt;&lt;urls&gt;&lt;/urls&gt;&lt;electronic-resource-num&gt;10.1126/science.150.3693.205&lt;/electronic-resource-num&gt;&lt;language&gt;English&lt;/language&gt;&lt;/record&gt;&lt;/Cite&gt;&lt;/EndNote&gt;</w:instrText>
      </w:r>
      <w:r>
        <w:rPr>
          <w:color w:val="auto"/>
          <w:sz w:val="22"/>
          <w:szCs w:val="22"/>
          <w:lang w:val="en-GB"/>
        </w:rPr>
        <w:fldChar w:fldCharType="separate"/>
      </w:r>
      <w:r w:rsidRPr="00A90E43">
        <w:rPr>
          <w:noProof/>
          <w:color w:val="auto"/>
          <w:sz w:val="22"/>
          <w:szCs w:val="22"/>
          <w:vertAlign w:val="superscript"/>
          <w:lang w:val="en-GB"/>
        </w:rPr>
        <w:t>22</w:t>
      </w:r>
      <w:r>
        <w:rPr>
          <w:color w:val="auto"/>
          <w:sz w:val="22"/>
          <w:szCs w:val="22"/>
          <w:lang w:val="en-GB"/>
        </w:rPr>
        <w:fldChar w:fldCharType="end"/>
      </w:r>
      <w:r>
        <w:rPr>
          <w:color w:val="auto"/>
          <w:sz w:val="22"/>
          <w:szCs w:val="22"/>
          <w:lang w:val="en-GB"/>
        </w:rPr>
        <w:t xml:space="preserve"> sample reflex positions are indicated as tick marks.</w:t>
      </w:r>
    </w:p>
    <w:p w:rsidR="00FF16FB" w:rsidRPr="00FE412F" w:rsidRDefault="00FF16FB" w:rsidP="00FF16FB">
      <w:pPr>
        <w:rPr>
          <w:lang w:val="en-GB"/>
        </w:rPr>
      </w:pPr>
    </w:p>
    <w:p w:rsidR="00783170" w:rsidRPr="00FF16FB" w:rsidRDefault="00783170">
      <w:pPr>
        <w:rPr>
          <w:lang w:val="en-GB"/>
        </w:rPr>
      </w:pPr>
    </w:p>
    <w:sectPr w:rsidR="00783170" w:rsidRPr="00FF16FB" w:rsidSect="00C11269">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97A" w:rsidRDefault="0033597A">
      <w:pPr>
        <w:spacing w:after="0" w:line="240" w:lineRule="auto"/>
      </w:pPr>
      <w:r>
        <w:separator/>
      </w:r>
    </w:p>
  </w:endnote>
  <w:endnote w:type="continuationSeparator" w:id="0">
    <w:p w:rsidR="0033597A" w:rsidRDefault="00335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9702571"/>
      <w:docPartObj>
        <w:docPartGallery w:val="Page Numbers (Bottom of Page)"/>
        <w:docPartUnique/>
      </w:docPartObj>
    </w:sdtPr>
    <w:sdtEndPr/>
    <w:sdtContent>
      <w:p w:rsidR="00D45B31" w:rsidRDefault="00FF16FB">
        <w:pPr>
          <w:pStyle w:val="Fuzeile"/>
          <w:jc w:val="center"/>
        </w:pPr>
        <w:r>
          <w:fldChar w:fldCharType="begin"/>
        </w:r>
        <w:r>
          <w:instrText>PAGE   \* MERGEFORMAT</w:instrText>
        </w:r>
        <w:r>
          <w:fldChar w:fldCharType="separate"/>
        </w:r>
        <w:r w:rsidR="002D2556">
          <w:rPr>
            <w:noProof/>
          </w:rPr>
          <w:t>5</w:t>
        </w:r>
        <w:r>
          <w:fldChar w:fldCharType="end"/>
        </w:r>
      </w:p>
    </w:sdtContent>
  </w:sdt>
  <w:p w:rsidR="00D45B31" w:rsidRDefault="0033597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97A" w:rsidRDefault="0033597A">
      <w:pPr>
        <w:spacing w:after="0" w:line="240" w:lineRule="auto"/>
      </w:pPr>
      <w:r>
        <w:separator/>
      </w:r>
    </w:p>
  </w:footnote>
  <w:footnote w:type="continuationSeparator" w:id="0">
    <w:p w:rsidR="0033597A" w:rsidRDefault="003359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5392059"/>
      <w:docPartObj>
        <w:docPartGallery w:val="Page Numbers (Top of Page)"/>
        <w:docPartUnique/>
      </w:docPartObj>
    </w:sdtPr>
    <w:sdtEndPr/>
    <w:sdtContent>
      <w:p w:rsidR="00D45B31" w:rsidRDefault="00FF16FB">
        <w:pPr>
          <w:pStyle w:val="Kopfzeile"/>
          <w:jc w:val="center"/>
        </w:pPr>
        <w:r>
          <w:fldChar w:fldCharType="begin"/>
        </w:r>
        <w:r>
          <w:instrText>PAGE   \* MERGEFORMAT</w:instrText>
        </w:r>
        <w:r>
          <w:fldChar w:fldCharType="separate"/>
        </w:r>
        <w:r w:rsidR="002D2556">
          <w:rPr>
            <w:noProof/>
          </w:rPr>
          <w:t>5</w:t>
        </w:r>
        <w:r>
          <w:fldChar w:fldCharType="end"/>
        </w:r>
      </w:p>
    </w:sdtContent>
  </w:sdt>
  <w:p w:rsidR="00D45B31" w:rsidRDefault="0033597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6FB"/>
    <w:rsid w:val="002D2556"/>
    <w:rsid w:val="0033597A"/>
    <w:rsid w:val="00783170"/>
    <w:rsid w:val="00FF16F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16FB"/>
    <w:pPr>
      <w:spacing w:after="160" w:line="259" w:lineRule="auto"/>
    </w:pPr>
    <w:rPr>
      <w:lang w:val="de-DE"/>
    </w:rPr>
  </w:style>
  <w:style w:type="paragraph" w:styleId="berschrift1">
    <w:name w:val="heading 1"/>
    <w:basedOn w:val="Standard"/>
    <w:next w:val="Standard"/>
    <w:link w:val="berschrift1Zchn"/>
    <w:uiPriority w:val="9"/>
    <w:qFormat/>
    <w:rsid w:val="00FF16F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F16FB"/>
    <w:rPr>
      <w:rFonts w:asciiTheme="majorHAnsi" w:eastAsiaTheme="majorEastAsia" w:hAnsiTheme="majorHAnsi" w:cstheme="majorBidi"/>
      <w:color w:val="365F91" w:themeColor="accent1" w:themeShade="BF"/>
      <w:sz w:val="32"/>
      <w:szCs w:val="32"/>
      <w:lang w:val="de-DE"/>
    </w:rPr>
  </w:style>
  <w:style w:type="paragraph" w:styleId="Beschriftung">
    <w:name w:val="caption"/>
    <w:basedOn w:val="Standard"/>
    <w:next w:val="Standard"/>
    <w:uiPriority w:val="35"/>
    <w:unhideWhenUsed/>
    <w:qFormat/>
    <w:rsid w:val="00FF16FB"/>
    <w:pPr>
      <w:spacing w:after="200" w:line="240" w:lineRule="auto"/>
    </w:pPr>
    <w:rPr>
      <w:i/>
      <w:iCs/>
      <w:color w:val="1F497D" w:themeColor="text2"/>
      <w:sz w:val="18"/>
      <w:szCs w:val="18"/>
    </w:rPr>
  </w:style>
  <w:style w:type="paragraph" w:styleId="Kopfzeile">
    <w:name w:val="header"/>
    <w:basedOn w:val="Standard"/>
    <w:link w:val="KopfzeileZchn"/>
    <w:uiPriority w:val="99"/>
    <w:unhideWhenUsed/>
    <w:rsid w:val="00FF16F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F16FB"/>
    <w:rPr>
      <w:lang w:val="de-DE"/>
    </w:rPr>
  </w:style>
  <w:style w:type="paragraph" w:styleId="Fuzeile">
    <w:name w:val="footer"/>
    <w:basedOn w:val="Standard"/>
    <w:link w:val="FuzeileZchn"/>
    <w:uiPriority w:val="99"/>
    <w:unhideWhenUsed/>
    <w:rsid w:val="00FF16F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F16FB"/>
    <w:rPr>
      <w:lang w:val="de-DE"/>
    </w:rPr>
  </w:style>
  <w:style w:type="paragraph" w:styleId="Sprechblasentext">
    <w:name w:val="Balloon Text"/>
    <w:basedOn w:val="Standard"/>
    <w:link w:val="SprechblasentextZchn"/>
    <w:uiPriority w:val="99"/>
    <w:semiHidden/>
    <w:unhideWhenUsed/>
    <w:rsid w:val="00FF16F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F16FB"/>
    <w:rPr>
      <w:rFonts w:ascii="Tahoma" w:hAnsi="Tahoma" w:cs="Tahoma"/>
      <w:sz w:val="16"/>
      <w:szCs w:val="16"/>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16FB"/>
    <w:pPr>
      <w:spacing w:after="160" w:line="259" w:lineRule="auto"/>
    </w:pPr>
    <w:rPr>
      <w:lang w:val="de-DE"/>
    </w:rPr>
  </w:style>
  <w:style w:type="paragraph" w:styleId="berschrift1">
    <w:name w:val="heading 1"/>
    <w:basedOn w:val="Standard"/>
    <w:next w:val="Standard"/>
    <w:link w:val="berschrift1Zchn"/>
    <w:uiPriority w:val="9"/>
    <w:qFormat/>
    <w:rsid w:val="00FF16F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F16FB"/>
    <w:rPr>
      <w:rFonts w:asciiTheme="majorHAnsi" w:eastAsiaTheme="majorEastAsia" w:hAnsiTheme="majorHAnsi" w:cstheme="majorBidi"/>
      <w:color w:val="365F91" w:themeColor="accent1" w:themeShade="BF"/>
      <w:sz w:val="32"/>
      <w:szCs w:val="32"/>
      <w:lang w:val="de-DE"/>
    </w:rPr>
  </w:style>
  <w:style w:type="paragraph" w:styleId="Beschriftung">
    <w:name w:val="caption"/>
    <w:basedOn w:val="Standard"/>
    <w:next w:val="Standard"/>
    <w:uiPriority w:val="35"/>
    <w:unhideWhenUsed/>
    <w:qFormat/>
    <w:rsid w:val="00FF16FB"/>
    <w:pPr>
      <w:spacing w:after="200" w:line="240" w:lineRule="auto"/>
    </w:pPr>
    <w:rPr>
      <w:i/>
      <w:iCs/>
      <w:color w:val="1F497D" w:themeColor="text2"/>
      <w:sz w:val="18"/>
      <w:szCs w:val="18"/>
    </w:rPr>
  </w:style>
  <w:style w:type="paragraph" w:styleId="Kopfzeile">
    <w:name w:val="header"/>
    <w:basedOn w:val="Standard"/>
    <w:link w:val="KopfzeileZchn"/>
    <w:uiPriority w:val="99"/>
    <w:unhideWhenUsed/>
    <w:rsid w:val="00FF16F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F16FB"/>
    <w:rPr>
      <w:lang w:val="de-DE"/>
    </w:rPr>
  </w:style>
  <w:style w:type="paragraph" w:styleId="Fuzeile">
    <w:name w:val="footer"/>
    <w:basedOn w:val="Standard"/>
    <w:link w:val="FuzeileZchn"/>
    <w:uiPriority w:val="99"/>
    <w:unhideWhenUsed/>
    <w:rsid w:val="00FF16F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F16FB"/>
    <w:rPr>
      <w:lang w:val="de-DE"/>
    </w:rPr>
  </w:style>
  <w:style w:type="paragraph" w:styleId="Sprechblasentext">
    <w:name w:val="Balloon Text"/>
    <w:basedOn w:val="Standard"/>
    <w:link w:val="SprechblasentextZchn"/>
    <w:uiPriority w:val="99"/>
    <w:semiHidden/>
    <w:unhideWhenUsed/>
    <w:rsid w:val="00FF16F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F16FB"/>
    <w:rPr>
      <w:rFonts w:ascii="Tahoma" w:hAnsi="Tahoma" w:cs="Tahoma"/>
      <w:sz w:val="16"/>
      <w:szCs w:val="1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1328</Words>
  <Characters>8371</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9680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dc:creator>
  <cp:lastModifiedBy>Thomas</cp:lastModifiedBy>
  <cp:revision>2</cp:revision>
  <dcterms:created xsi:type="dcterms:W3CDTF">2023-10-22T13:38:00Z</dcterms:created>
  <dcterms:modified xsi:type="dcterms:W3CDTF">2024-03-22T11:45:00Z</dcterms:modified>
</cp:coreProperties>
</file>