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294D0" w14:textId="77777777" w:rsidR="00AA57C3" w:rsidRDefault="00AA57C3" w:rsidP="00F06576"/>
    <w:p w14:paraId="178422CE" w14:textId="77777777" w:rsidR="00AA57C3" w:rsidRDefault="00AA57C3" w:rsidP="00AE67C5">
      <w:pPr>
        <w:jc w:val="center"/>
      </w:pPr>
    </w:p>
    <w:p w14:paraId="4A73A66D" w14:textId="6973B8C4" w:rsidR="009936E9" w:rsidRDefault="00AE67C5" w:rsidP="00AE67C5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3FE38516" wp14:editId="6EA7976B">
            <wp:extent cx="2141220" cy="1264920"/>
            <wp:effectExtent l="0" t="0" r="0" b="0"/>
            <wp:docPr id="104102110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06AB4" w14:textId="77777777" w:rsidR="00AA57C3" w:rsidRDefault="00AA57C3" w:rsidP="00AE67C5">
      <w:pPr>
        <w:spacing w:line="48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79AECC3A" w14:textId="42F380C9" w:rsidR="00AE67C5" w:rsidRPr="00C5472B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Fig</w:t>
      </w:r>
      <w:r w:rsidR="00131CBE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.</w:t>
      </w: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S1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: </w:t>
      </w: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MDA-MB-231R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presents doxorubicin-acquired resistance.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The IC</w:t>
      </w:r>
      <w:r w:rsidRPr="00C5472B">
        <w:rPr>
          <w:rFonts w:asciiTheme="minorHAnsi" w:hAnsiTheme="minorHAnsi" w:cstheme="minorHAnsi"/>
          <w:sz w:val="18"/>
          <w:szCs w:val="18"/>
          <w:vertAlign w:val="subscript"/>
          <w:lang w:val="en-US"/>
        </w:rPr>
        <w:t>50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values were determined by WST-1 after treatment with different concentrations of doxorubicin for 48 hours in MDA-MB-231 (0.32 ± 0.07 µM) and MDA-MB-231R (0.65 ± 0.14 µM) cell lines (mean ±. SD) **** </w:t>
      </w:r>
      <w:r w:rsidRPr="00C5472B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&lt; 0.0001.</w:t>
      </w:r>
    </w:p>
    <w:p w14:paraId="7170C9A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F338D5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D62BBA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388567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01397D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0B7AC7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9AA83C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889589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213AD5D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68E76589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7D5C092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E428905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918A845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16B2D1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78F01743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3B12077C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7FB79C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B5E0E1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87D77BB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D5558B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0BB8EC0" w14:textId="338D7F33" w:rsidR="00AE67C5" w:rsidRDefault="00407EAE" w:rsidP="00AE67C5">
      <w:pPr>
        <w:spacing w:line="480" w:lineRule="auto"/>
        <w:jc w:val="center"/>
        <w:rPr>
          <w:rFonts w:asciiTheme="minorHAnsi" w:hAnsiTheme="minorHAnsi" w:cstheme="minorHAnsi"/>
          <w:lang w:val="en-US"/>
        </w:rPr>
      </w:pPr>
      <w:r>
        <w:rPr>
          <w:noProof/>
        </w:rPr>
        <w:lastRenderedPageBreak/>
        <w:drawing>
          <wp:inline distT="0" distB="0" distL="0" distR="0" wp14:anchorId="1D220981" wp14:editId="20BDB003">
            <wp:extent cx="5400040" cy="5991225"/>
            <wp:effectExtent l="0" t="0" r="0" b="9525"/>
            <wp:docPr id="21902315" name="Imagen 1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02315" name="Imagen 1" descr="Diagrama, Dibujo de ingenierí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2B025" w14:textId="4C9056FD" w:rsidR="00AE67C5" w:rsidRPr="00C5472B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Fig</w:t>
      </w:r>
      <w:r w:rsidR="00131CBE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.</w:t>
      </w:r>
      <w:r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S2: Confirmation of cell transfection in TNBC cell lines.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A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-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B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)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HDAC1 expression was analyzed by RT-qPCR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A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(mean ±. SD) and Western blot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B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)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in MDA-MB-231 and MDA-MB-436 cell lines after siHDAC1 transfection.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C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-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D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SIRT1 expression was analyzed by RT-qPCR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C63817">
        <w:rPr>
          <w:rFonts w:asciiTheme="minorHAnsi" w:hAnsiTheme="minorHAnsi" w:cstheme="minorHAnsi"/>
          <w:b/>
          <w:bCs/>
          <w:sz w:val="18"/>
          <w:szCs w:val="18"/>
          <w:lang w:val="en-US"/>
        </w:rPr>
        <w:t>c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(mean ±. SD) and Western blot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D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in MDA-MB-231 and MDA-MB-436 cell lines after siSIRT1 transfection.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E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M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iRNAs-449 expression w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as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analyzed by RT-qPCR in MDA-MB-231, MDA-MB-436 and MDA-MB-231R cell lines after miRNAs-449 mimic transfection (mean ±. SD).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F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) miRNA-449a,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G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) miRNA-449b-5p and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H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miRNA-449c-5p expression were analyzed by RT-qPCR in MDA-MB-231, MDA-MB-436 and MDA-MB-231R cell lines after miRNA-449a, miRNA-449b-4p and miRNA-449c-5p mimics transfection separately, respectively (mean ±. SD).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57270D">
        <w:rPr>
          <w:rFonts w:asciiTheme="minorHAnsi" w:hAnsiTheme="minorHAnsi" w:cstheme="minorHAnsi"/>
          <w:b/>
          <w:bCs/>
          <w:sz w:val="18"/>
          <w:szCs w:val="18"/>
          <w:lang w:val="en-US"/>
        </w:rPr>
        <w:t>I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-</w:t>
      </w:r>
      <w:r w:rsidR="0057270D">
        <w:rPr>
          <w:rFonts w:asciiTheme="minorHAnsi" w:hAnsiTheme="minorHAnsi" w:cstheme="minorHAnsi"/>
          <w:b/>
          <w:bCs/>
          <w:sz w:val="18"/>
          <w:szCs w:val="18"/>
          <w:lang w:val="en-US"/>
        </w:rPr>
        <w:t>L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ACSL4 expression was analyzed by RT-qPCR 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I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, 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J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)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(mean ±. SD) and Western blot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(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K</w:t>
      </w:r>
      <w:r w:rsidR="005C7D38" w:rsidRP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, </w:t>
      </w:r>
      <w:r w:rsidR="00407EAE">
        <w:rPr>
          <w:rFonts w:asciiTheme="minorHAnsi" w:hAnsiTheme="minorHAnsi" w:cstheme="minorHAnsi"/>
          <w:b/>
          <w:bCs/>
          <w:sz w:val="18"/>
          <w:szCs w:val="18"/>
          <w:lang w:val="en-US"/>
        </w:rPr>
        <w:t>L</w:t>
      </w:r>
      <w:r w:rsidR="005C7D38" w:rsidRPr="00C5472B">
        <w:rPr>
          <w:rFonts w:asciiTheme="minorHAnsi" w:hAnsiTheme="minorHAnsi" w:cstheme="minorHAnsi"/>
          <w:sz w:val="18"/>
          <w:szCs w:val="18"/>
          <w:lang w:val="en-US"/>
        </w:rPr>
        <w:t>)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 xml:space="preserve"> in MDA-MB-231, MDA-MB-436, and MDA-MB-231R cell lines after two siRNAs targeting </w:t>
      </w:r>
      <w:r w:rsidRPr="00C5472B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ACSL4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(siACSL4#1 and siACSL4#2). **</w:t>
      </w:r>
      <w:r w:rsidRPr="00C5472B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&lt; 0.01, ***</w:t>
      </w:r>
      <w:r w:rsidRPr="00C5472B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&lt; 0.001, ****</w:t>
      </w:r>
      <w:r w:rsidRPr="00C5472B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C5472B">
        <w:rPr>
          <w:rFonts w:asciiTheme="minorHAnsi" w:hAnsiTheme="minorHAnsi" w:cstheme="minorHAnsi"/>
          <w:sz w:val="18"/>
          <w:szCs w:val="18"/>
          <w:lang w:val="en-US"/>
        </w:rPr>
        <w:t>&lt; 0.0001.</w:t>
      </w:r>
    </w:p>
    <w:p w14:paraId="59F83FF2" w14:textId="0B472E1F" w:rsidR="00AE67C5" w:rsidRPr="00EA6A3C" w:rsidRDefault="00EA6A3C" w:rsidP="00EA6A3C">
      <w:pPr>
        <w:spacing w:line="480" w:lineRule="auto"/>
        <w:jc w:val="center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22FB9F80" wp14:editId="375A994A">
            <wp:extent cx="2392680" cy="2392680"/>
            <wp:effectExtent l="0" t="0" r="7620" b="7620"/>
            <wp:docPr id="142911187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C13F0" w14:textId="3C3428FE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>Fig</w:t>
      </w:r>
      <w:r w:rsid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.</w:t>
      </w: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S3:</w:t>
      </w:r>
      <w:r w:rsidR="00531523" w:rsidRPr="00531523">
        <w:rPr>
          <w:lang w:val="en-US"/>
        </w:rPr>
        <w:t xml:space="preserve"> </w:t>
      </w:r>
      <w:bookmarkStart w:id="0" w:name="_Hlk147046662"/>
      <w:r w:rsidR="00531523" w:rsidRPr="00531523">
        <w:rPr>
          <w:rFonts w:asciiTheme="minorHAnsi" w:hAnsiTheme="minorHAnsi" w:cstheme="minorHAnsi"/>
          <w:b/>
          <w:bCs/>
          <w:sz w:val="18"/>
          <w:szCs w:val="18"/>
          <w:lang w:val="en-US"/>
        </w:rPr>
        <w:t>The signature of miRNAs-449 as a diagnostic biomarker</w:t>
      </w:r>
      <w:bookmarkEnd w:id="0"/>
      <w:r w:rsidR="00652267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. </w:t>
      </w:r>
      <w:r w:rsidRPr="00AE67C5"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  <w:t>ROC curve analyses were performed for miRNAs-449 signature in TNBC tissue samples (</w:t>
      </w:r>
      <w:r w:rsidRPr="00AE67C5">
        <w:rPr>
          <w:rFonts w:asciiTheme="minorHAnsi" w:hAnsiTheme="minorHAnsi" w:cstheme="minorHAnsi"/>
          <w:i/>
          <w:iCs/>
          <w:color w:val="000000" w:themeColor="text1"/>
          <w:sz w:val="18"/>
          <w:szCs w:val="18"/>
          <w:lang w:val="en-US"/>
        </w:rPr>
        <w:t>n</w:t>
      </w:r>
      <w:r w:rsidRPr="00AE67C5"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  <w:t xml:space="preserve"> = 55) and healthy tissue samples (</w:t>
      </w:r>
      <w:r w:rsidRPr="00AE67C5">
        <w:rPr>
          <w:rFonts w:asciiTheme="minorHAnsi" w:hAnsiTheme="minorHAnsi" w:cstheme="minorHAnsi"/>
          <w:i/>
          <w:iCs/>
          <w:color w:val="000000" w:themeColor="text1"/>
          <w:sz w:val="18"/>
          <w:szCs w:val="18"/>
          <w:lang w:val="en-US"/>
        </w:rPr>
        <w:t>n</w:t>
      </w:r>
      <w:r w:rsidRPr="00AE67C5"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  <w:t xml:space="preserve"> = 23).</w:t>
      </w:r>
    </w:p>
    <w:p w14:paraId="34651D07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69DFADE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3C66F05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6E5E4B4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0A1BCFC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08AE2B4A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7892851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485BA4ED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7C818267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0637F192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1445905D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1FFDAAD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53F0E9D3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31F23D8A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7DB41F85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25F74172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2DA87FA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0CCB9BA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626D816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18"/>
          <w:szCs w:val="18"/>
          <w:lang w:val="en-US"/>
        </w:rPr>
      </w:pPr>
    </w:p>
    <w:p w14:paraId="37A72C8E" w14:textId="0A8220FC" w:rsidR="00AE67C5" w:rsidRDefault="00AE67C5" w:rsidP="00AE67C5">
      <w:pPr>
        <w:spacing w:line="480" w:lineRule="auto"/>
        <w:jc w:val="center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0355E0DA" wp14:editId="2CD535EA">
            <wp:extent cx="2842260" cy="3017520"/>
            <wp:effectExtent l="0" t="0" r="0" b="0"/>
            <wp:docPr id="104099069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D22B0" w14:textId="2817CECC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>Fig</w:t>
      </w:r>
      <w:r w:rsid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.</w:t>
      </w: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S4: </w:t>
      </w:r>
      <w:bookmarkStart w:id="1" w:name="_Hlk147046680"/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>MiRNAs-449 modulate fatty acid metabolism</w:t>
      </w:r>
      <w:bookmarkEnd w:id="1"/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. </w:t>
      </w:r>
      <w:r w:rsidRPr="00AE67C5">
        <w:rPr>
          <w:rFonts w:asciiTheme="minorHAnsi" w:hAnsiTheme="minorHAnsi" w:cstheme="minorHAnsi"/>
          <w:sz w:val="18"/>
          <w:szCs w:val="18"/>
          <w:lang w:val="en-US"/>
        </w:rPr>
        <w:t xml:space="preserve">MiRpath software analysis of miRNAs-449 targeted pathways. The color indicates a logarithmic transformation of Fisher’s Exact test-adjusted p-values (red for lower p-values). </w:t>
      </w:r>
    </w:p>
    <w:p w14:paraId="3FB2012D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0350E5F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3AA4706A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3BDF314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21C64EB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35C364B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7602C9C2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6235280C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5103ED0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5AAC7B7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4D992AAC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0ADD7F1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7B15AA2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2F60C721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33E3323B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713D4197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6157BEA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56ACE8C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sz w:val="18"/>
          <w:szCs w:val="18"/>
          <w:lang w:val="en-US"/>
        </w:rPr>
      </w:pPr>
    </w:p>
    <w:p w14:paraId="1553BC87" w14:textId="756C9441" w:rsidR="00AE67C5" w:rsidRDefault="00AE67C5" w:rsidP="00AE67C5">
      <w:pPr>
        <w:spacing w:line="480" w:lineRule="auto"/>
        <w:jc w:val="center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571FAE40" wp14:editId="62E7E5ED">
            <wp:extent cx="2567940" cy="1935480"/>
            <wp:effectExtent l="0" t="0" r="3810" b="7620"/>
            <wp:docPr id="85993799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AA8B8" w14:textId="506EE07B" w:rsidR="00AE67C5" w:rsidRPr="00652267" w:rsidRDefault="00AE67C5" w:rsidP="00AE67C5">
      <w:pPr>
        <w:spacing w:line="48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>Fig</w:t>
      </w:r>
      <w:r w:rsidR="00C5472B">
        <w:rPr>
          <w:rFonts w:asciiTheme="minorHAnsi" w:hAnsiTheme="minorHAnsi" w:cstheme="minorHAnsi"/>
          <w:b/>
          <w:bCs/>
          <w:sz w:val="18"/>
          <w:szCs w:val="18"/>
          <w:lang w:val="en-US"/>
        </w:rPr>
        <w:t>.</w:t>
      </w: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S5: MiRNAs-449 are upregulated after doxorubicin treatment in doxorubicin-sensitive but not in doxorubicin-resistant cells. </w:t>
      </w:r>
      <w:r w:rsidRPr="00AE67C5">
        <w:rPr>
          <w:rFonts w:asciiTheme="minorHAnsi" w:hAnsiTheme="minorHAnsi" w:cstheme="minorHAnsi"/>
          <w:sz w:val="18"/>
          <w:szCs w:val="18"/>
          <w:lang w:val="en-US"/>
        </w:rPr>
        <w:t>MiRNA-449 family (miRNA-449a, miRNA-449b-5p, and miRNA-449c-5p) expression was analyzed by RT-qPCR in MDA-MB-231, MDA-MB-436, and MDA-MB-231R cell lines after doxorubicin treatment (1 µM, 48 hours) (mean ±. SD)</w:t>
      </w:r>
      <w:r w:rsidRPr="00652267">
        <w:rPr>
          <w:rFonts w:asciiTheme="minorHAnsi" w:hAnsiTheme="minorHAnsi" w:cstheme="minorHAnsi"/>
          <w:sz w:val="18"/>
          <w:szCs w:val="18"/>
          <w:lang w:val="en-US"/>
        </w:rPr>
        <w:t xml:space="preserve">. </w:t>
      </w:r>
      <w:r w:rsidRPr="00AE67C5">
        <w:rPr>
          <w:rFonts w:asciiTheme="minorHAnsi" w:hAnsiTheme="minorHAnsi" w:cstheme="minorHAnsi"/>
          <w:sz w:val="18"/>
          <w:szCs w:val="18"/>
          <w:lang w:val="en-US"/>
        </w:rPr>
        <w:t>**</w:t>
      </w:r>
      <w:r w:rsidRPr="00AE67C5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AE67C5">
        <w:rPr>
          <w:rFonts w:asciiTheme="minorHAnsi" w:hAnsiTheme="minorHAnsi" w:cstheme="minorHAnsi"/>
          <w:sz w:val="18"/>
          <w:szCs w:val="18"/>
          <w:lang w:val="en-US"/>
        </w:rPr>
        <w:t>&lt; 0.01, ****</w:t>
      </w:r>
      <w:r w:rsidRPr="00AE67C5">
        <w:rPr>
          <w:rFonts w:asciiTheme="minorHAnsi" w:hAnsiTheme="minorHAnsi" w:cstheme="minorHAnsi"/>
          <w:i/>
          <w:iCs/>
          <w:sz w:val="18"/>
          <w:szCs w:val="18"/>
          <w:lang w:val="en-US"/>
        </w:rPr>
        <w:t xml:space="preserve">p </w:t>
      </w:r>
      <w:r w:rsidRPr="00AE67C5">
        <w:rPr>
          <w:rFonts w:asciiTheme="minorHAnsi" w:hAnsiTheme="minorHAnsi" w:cstheme="minorHAnsi"/>
          <w:sz w:val="18"/>
          <w:szCs w:val="18"/>
          <w:lang w:val="en-US"/>
        </w:rPr>
        <w:t>&lt; 0.0001.</w:t>
      </w:r>
    </w:p>
    <w:p w14:paraId="182F55A0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69F23BB3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6AE0EBA3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536DF172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60F4C3B1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219913B1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5F89BC43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4F3B85BC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7461AD82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5995A61F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37C8B3CC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6E7E2983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478A2ABC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13BEA85A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7547D56D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53C8D9E1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5EE511A1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482D3816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2AC8CCE8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4695D08F" w14:textId="77777777" w:rsid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71C17BCD" w14:textId="77777777" w:rsidR="00AE67C5" w:rsidRP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 w:rsidRPr="00AE67C5">
        <w:rPr>
          <w:rFonts w:asciiTheme="minorHAnsi" w:hAnsiTheme="minorHAnsi" w:cstheme="minorHAnsi"/>
          <w:b/>
          <w:bCs/>
          <w:sz w:val="18"/>
          <w:szCs w:val="18"/>
          <w:lang w:val="en-US"/>
        </w:rPr>
        <w:lastRenderedPageBreak/>
        <w:t xml:space="preserve">Table S1: Clinicopathological characteristics of TNBC patients and controls for miRNAs-449 analyses expression. </w:t>
      </w:r>
    </w:p>
    <w:tbl>
      <w:tblPr>
        <w:tblpPr w:leftFromText="141" w:rightFromText="141" w:vertAnchor="text" w:horzAnchor="margin" w:tblpXSpec="center" w:tblpY="101"/>
        <w:tblW w:w="5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1320"/>
        <w:gridCol w:w="1200"/>
      </w:tblGrid>
      <w:tr w:rsidR="00AE67C5" w:rsidRPr="00AE67C5" w14:paraId="43FB89E6" w14:textId="77777777" w:rsidTr="00AE67C5">
        <w:trPr>
          <w:trHeight w:val="445"/>
        </w:trPr>
        <w:tc>
          <w:tcPr>
            <w:tcW w:w="326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5C5771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Characteristics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375F6CE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TNBC patients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F8A340D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Control</w:t>
            </w:r>
          </w:p>
        </w:tc>
      </w:tr>
      <w:tr w:rsidR="00AE67C5" w:rsidRPr="00AE67C5" w14:paraId="62A749DB" w14:textId="77777777" w:rsidTr="00AE67C5">
        <w:trPr>
          <w:trHeight w:val="225"/>
        </w:trPr>
        <w:tc>
          <w:tcPr>
            <w:tcW w:w="3260" w:type="dxa"/>
            <w:tcBorders>
              <w:top w:val="single" w:sz="8" w:space="0" w:color="7F7F7F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3E618B8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Number</w:t>
            </w:r>
          </w:p>
        </w:tc>
        <w:tc>
          <w:tcPr>
            <w:tcW w:w="1320" w:type="dxa"/>
            <w:tcBorders>
              <w:top w:val="single" w:sz="8" w:space="0" w:color="7F7F7F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D4F0E5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55</w:t>
            </w:r>
          </w:p>
        </w:tc>
        <w:tc>
          <w:tcPr>
            <w:tcW w:w="1200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CE685C8" w14:textId="3AEC1BC0" w:rsidR="00AE67C5" w:rsidRPr="00984B86" w:rsidRDefault="00984B86" w:rsidP="00AE67C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84B86"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</w:tr>
      <w:tr w:rsidR="00AE67C5" w:rsidRPr="00AE67C5" w14:paraId="466B6F83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6C94EA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Grade group,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3DBD67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3BFF6C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3C1D84B5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2A1BD0C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1DE41A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688E09C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6EB55844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378EAE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0D8368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11(20%)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16D27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083FAB8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E08268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9BA222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41(74.55%)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D9666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2A5A4334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DA4708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87CAE2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3(5.45%)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1C4DD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0936527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3D0F176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Clinical stage,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1CC385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29996AD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302C4E7C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406CDE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41566D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13(23.64%)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1416223E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02254ED7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ECBBA19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8AF1CC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33(60%)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F29D9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298D7445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C4E3BE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05C4CA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8(14.54%)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4B340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5C79B2B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2B242A0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BB2B98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391B6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2274C292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3CA91F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D4D948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1(1.82%)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6FD6B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78C11522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4592690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Treatment,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B29661D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E3F2D7F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1C0D9B5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254BBCE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Neoadjuvant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7B58A7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37(67.27%)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7A8D5BF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1F5D8C1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10D7AF9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Adjuvant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D3393E7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DB88C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60DC5C52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2D4B8F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Neoadjuvant and Adjuvant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5C85DF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18(32.73%)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2AE5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030BFA73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0CE9A6C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RCB,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106D28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DC7BF8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36C35CE1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D93B96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73BD9DE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22(40%)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3E21EE6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52666617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FCEE27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ED25741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5(9.1%)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A2DA9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10012063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D6754F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032CAE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16(29.1%)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E53C8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638F594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6442BD7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052A19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6(10.9%)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DC01A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69C7104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D6186C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17BAB9F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6(10.9%)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3E93A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7CB6255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4C8C5E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Ki67,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55CA1F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DBDFD9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3971F7F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2C3E10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&lt;30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F9BF88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4(7.27%)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7D9ADF3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5EF8200A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443183F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30-59.9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D060E56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15(27.27%)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0F732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75BFEBE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FF2089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≥60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3410E8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33(60%)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64FCA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7AEAD7B0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ECA9A0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D839134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3(5.46%)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63422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4DF88ADD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E6164E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Regional lymph node metastasis,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9682C50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C78B65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23E945A8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2F416E7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91F74DB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19(34.54%)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46D2E6B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1DA5D514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472215B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01A73B70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35(63.64%)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FEF23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1519C3DD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7DEC2A8E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8297A50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1(1.82%)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646E0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4A240170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187BA983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Distant metastasis, n (%)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B22D138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1C127E2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 </w:t>
            </w:r>
          </w:p>
        </w:tc>
      </w:tr>
      <w:tr w:rsidR="00AE67C5" w:rsidRPr="00AE67C5" w14:paraId="1045F3A3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257F496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34F0298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vAlign w:val="center"/>
            <w:hideMark/>
          </w:tcPr>
          <w:p w14:paraId="692374D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n.a</w:t>
            </w:r>
          </w:p>
        </w:tc>
      </w:tr>
      <w:tr w:rsidR="00AE67C5" w:rsidRPr="00AE67C5" w14:paraId="26922DB5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66A0690A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32EA80A5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54(98.18%)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615E0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E67C5" w:rsidRPr="00AE67C5" w14:paraId="3DB2768B" w14:textId="77777777" w:rsidTr="00AE67C5">
        <w:trPr>
          <w:trHeight w:val="225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50F051D8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320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92" w:type="dxa"/>
              <w:bottom w:w="0" w:type="dxa"/>
              <w:right w:w="92" w:type="dxa"/>
            </w:tcMar>
            <w:hideMark/>
          </w:tcPr>
          <w:p w14:paraId="2E80A42F" w14:textId="77777777" w:rsidR="00AE67C5" w:rsidRPr="00AE67C5" w:rsidRDefault="00AE67C5" w:rsidP="00AE67C5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AE67C5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1(1.82%)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77B50" w14:textId="77777777" w:rsidR="00AE67C5" w:rsidRPr="00AE67C5" w:rsidRDefault="00AE67C5" w:rsidP="00AE67C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42EED6D7" w14:textId="78710839" w:rsidR="00AE67C5" w:rsidRP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2E6D351C" w14:textId="791BB90D" w:rsidR="00AE67C5" w:rsidRPr="00AE67C5" w:rsidRDefault="00AE67C5" w:rsidP="00AE67C5">
      <w:pPr>
        <w:spacing w:line="480" w:lineRule="auto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</w:p>
    <w:p w14:paraId="2FB0F35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9633032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3358376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50B4B4A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09DEA8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C5EFE5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AA82EA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36ADEB2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03C301A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D639C3C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3D18A729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6EDC889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805D36D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D08FB04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64E0F572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7C4AAFC3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9414D48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B31E3D8" w14:textId="72BC6B2D" w:rsidR="00AE67C5" w:rsidRPr="00D66AF8" w:rsidRDefault="00D66AF8" w:rsidP="00D66AF8">
      <w:pPr>
        <w:spacing w:line="480" w:lineRule="auto"/>
        <w:jc w:val="center"/>
        <w:rPr>
          <w:rFonts w:asciiTheme="minorHAnsi" w:hAnsiTheme="minorHAnsi" w:cstheme="minorHAnsi"/>
          <w:sz w:val="18"/>
          <w:szCs w:val="18"/>
          <w:lang w:val="en-US"/>
        </w:rPr>
      </w:pPr>
      <w:r w:rsidRPr="00D66AF8">
        <w:rPr>
          <w:rFonts w:asciiTheme="minorHAnsi" w:hAnsiTheme="minorHAnsi" w:cstheme="minorHAnsi"/>
          <w:sz w:val="18"/>
          <w:szCs w:val="18"/>
          <w:lang w:val="en-US"/>
        </w:rPr>
        <w:t>TNBC: Triple-negative breast cancer; RCB: Residual Cancer Burden; n.a: not applicable</w:t>
      </w:r>
    </w:p>
    <w:p w14:paraId="7CE5D7E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41F0EDEC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AA67814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22A4EF4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E7A2FF3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6CEDCB62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76958EC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621F005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98B4563" w14:textId="5BB01D26" w:rsidR="00D66AF8" w:rsidRPr="00531523" w:rsidRDefault="00D66AF8" w:rsidP="00D66AF8">
      <w:pPr>
        <w:spacing w:line="48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en-US"/>
        </w:rPr>
      </w:pPr>
      <w:r w:rsidRPr="00531523">
        <w:rPr>
          <w:rFonts w:asciiTheme="minorHAnsi" w:hAnsiTheme="minorHAnsi" w:cstheme="minorHAnsi"/>
          <w:b/>
          <w:bCs/>
          <w:sz w:val="18"/>
          <w:szCs w:val="18"/>
          <w:lang w:val="en-US"/>
        </w:rPr>
        <w:lastRenderedPageBreak/>
        <w:t xml:space="preserve">Table S2: Clinicopathological characteristics of relapse and non-relapse TNBC patients after chemotherapy treatment for </w:t>
      </w:r>
      <w:r w:rsidRPr="00531523">
        <w:rPr>
          <w:rFonts w:asciiTheme="minorHAnsi" w:hAnsiTheme="minorHAnsi" w:cstheme="minorHAnsi"/>
          <w:b/>
          <w:bCs/>
          <w:i/>
          <w:iCs/>
          <w:sz w:val="18"/>
          <w:szCs w:val="18"/>
          <w:lang w:val="en-US"/>
        </w:rPr>
        <w:t>ACSL4</w:t>
      </w:r>
      <w:r w:rsidRPr="00531523">
        <w:rPr>
          <w:rFonts w:asciiTheme="minorHAnsi" w:hAnsiTheme="minorHAnsi" w:cstheme="minorHAnsi"/>
          <w:b/>
          <w:bCs/>
          <w:sz w:val="18"/>
          <w:szCs w:val="18"/>
          <w:lang w:val="en-US"/>
        </w:rPr>
        <w:t xml:space="preserve"> analysis expression. </w:t>
      </w:r>
    </w:p>
    <w:tbl>
      <w:tblPr>
        <w:tblW w:w="69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0"/>
        <w:gridCol w:w="1995"/>
        <w:gridCol w:w="1755"/>
      </w:tblGrid>
      <w:tr w:rsidR="00D66AF8" w:rsidRPr="00D66AF8" w14:paraId="0944A1BD" w14:textId="77777777" w:rsidTr="00D66AF8">
        <w:trPr>
          <w:trHeight w:val="437"/>
          <w:jc w:val="center"/>
        </w:trPr>
        <w:tc>
          <w:tcPr>
            <w:tcW w:w="317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12334A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Characteristics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EA88ED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TNBC no relapse patients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37BA3B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TNBC relapse patients</w:t>
            </w:r>
          </w:p>
        </w:tc>
      </w:tr>
      <w:tr w:rsidR="00D66AF8" w:rsidRPr="00D66AF8" w14:paraId="584379F9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single" w:sz="8" w:space="0" w:color="7F7F7F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8FD859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Number</w:t>
            </w:r>
          </w:p>
        </w:tc>
        <w:tc>
          <w:tcPr>
            <w:tcW w:w="1995" w:type="dxa"/>
            <w:tcBorders>
              <w:top w:val="single" w:sz="8" w:space="0" w:color="7F7F7F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0FB831F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12</w:t>
            </w:r>
          </w:p>
        </w:tc>
        <w:tc>
          <w:tcPr>
            <w:tcW w:w="1755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BE200BE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20</w:t>
            </w:r>
          </w:p>
        </w:tc>
      </w:tr>
      <w:tr w:rsidR="00D66AF8" w:rsidRPr="00D66AF8" w14:paraId="4F0556F1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FAB368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Grade group,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657903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84375A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4F363935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AE53C4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746831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7205A5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79DF4F46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E3D874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7BDDF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4(33.33%)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FFF8D5F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3(15%)</w:t>
            </w:r>
          </w:p>
        </w:tc>
      </w:tr>
      <w:tr w:rsidR="00D66AF8" w:rsidRPr="00D66AF8" w14:paraId="6876DFB2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6F1218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B9EE2B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7(58.34%)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6CA807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17(85%)</w:t>
            </w:r>
          </w:p>
        </w:tc>
      </w:tr>
      <w:tr w:rsidR="00D66AF8" w:rsidRPr="00D66AF8" w14:paraId="5D717662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370909F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068FF4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7150BC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0A27969E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4D77274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Clinical stage,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4EB8B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F10FF8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0407D460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BC9E43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B441FD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6(50%)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F8748F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2(10%)</w:t>
            </w:r>
          </w:p>
        </w:tc>
      </w:tr>
      <w:tr w:rsidR="00D66AF8" w:rsidRPr="00D66AF8" w14:paraId="61EBDB86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B6B1ED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78B389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5(41.67%)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30780F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14(70%)</w:t>
            </w:r>
          </w:p>
        </w:tc>
      </w:tr>
      <w:tr w:rsidR="00D66AF8" w:rsidRPr="00D66AF8" w14:paraId="7587A42C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051825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20120B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050C44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4(20%)</w:t>
            </w:r>
          </w:p>
        </w:tc>
      </w:tr>
      <w:tr w:rsidR="00D66AF8" w:rsidRPr="00D66AF8" w14:paraId="38100928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FB222E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FF18F3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110441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2F13DDF1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3C1A3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EC6DC9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E0A600E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63DC886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8362CC3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Treatment,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15FEFE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882900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483757D5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E6AB1A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Neoadjuvant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2E881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11(91.67%)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27E98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14(70%)</w:t>
            </w:r>
          </w:p>
        </w:tc>
      </w:tr>
      <w:tr w:rsidR="00D66AF8" w:rsidRPr="00D66AF8" w14:paraId="0B796C0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E31542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Adjuvant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5764AD7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621D87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231EE996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C32F21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Neoadjuvant and Adjuvant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97DF4C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0247EB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6(30%)</w:t>
            </w:r>
          </w:p>
        </w:tc>
      </w:tr>
      <w:tr w:rsidR="00D66AF8" w:rsidRPr="00D66AF8" w14:paraId="3B6B6C1B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3F3D98F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RCB,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CEE3A6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A42B02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33DBD22A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1F0F4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99A6EA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10(83.34%)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4942F0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7(35%)</w:t>
            </w:r>
          </w:p>
        </w:tc>
      </w:tr>
      <w:tr w:rsidR="00D66AF8" w:rsidRPr="00D66AF8" w14:paraId="69DFABDC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31A73D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8D9FB9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D964B9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1(5%)</w:t>
            </w:r>
          </w:p>
        </w:tc>
      </w:tr>
      <w:tr w:rsidR="00D66AF8" w:rsidRPr="00D66AF8" w14:paraId="19BF8F9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4D1115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93A24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1C47B6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9(45%)</w:t>
            </w:r>
          </w:p>
        </w:tc>
      </w:tr>
      <w:tr w:rsidR="00D66AF8" w:rsidRPr="00D66AF8" w14:paraId="24CF4028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4F5487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0EA9DB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3B0E85E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2(10%)</w:t>
            </w:r>
          </w:p>
        </w:tc>
      </w:tr>
      <w:tr w:rsidR="00D66AF8" w:rsidRPr="00D66AF8" w14:paraId="15A38279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DDD087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39B619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FC21A4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1(5%)</w:t>
            </w:r>
          </w:p>
        </w:tc>
      </w:tr>
      <w:tr w:rsidR="00D66AF8" w:rsidRPr="00D66AF8" w14:paraId="651D4A80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CD1130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Ki67,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BD3E0CA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A6378C7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6C4A1EE5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FBFF30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&lt;30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1DB4E4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556C18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1(5%)</w:t>
            </w:r>
          </w:p>
        </w:tc>
      </w:tr>
      <w:tr w:rsidR="00D66AF8" w:rsidRPr="00D66AF8" w14:paraId="223D51D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290176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30-59.9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CDE869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3(25%)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FDDFCF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4(20%)</w:t>
            </w:r>
          </w:p>
        </w:tc>
      </w:tr>
      <w:tr w:rsidR="00D66AF8" w:rsidRPr="00D66AF8" w14:paraId="359DB86F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57A5A7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≥60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1EE20A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7(58.34%)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767D687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15(75%)</w:t>
            </w:r>
          </w:p>
        </w:tc>
      </w:tr>
      <w:tr w:rsidR="00D66AF8" w:rsidRPr="00D66AF8" w14:paraId="3F7D6DF3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B9476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4F5F6E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1(8.33%)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B0E527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66B435EC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EFE64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Regional lymph node metastasis,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36149C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658C61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1251FB7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A85893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FED945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3(25%)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619305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6(30%)</w:t>
            </w:r>
          </w:p>
        </w:tc>
      </w:tr>
      <w:tr w:rsidR="00D66AF8" w:rsidRPr="00D66AF8" w14:paraId="73306364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E29A7A0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F108E53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9(75%)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930E0E4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13(65%)</w:t>
            </w:r>
          </w:p>
        </w:tc>
      </w:tr>
      <w:tr w:rsidR="00D66AF8" w:rsidRPr="00D66AF8" w14:paraId="13CF67E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261E7FE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10DCE12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9A7575E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1(5%)</w:t>
            </w:r>
          </w:p>
        </w:tc>
      </w:tr>
      <w:tr w:rsidR="00D66AF8" w:rsidRPr="00D66AF8" w14:paraId="45C6D98F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6D29A1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b/>
                <w:bCs/>
                <w:color w:val="000000"/>
                <w:kern w:val="24"/>
                <w:sz w:val="18"/>
                <w:szCs w:val="18"/>
              </w:rPr>
              <w:t>Distant metastasis, n (%)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86EE1B1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0D4FBA6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 w:themeColor="text1"/>
                <w:kern w:val="24"/>
                <w:sz w:val="18"/>
                <w:szCs w:val="18"/>
              </w:rPr>
              <w:t> </w:t>
            </w:r>
          </w:p>
        </w:tc>
      </w:tr>
      <w:tr w:rsidR="00D66AF8" w:rsidRPr="00D66AF8" w14:paraId="6BFA6C06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8951D03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Yes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B86E2A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0B28739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</w:tr>
      <w:tr w:rsidR="00D66AF8" w:rsidRPr="00D66AF8" w14:paraId="18E99F02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10F059D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No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570D03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12(100%)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9AEFAC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19(95%)</w:t>
            </w:r>
          </w:p>
        </w:tc>
      </w:tr>
      <w:tr w:rsidR="00D66AF8" w:rsidRPr="00D66AF8" w14:paraId="5F14F2FD" w14:textId="77777777" w:rsidTr="00D66AF8">
        <w:trPr>
          <w:trHeight w:val="219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585DD93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Unknown</w:t>
            </w:r>
          </w:p>
        </w:tc>
        <w:tc>
          <w:tcPr>
            <w:tcW w:w="1995" w:type="dxa"/>
            <w:tcBorders>
              <w:top w:val="nil"/>
              <w:left w:val="single" w:sz="8" w:space="0" w:color="7F7F7F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B92460B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0(0%)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595CE38" w14:textId="77777777" w:rsidR="00D66AF8" w:rsidRPr="00D66AF8" w:rsidRDefault="00D66AF8" w:rsidP="00D66AF8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D66AF8">
              <w:rPr>
                <w:rFonts w:ascii="Calibri" w:hAnsi="Calibri" w:cs="Calibri"/>
                <w:color w:val="000000"/>
                <w:kern w:val="24"/>
                <w:sz w:val="18"/>
                <w:szCs w:val="18"/>
              </w:rPr>
              <w:t>1(5%)</w:t>
            </w:r>
          </w:p>
        </w:tc>
      </w:tr>
    </w:tbl>
    <w:p w14:paraId="4AE406A7" w14:textId="77777777" w:rsidR="00B5427C" w:rsidRDefault="00B5427C" w:rsidP="00D66AF8">
      <w:pPr>
        <w:spacing w:line="480" w:lineRule="auto"/>
        <w:jc w:val="center"/>
        <w:rPr>
          <w:rFonts w:asciiTheme="minorHAnsi" w:hAnsiTheme="minorHAnsi" w:cstheme="minorHAnsi"/>
          <w:sz w:val="18"/>
          <w:szCs w:val="18"/>
          <w:lang w:val="en-US"/>
        </w:rPr>
      </w:pPr>
    </w:p>
    <w:p w14:paraId="0FE9758C" w14:textId="3B587096" w:rsidR="00D66AF8" w:rsidRPr="00D66AF8" w:rsidRDefault="00D66AF8" w:rsidP="00D66AF8">
      <w:pPr>
        <w:spacing w:line="480" w:lineRule="auto"/>
        <w:jc w:val="center"/>
        <w:rPr>
          <w:rFonts w:asciiTheme="minorHAnsi" w:hAnsiTheme="minorHAnsi" w:cstheme="minorHAnsi"/>
          <w:sz w:val="18"/>
          <w:szCs w:val="18"/>
          <w:lang w:val="en-US"/>
        </w:rPr>
      </w:pPr>
      <w:r w:rsidRPr="00D66AF8">
        <w:rPr>
          <w:rFonts w:asciiTheme="minorHAnsi" w:hAnsiTheme="minorHAnsi" w:cstheme="minorHAnsi"/>
          <w:sz w:val="18"/>
          <w:szCs w:val="18"/>
          <w:lang w:val="en-US"/>
        </w:rPr>
        <w:t>TNBC: Triple-negative breast cancer; RCB: Residual Cancer Burden; n.a: not applicable.</w:t>
      </w:r>
    </w:p>
    <w:p w14:paraId="569E5656" w14:textId="77777777" w:rsidR="00D66AF8" w:rsidRPr="00D66AF8" w:rsidRDefault="00D66AF8" w:rsidP="00D66AF8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A80E155" w14:textId="77777777" w:rsidR="00D66AF8" w:rsidRDefault="00D66AF8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0E45D59F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25D539E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F152CD0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C646716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9A46A55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E470C05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FBEF33C" w14:textId="77777777" w:rsid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5EC5F943" w14:textId="77777777" w:rsidR="00AE67C5" w:rsidRPr="00AE67C5" w:rsidRDefault="00AE67C5" w:rsidP="00AE67C5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23076A70" w14:textId="77777777" w:rsidR="00AE67C5" w:rsidRPr="00AE67C5" w:rsidRDefault="00AE67C5" w:rsidP="00AE67C5">
      <w:pPr>
        <w:spacing w:line="480" w:lineRule="auto"/>
        <w:rPr>
          <w:rFonts w:asciiTheme="minorHAnsi" w:hAnsiTheme="minorHAnsi" w:cstheme="minorHAnsi"/>
          <w:lang w:val="en-US"/>
        </w:rPr>
      </w:pPr>
    </w:p>
    <w:p w14:paraId="034E6210" w14:textId="77777777" w:rsidR="00AE67C5" w:rsidRPr="00AE67C5" w:rsidRDefault="00AE67C5" w:rsidP="00AE67C5">
      <w:pPr>
        <w:rPr>
          <w:lang w:val="en-US"/>
        </w:rPr>
      </w:pPr>
    </w:p>
    <w:sectPr w:rsidR="00AE67C5" w:rsidRPr="00AE67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M0MTExtDAzNDE0MDJV0lEKTi0uzszPAykwrAUAMcIdAywAAAA="/>
  </w:docVars>
  <w:rsids>
    <w:rsidRoot w:val="00AE67C5"/>
    <w:rsid w:val="00094F79"/>
    <w:rsid w:val="000D15A5"/>
    <w:rsid w:val="00131CBE"/>
    <w:rsid w:val="00312C45"/>
    <w:rsid w:val="003B1511"/>
    <w:rsid w:val="00407EAE"/>
    <w:rsid w:val="00531523"/>
    <w:rsid w:val="00547C27"/>
    <w:rsid w:val="0057270D"/>
    <w:rsid w:val="005C7D38"/>
    <w:rsid w:val="005D5927"/>
    <w:rsid w:val="00600DEE"/>
    <w:rsid w:val="00652267"/>
    <w:rsid w:val="007772F1"/>
    <w:rsid w:val="007C72B7"/>
    <w:rsid w:val="00984B86"/>
    <w:rsid w:val="009936E9"/>
    <w:rsid w:val="00AA57C3"/>
    <w:rsid w:val="00AC2E1F"/>
    <w:rsid w:val="00AE67C5"/>
    <w:rsid w:val="00B5427C"/>
    <w:rsid w:val="00C5472B"/>
    <w:rsid w:val="00C63817"/>
    <w:rsid w:val="00D370C9"/>
    <w:rsid w:val="00D53C6B"/>
    <w:rsid w:val="00D66AF8"/>
    <w:rsid w:val="00E16492"/>
    <w:rsid w:val="00EA6A3C"/>
    <w:rsid w:val="00F0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B6C73C"/>
  <w15:chartTrackingRefBased/>
  <w15:docId w15:val="{0D80FFD9-7EC2-4588-B118-64490039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511"/>
    <w:rPr>
      <w:lang w:eastAsia="es-ES"/>
    </w:rPr>
  </w:style>
  <w:style w:type="paragraph" w:styleId="Ttulo1">
    <w:name w:val="heading 1"/>
    <w:basedOn w:val="Normal"/>
    <w:next w:val="Normal"/>
    <w:link w:val="Ttulo1Car"/>
    <w:qFormat/>
    <w:rsid w:val="003B1511"/>
    <w:pPr>
      <w:keepNext/>
      <w:outlineLvl w:val="0"/>
    </w:pPr>
    <w:rPr>
      <w:rFonts w:ascii="Tahoma" w:hAnsi="Tahoma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3B1511"/>
    <w:pPr>
      <w:keepNext/>
      <w:spacing w:before="960" w:after="480"/>
      <w:jc w:val="center"/>
      <w:outlineLvl w:val="1"/>
    </w:pPr>
    <w:rPr>
      <w:rFonts w:ascii="Tahoma" w:hAnsi="Tahoma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3B1511"/>
    <w:pPr>
      <w:keepNext/>
      <w:jc w:val="center"/>
      <w:outlineLvl w:val="2"/>
    </w:pPr>
    <w:rPr>
      <w:rFonts w:ascii="Tahoma" w:hAnsi="Tahoma" w:cs="Tahoma"/>
      <w:b/>
    </w:rPr>
  </w:style>
  <w:style w:type="paragraph" w:styleId="Ttulo4">
    <w:name w:val="heading 4"/>
    <w:basedOn w:val="Normal"/>
    <w:next w:val="Normal"/>
    <w:link w:val="Ttulo4Car"/>
    <w:qFormat/>
    <w:rsid w:val="003B1511"/>
    <w:pPr>
      <w:keepNext/>
      <w:jc w:val="center"/>
      <w:outlineLvl w:val="3"/>
    </w:pPr>
    <w:rPr>
      <w:rFonts w:ascii="Tahoma" w:hAnsi="Tahoma" w:cs="Tahoma"/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B1511"/>
    <w:rPr>
      <w:rFonts w:ascii="Tahoma" w:hAnsi="Tahoma"/>
      <w:b/>
      <w:sz w:val="22"/>
      <w:lang w:eastAsia="es-ES"/>
    </w:rPr>
  </w:style>
  <w:style w:type="character" w:customStyle="1" w:styleId="Ttulo2Car">
    <w:name w:val="Título 2 Car"/>
    <w:basedOn w:val="Fuentedeprrafopredeter"/>
    <w:link w:val="Ttulo2"/>
    <w:rsid w:val="003B1511"/>
    <w:rPr>
      <w:rFonts w:ascii="Tahoma" w:hAnsi="Tahoma"/>
      <w:b/>
      <w:sz w:val="22"/>
      <w:lang w:eastAsia="es-ES"/>
    </w:rPr>
  </w:style>
  <w:style w:type="character" w:customStyle="1" w:styleId="Ttulo3Car">
    <w:name w:val="Título 3 Car"/>
    <w:basedOn w:val="Fuentedeprrafopredeter"/>
    <w:link w:val="Ttulo3"/>
    <w:rsid w:val="003B1511"/>
    <w:rPr>
      <w:rFonts w:ascii="Tahoma" w:hAnsi="Tahoma" w:cs="Tahoma"/>
      <w:b/>
      <w:lang w:eastAsia="es-ES"/>
    </w:rPr>
  </w:style>
  <w:style w:type="character" w:customStyle="1" w:styleId="Ttulo4Car">
    <w:name w:val="Título 4 Car"/>
    <w:basedOn w:val="Fuentedeprrafopredeter"/>
    <w:link w:val="Ttulo4"/>
    <w:rsid w:val="003B1511"/>
    <w:rPr>
      <w:rFonts w:ascii="Tahoma" w:hAnsi="Tahoma" w:cs="Tahoma"/>
      <w:b/>
      <w:sz w:val="18"/>
      <w:lang w:eastAsia="es-ES"/>
    </w:rPr>
  </w:style>
  <w:style w:type="paragraph" w:styleId="Prrafodelista">
    <w:name w:val="List Paragraph"/>
    <w:basedOn w:val="Normal"/>
    <w:uiPriority w:val="34"/>
    <w:qFormat/>
    <w:rsid w:val="003B151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66AF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586</Words>
  <Characters>3601</Characters>
  <Application>Microsoft Office Word</Application>
  <DocSecurity>0</DocSecurity>
  <Lines>54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torres</dc:creator>
  <cp:keywords/>
  <dc:description/>
  <cp:lastModifiedBy>sandra torres</cp:lastModifiedBy>
  <cp:revision>26</cp:revision>
  <cp:lastPrinted>2024-02-28T17:07:00Z</cp:lastPrinted>
  <dcterms:created xsi:type="dcterms:W3CDTF">2023-09-28T17:38:00Z</dcterms:created>
  <dcterms:modified xsi:type="dcterms:W3CDTF">2024-03-21T18:53:00Z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9e13235d-304e-4995-bde9-8fc475d7ddc6</vt:lpwstr>
  </property>
</Properties>
</file>