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0906E7" w14:textId="4BB89FE0" w:rsidR="00BF6577" w:rsidRPr="00BF2F2F" w:rsidRDefault="00E54C90" w:rsidP="00BF2F2F">
      <w:pPr>
        <w:spacing w:after="200" w:line="276" w:lineRule="auto"/>
        <w:ind w:left="-990" w:right="-810"/>
        <w:rPr>
          <w:rFonts w:ascii="Times New Roman" w:hAnsi="Times New Roman" w:cs="Times New Roman"/>
        </w:rPr>
      </w:pPr>
      <w:r w:rsidRPr="00462464">
        <w:rPr>
          <w:rFonts w:ascii="Calibri" w:eastAsia="Calibri" w:hAnsi="Calibri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6F7F29DF" wp14:editId="4F006D10">
            <wp:simplePos x="0" y="0"/>
            <wp:positionH relativeFrom="column">
              <wp:posOffset>-739140</wp:posOffset>
            </wp:positionH>
            <wp:positionV relativeFrom="paragraph">
              <wp:posOffset>257810</wp:posOffset>
            </wp:positionV>
            <wp:extent cx="7082155" cy="9563100"/>
            <wp:effectExtent l="0" t="0" r="23495" b="0"/>
            <wp:wrapSquare wrapText="bothSides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2F2F">
        <w:rPr>
          <w:rFonts w:ascii="Times New Roman" w:hAnsi="Times New Roman" w:cs="Times New Roman"/>
          <w:sz w:val="22"/>
          <w:szCs w:val="22"/>
        </w:rPr>
        <w:t>Figure</w:t>
      </w:r>
      <w:r w:rsidR="00BF6577" w:rsidRPr="00462464">
        <w:rPr>
          <w:rFonts w:ascii="Times New Roman" w:hAnsi="Times New Roman" w:cs="Times New Roman"/>
          <w:sz w:val="22"/>
          <w:szCs w:val="22"/>
        </w:rPr>
        <w:t xml:space="preserve"> 1- </w:t>
      </w:r>
      <w:r w:rsidR="00E31D37" w:rsidRPr="00462464">
        <w:rPr>
          <w:rFonts w:ascii="Times New Roman" w:hAnsi="Times New Roman" w:cs="Times New Roman"/>
          <w:sz w:val="22"/>
          <w:szCs w:val="22"/>
        </w:rPr>
        <w:t xml:space="preserve">Checklist of items to be included when reporting laboratory studies in Endodontology </w:t>
      </w:r>
      <w:r w:rsidR="00024F17" w:rsidRPr="00462464">
        <w:rPr>
          <w:rFonts w:ascii="Times New Roman" w:hAnsi="Times New Roman" w:cs="Times New Roman"/>
          <w:sz w:val="22"/>
          <w:szCs w:val="22"/>
        </w:rPr>
        <w:t>PRILE 2021 Flowchart</w:t>
      </w:r>
      <w:bookmarkStart w:id="0" w:name="_GoBack"/>
      <w:bookmarkEnd w:id="0"/>
    </w:p>
    <w:sectPr w:rsidR="00BF6577" w:rsidRPr="00BF2F2F" w:rsidSect="00BF2F2F">
      <w:pgSz w:w="12240" w:h="15840"/>
      <w:pgMar w:top="180" w:right="1440" w:bottom="90" w:left="17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_ Intl-Endodontic-J-correct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pzaa99trawv0rea0ecp0evqdx09fetxztsx&quot;&gt;final proposal&lt;record-ids&gt;&lt;item&gt;1&lt;/item&gt;&lt;item&gt;2&lt;/item&gt;&lt;item&gt;3&lt;/item&gt;&lt;item&gt;6&lt;/item&gt;&lt;item&gt;9&lt;/item&gt;&lt;item&gt;21&lt;/item&gt;&lt;item&gt;22&lt;/item&gt;&lt;item&gt;23&lt;/item&gt;&lt;item&gt;25&lt;/item&gt;&lt;item&gt;26&lt;/item&gt;&lt;item&gt;27&lt;/item&gt;&lt;item&gt;29&lt;/item&gt;&lt;item&gt;30&lt;/item&gt;&lt;item&gt;31&lt;/item&gt;&lt;item&gt;32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/record-ids&gt;&lt;/item&gt;&lt;/Libraries&gt;"/>
  </w:docVars>
  <w:rsids>
    <w:rsidRoot w:val="00A723F3"/>
    <w:rsid w:val="0001648E"/>
    <w:rsid w:val="00024F17"/>
    <w:rsid w:val="0003201E"/>
    <w:rsid w:val="00043215"/>
    <w:rsid w:val="00054DA3"/>
    <w:rsid w:val="0006084B"/>
    <w:rsid w:val="000639EC"/>
    <w:rsid w:val="0007017C"/>
    <w:rsid w:val="00077BBC"/>
    <w:rsid w:val="00087318"/>
    <w:rsid w:val="00094443"/>
    <w:rsid w:val="00094DAC"/>
    <w:rsid w:val="0009550F"/>
    <w:rsid w:val="000963CC"/>
    <w:rsid w:val="0009670A"/>
    <w:rsid w:val="000A368C"/>
    <w:rsid w:val="000A65B1"/>
    <w:rsid w:val="000B109B"/>
    <w:rsid w:val="000B32CF"/>
    <w:rsid w:val="000B6F49"/>
    <w:rsid w:val="000B7074"/>
    <w:rsid w:val="000C72A9"/>
    <w:rsid w:val="000D027D"/>
    <w:rsid w:val="000D5CE7"/>
    <w:rsid w:val="000D6F19"/>
    <w:rsid w:val="000E0618"/>
    <w:rsid w:val="000E3942"/>
    <w:rsid w:val="000F15D8"/>
    <w:rsid w:val="000F7361"/>
    <w:rsid w:val="00107FBD"/>
    <w:rsid w:val="0011695B"/>
    <w:rsid w:val="00137695"/>
    <w:rsid w:val="00137DAE"/>
    <w:rsid w:val="00150F5C"/>
    <w:rsid w:val="00152CA9"/>
    <w:rsid w:val="00162929"/>
    <w:rsid w:val="00166255"/>
    <w:rsid w:val="00176E26"/>
    <w:rsid w:val="00177B00"/>
    <w:rsid w:val="00182FFE"/>
    <w:rsid w:val="00197FA0"/>
    <w:rsid w:val="001A4620"/>
    <w:rsid w:val="001A4CB5"/>
    <w:rsid w:val="001B30EA"/>
    <w:rsid w:val="001D1998"/>
    <w:rsid w:val="001E0831"/>
    <w:rsid w:val="001E6215"/>
    <w:rsid w:val="001F0DA6"/>
    <w:rsid w:val="001F42D6"/>
    <w:rsid w:val="001F5933"/>
    <w:rsid w:val="00210F5A"/>
    <w:rsid w:val="00217018"/>
    <w:rsid w:val="00227A1D"/>
    <w:rsid w:val="002371CB"/>
    <w:rsid w:val="002441B3"/>
    <w:rsid w:val="00271EF5"/>
    <w:rsid w:val="00277F19"/>
    <w:rsid w:val="00277FC7"/>
    <w:rsid w:val="00290FEB"/>
    <w:rsid w:val="0029637C"/>
    <w:rsid w:val="002A1665"/>
    <w:rsid w:val="002B1D7E"/>
    <w:rsid w:val="002C0C80"/>
    <w:rsid w:val="002C31D2"/>
    <w:rsid w:val="002D049F"/>
    <w:rsid w:val="002D73C0"/>
    <w:rsid w:val="002D783F"/>
    <w:rsid w:val="002E0A1F"/>
    <w:rsid w:val="002E1A51"/>
    <w:rsid w:val="002F05E3"/>
    <w:rsid w:val="002F1AFE"/>
    <w:rsid w:val="00300B56"/>
    <w:rsid w:val="00301FF2"/>
    <w:rsid w:val="00317C62"/>
    <w:rsid w:val="0032014A"/>
    <w:rsid w:val="00332AA0"/>
    <w:rsid w:val="003363F1"/>
    <w:rsid w:val="003370F9"/>
    <w:rsid w:val="00341426"/>
    <w:rsid w:val="0034679E"/>
    <w:rsid w:val="00351528"/>
    <w:rsid w:val="0035745E"/>
    <w:rsid w:val="003635E6"/>
    <w:rsid w:val="00373845"/>
    <w:rsid w:val="003751EE"/>
    <w:rsid w:val="003A13DD"/>
    <w:rsid w:val="003A6EDE"/>
    <w:rsid w:val="003B35C9"/>
    <w:rsid w:val="003B5256"/>
    <w:rsid w:val="003B6BAC"/>
    <w:rsid w:val="003C1646"/>
    <w:rsid w:val="003E0E1E"/>
    <w:rsid w:val="003E480D"/>
    <w:rsid w:val="00404C86"/>
    <w:rsid w:val="00406AE8"/>
    <w:rsid w:val="00416467"/>
    <w:rsid w:val="00424EDD"/>
    <w:rsid w:val="00444C0D"/>
    <w:rsid w:val="0044558D"/>
    <w:rsid w:val="004455AE"/>
    <w:rsid w:val="004546C7"/>
    <w:rsid w:val="00455322"/>
    <w:rsid w:val="00462464"/>
    <w:rsid w:val="00466828"/>
    <w:rsid w:val="00470130"/>
    <w:rsid w:val="00471DE4"/>
    <w:rsid w:val="004750F7"/>
    <w:rsid w:val="00475540"/>
    <w:rsid w:val="00477735"/>
    <w:rsid w:val="00487CD0"/>
    <w:rsid w:val="004B0825"/>
    <w:rsid w:val="004C62E3"/>
    <w:rsid w:val="004E24AD"/>
    <w:rsid w:val="004E53EB"/>
    <w:rsid w:val="004F7C20"/>
    <w:rsid w:val="00504A5F"/>
    <w:rsid w:val="005101D3"/>
    <w:rsid w:val="00522A8A"/>
    <w:rsid w:val="00536E5D"/>
    <w:rsid w:val="005375C2"/>
    <w:rsid w:val="00537A3F"/>
    <w:rsid w:val="0054121D"/>
    <w:rsid w:val="00546BF0"/>
    <w:rsid w:val="0056348C"/>
    <w:rsid w:val="0057671B"/>
    <w:rsid w:val="00582E91"/>
    <w:rsid w:val="00584589"/>
    <w:rsid w:val="00596168"/>
    <w:rsid w:val="00597377"/>
    <w:rsid w:val="005B2C92"/>
    <w:rsid w:val="005B3908"/>
    <w:rsid w:val="005D2FAC"/>
    <w:rsid w:val="005D6029"/>
    <w:rsid w:val="005D7526"/>
    <w:rsid w:val="005E2036"/>
    <w:rsid w:val="005E53EE"/>
    <w:rsid w:val="005F5B2F"/>
    <w:rsid w:val="005F6A3D"/>
    <w:rsid w:val="00603324"/>
    <w:rsid w:val="00616A81"/>
    <w:rsid w:val="00620652"/>
    <w:rsid w:val="00627189"/>
    <w:rsid w:val="0063448F"/>
    <w:rsid w:val="00653AFC"/>
    <w:rsid w:val="00656F83"/>
    <w:rsid w:val="006643C6"/>
    <w:rsid w:val="0066469A"/>
    <w:rsid w:val="00696152"/>
    <w:rsid w:val="006976E8"/>
    <w:rsid w:val="006A222E"/>
    <w:rsid w:val="006B7F96"/>
    <w:rsid w:val="006C0165"/>
    <w:rsid w:val="006C14B5"/>
    <w:rsid w:val="006D3989"/>
    <w:rsid w:val="006D3E24"/>
    <w:rsid w:val="006D42CE"/>
    <w:rsid w:val="006E74A2"/>
    <w:rsid w:val="006F32A8"/>
    <w:rsid w:val="0073511F"/>
    <w:rsid w:val="007356D3"/>
    <w:rsid w:val="007418B9"/>
    <w:rsid w:val="00743864"/>
    <w:rsid w:val="007465A1"/>
    <w:rsid w:val="00747FEC"/>
    <w:rsid w:val="00752712"/>
    <w:rsid w:val="00752DF6"/>
    <w:rsid w:val="00761858"/>
    <w:rsid w:val="007829A0"/>
    <w:rsid w:val="00784183"/>
    <w:rsid w:val="007A10D3"/>
    <w:rsid w:val="007B0B6E"/>
    <w:rsid w:val="007B5CDF"/>
    <w:rsid w:val="007B729D"/>
    <w:rsid w:val="007B7FFA"/>
    <w:rsid w:val="007C0D52"/>
    <w:rsid w:val="007D2D01"/>
    <w:rsid w:val="007E25F1"/>
    <w:rsid w:val="007E6899"/>
    <w:rsid w:val="007F2C61"/>
    <w:rsid w:val="007F4D6C"/>
    <w:rsid w:val="008017AA"/>
    <w:rsid w:val="00801BBC"/>
    <w:rsid w:val="00801DD2"/>
    <w:rsid w:val="00801EB9"/>
    <w:rsid w:val="00812169"/>
    <w:rsid w:val="00823DBE"/>
    <w:rsid w:val="00832432"/>
    <w:rsid w:val="008479AD"/>
    <w:rsid w:val="00847C8B"/>
    <w:rsid w:val="008563C8"/>
    <w:rsid w:val="008623BD"/>
    <w:rsid w:val="008631AD"/>
    <w:rsid w:val="00882835"/>
    <w:rsid w:val="008964F4"/>
    <w:rsid w:val="008A3247"/>
    <w:rsid w:val="008A7209"/>
    <w:rsid w:val="008B42FE"/>
    <w:rsid w:val="008B6040"/>
    <w:rsid w:val="008C6F55"/>
    <w:rsid w:val="008D348A"/>
    <w:rsid w:val="008E51CD"/>
    <w:rsid w:val="008F7AD0"/>
    <w:rsid w:val="00903800"/>
    <w:rsid w:val="00904792"/>
    <w:rsid w:val="009077B2"/>
    <w:rsid w:val="009112CB"/>
    <w:rsid w:val="00920F86"/>
    <w:rsid w:val="0092254A"/>
    <w:rsid w:val="00922C9D"/>
    <w:rsid w:val="0093628D"/>
    <w:rsid w:val="009420AA"/>
    <w:rsid w:val="0096007D"/>
    <w:rsid w:val="00971315"/>
    <w:rsid w:val="0097184E"/>
    <w:rsid w:val="00972A8F"/>
    <w:rsid w:val="009734BD"/>
    <w:rsid w:val="0097478A"/>
    <w:rsid w:val="00981279"/>
    <w:rsid w:val="00983CDF"/>
    <w:rsid w:val="009944C8"/>
    <w:rsid w:val="00994F02"/>
    <w:rsid w:val="00995548"/>
    <w:rsid w:val="009A4EF8"/>
    <w:rsid w:val="009A71D1"/>
    <w:rsid w:val="009B4A84"/>
    <w:rsid w:val="009C19B9"/>
    <w:rsid w:val="009F1E98"/>
    <w:rsid w:val="009F2C36"/>
    <w:rsid w:val="00A03045"/>
    <w:rsid w:val="00A4291C"/>
    <w:rsid w:val="00A57AE3"/>
    <w:rsid w:val="00A63D15"/>
    <w:rsid w:val="00A65A2A"/>
    <w:rsid w:val="00A66F7D"/>
    <w:rsid w:val="00A723F3"/>
    <w:rsid w:val="00A84D03"/>
    <w:rsid w:val="00A92BC3"/>
    <w:rsid w:val="00A93708"/>
    <w:rsid w:val="00A942CC"/>
    <w:rsid w:val="00AA48BB"/>
    <w:rsid w:val="00AA65FC"/>
    <w:rsid w:val="00AA688A"/>
    <w:rsid w:val="00AB2B7F"/>
    <w:rsid w:val="00AB73FA"/>
    <w:rsid w:val="00AC3CCD"/>
    <w:rsid w:val="00AD65DF"/>
    <w:rsid w:val="00B2100D"/>
    <w:rsid w:val="00B237BD"/>
    <w:rsid w:val="00B43F38"/>
    <w:rsid w:val="00B6105A"/>
    <w:rsid w:val="00B6188E"/>
    <w:rsid w:val="00B67BA8"/>
    <w:rsid w:val="00B70901"/>
    <w:rsid w:val="00B76331"/>
    <w:rsid w:val="00B81647"/>
    <w:rsid w:val="00B821AB"/>
    <w:rsid w:val="00B83A68"/>
    <w:rsid w:val="00B85801"/>
    <w:rsid w:val="00B93C1A"/>
    <w:rsid w:val="00B97155"/>
    <w:rsid w:val="00B97B83"/>
    <w:rsid w:val="00BA14A8"/>
    <w:rsid w:val="00BA2A54"/>
    <w:rsid w:val="00BC1A90"/>
    <w:rsid w:val="00BD0BD3"/>
    <w:rsid w:val="00BE2122"/>
    <w:rsid w:val="00BE6103"/>
    <w:rsid w:val="00BF2F2F"/>
    <w:rsid w:val="00BF6577"/>
    <w:rsid w:val="00C03560"/>
    <w:rsid w:val="00C10BA6"/>
    <w:rsid w:val="00C11033"/>
    <w:rsid w:val="00C15046"/>
    <w:rsid w:val="00C20469"/>
    <w:rsid w:val="00C27B4C"/>
    <w:rsid w:val="00C44CBD"/>
    <w:rsid w:val="00C55F77"/>
    <w:rsid w:val="00C565C1"/>
    <w:rsid w:val="00C569F7"/>
    <w:rsid w:val="00C579F4"/>
    <w:rsid w:val="00C727BD"/>
    <w:rsid w:val="00C74345"/>
    <w:rsid w:val="00C80AE5"/>
    <w:rsid w:val="00C86707"/>
    <w:rsid w:val="00C87785"/>
    <w:rsid w:val="00C928C2"/>
    <w:rsid w:val="00C93BC1"/>
    <w:rsid w:val="00C97986"/>
    <w:rsid w:val="00CA3B19"/>
    <w:rsid w:val="00CA59DF"/>
    <w:rsid w:val="00CA75C9"/>
    <w:rsid w:val="00CB15B5"/>
    <w:rsid w:val="00CB16D9"/>
    <w:rsid w:val="00CB3020"/>
    <w:rsid w:val="00CB71BF"/>
    <w:rsid w:val="00CC2727"/>
    <w:rsid w:val="00CC37D0"/>
    <w:rsid w:val="00CC4BB2"/>
    <w:rsid w:val="00CD1DD3"/>
    <w:rsid w:val="00CE2178"/>
    <w:rsid w:val="00CF6206"/>
    <w:rsid w:val="00CF6BBF"/>
    <w:rsid w:val="00D104B4"/>
    <w:rsid w:val="00D12FF1"/>
    <w:rsid w:val="00D31DF5"/>
    <w:rsid w:val="00D32C9D"/>
    <w:rsid w:val="00D369F2"/>
    <w:rsid w:val="00D37535"/>
    <w:rsid w:val="00D37BAE"/>
    <w:rsid w:val="00D37BFB"/>
    <w:rsid w:val="00D47670"/>
    <w:rsid w:val="00D61EC6"/>
    <w:rsid w:val="00D6317A"/>
    <w:rsid w:val="00D85A6C"/>
    <w:rsid w:val="00D916DF"/>
    <w:rsid w:val="00D97C04"/>
    <w:rsid w:val="00DA7F68"/>
    <w:rsid w:val="00DB22E6"/>
    <w:rsid w:val="00DD0335"/>
    <w:rsid w:val="00DD59E1"/>
    <w:rsid w:val="00DD7908"/>
    <w:rsid w:val="00DF4B82"/>
    <w:rsid w:val="00DF75C1"/>
    <w:rsid w:val="00E03A65"/>
    <w:rsid w:val="00E043BE"/>
    <w:rsid w:val="00E0629C"/>
    <w:rsid w:val="00E1051C"/>
    <w:rsid w:val="00E25AE3"/>
    <w:rsid w:val="00E306ED"/>
    <w:rsid w:val="00E31D37"/>
    <w:rsid w:val="00E3346F"/>
    <w:rsid w:val="00E42F4F"/>
    <w:rsid w:val="00E52DA3"/>
    <w:rsid w:val="00E54C90"/>
    <w:rsid w:val="00E6019E"/>
    <w:rsid w:val="00E62DA4"/>
    <w:rsid w:val="00E66187"/>
    <w:rsid w:val="00E737F2"/>
    <w:rsid w:val="00E75502"/>
    <w:rsid w:val="00E80634"/>
    <w:rsid w:val="00E810DF"/>
    <w:rsid w:val="00E94043"/>
    <w:rsid w:val="00E95B32"/>
    <w:rsid w:val="00EA7475"/>
    <w:rsid w:val="00EF01B8"/>
    <w:rsid w:val="00EF4503"/>
    <w:rsid w:val="00F046E7"/>
    <w:rsid w:val="00F25911"/>
    <w:rsid w:val="00F355A1"/>
    <w:rsid w:val="00F3693D"/>
    <w:rsid w:val="00F52184"/>
    <w:rsid w:val="00F63767"/>
    <w:rsid w:val="00F6484F"/>
    <w:rsid w:val="00F91F00"/>
    <w:rsid w:val="00F91FAA"/>
    <w:rsid w:val="00F94604"/>
    <w:rsid w:val="00FA3319"/>
    <w:rsid w:val="00FB18B1"/>
    <w:rsid w:val="00FE0220"/>
    <w:rsid w:val="00FE6B87"/>
    <w:rsid w:val="00FF0E9E"/>
    <w:rsid w:val="00FF104A"/>
    <w:rsid w:val="00FF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6BC1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279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1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2D049F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D049F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D049F"/>
    <w:pPr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D049F"/>
    <w:rPr>
      <w:rFonts w:ascii="Calibri" w:hAnsi="Calibri" w:cs="Calibri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424E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E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4E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E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E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E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ED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C31D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31D2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2371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7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ListTable7Colorful1">
    <w:name w:val="List Table 7 Colorful1"/>
    <w:basedOn w:val="TableNormal"/>
    <w:next w:val="TableNormal"/>
    <w:uiPriority w:val="52"/>
    <w:rsid w:val="007E6899"/>
    <w:rPr>
      <w:rFonts w:eastAsia="Calibri"/>
      <w:color w:val="00000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7E68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11">
    <w:name w:val="List Table 7 Colorful11"/>
    <w:basedOn w:val="TableNormal"/>
    <w:next w:val="TableNormal"/>
    <w:uiPriority w:val="52"/>
    <w:rsid w:val="007E6899"/>
    <w:rPr>
      <w:rFonts w:eastAsia="Calibri"/>
      <w:color w:val="00000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E661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Grid1">
    <w:name w:val="Table Grid1"/>
    <w:basedOn w:val="TableNormal"/>
    <w:next w:val="TableGrid"/>
    <w:uiPriority w:val="39"/>
    <w:rsid w:val="00BF65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DAE7B1B-2A6E-4801-A0EB-1EC5156CE40C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</dgm:pt>
    <dgm:pt modelId="{89CFBC19-08C9-40F1-A2F0-2C6DA6A2375E}">
      <dgm:prSet phldrT="[Text]" custT="1"/>
      <dgm:spPr>
        <a:xfrm>
          <a:off x="1559865" y="7237"/>
          <a:ext cx="3242969" cy="397257"/>
        </a:xfrm>
        <a:solidFill>
          <a:srgbClr val="5B9BD5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800" b="1">
              <a:solidFill>
                <a:schemeClr val="bg1"/>
              </a:solidFill>
              <a:latin typeface="Cambria" panose="02040503050406030204" pitchFamily="18" charset="0"/>
              <a:ea typeface="+mn-ea"/>
              <a:cs typeface="+mn-cs"/>
            </a:rPr>
            <a:t>RATIONALE/JUSTIFICATION: </a:t>
          </a:r>
          <a:r>
            <a:rPr lang="en-US" sz="800">
              <a:solidFill>
                <a:schemeClr val="bg1"/>
              </a:solidFill>
              <a:latin typeface="Cambria" panose="02040503050406030204" pitchFamily="18" charset="0"/>
              <a:ea typeface="Cambria" panose="02040503050406030204" pitchFamily="18" charset="0"/>
            </a:rPr>
            <a:t>The findings of this study will allow the design of a cell preconditioning protocol based on LLLT before transplantation of DPSCs or other DMSCs for dental tissue engineering/regeneration</a:t>
          </a:r>
          <a:endParaRPr lang="en-US" sz="800" b="1">
            <a:solidFill>
              <a:schemeClr val="bg1"/>
            </a:solidFill>
            <a:latin typeface="Cambria" panose="02040503050406030204" pitchFamily="18" charset="0"/>
            <a:ea typeface="Cambria" panose="02040503050406030204" pitchFamily="18" charset="0"/>
            <a:cs typeface="+mn-cs"/>
          </a:endParaRPr>
        </a:p>
      </dgm:t>
    </dgm:pt>
    <dgm:pt modelId="{86E89AB0-2437-46BF-9E8B-43AC58E35891}" type="parTrans" cxnId="{864F50D9-0471-4F2F-A645-3E6AA6F0A679}">
      <dgm:prSet/>
      <dgm:spPr/>
      <dgm:t>
        <a:bodyPr/>
        <a:lstStyle/>
        <a:p>
          <a:endParaRPr lang="en-US"/>
        </a:p>
      </dgm:t>
    </dgm:pt>
    <dgm:pt modelId="{797F4678-DAB5-4A89-8E5F-183B93901ECA}" type="sibTrans" cxnId="{864F50D9-0471-4F2F-A645-3E6AA6F0A679}">
      <dgm:prSet/>
      <dgm:spPr>
        <a:xfrm rot="5400000">
          <a:off x="3029336" y="414425"/>
          <a:ext cx="304026" cy="178765"/>
        </a:xfrm>
        <a:solidFill>
          <a:srgbClr val="C00000"/>
        </a:solidFill>
        <a:ln>
          <a:noFill/>
        </a:ln>
        <a:effectLst/>
      </dgm:spPr>
      <dgm:t>
        <a:bodyPr/>
        <a:lstStyle/>
        <a:p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EAD8216F-702E-487F-AFD5-108EB3F451C2}">
      <dgm:prSet phldrT="[Text]" custT="1"/>
      <dgm:spPr>
        <a:xfrm>
          <a:off x="1559865" y="603122"/>
          <a:ext cx="3242969" cy="397257"/>
        </a:xfrm>
        <a:solidFill>
          <a:srgbClr val="5B9BD5">
            <a:lumMod val="60000"/>
            <a:lumOff val="4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800" b="1">
              <a:solidFill>
                <a:sysClr val="windowText" lastClr="000000"/>
              </a:solidFill>
              <a:latin typeface="Cambria" panose="02040503050406030204" pitchFamily="18" charset="0"/>
              <a:ea typeface="+mn-ea"/>
              <a:cs typeface="+mn-cs"/>
            </a:rPr>
            <a:t>AIM: </a:t>
          </a:r>
          <a:r>
            <a:rPr lang="en-US" sz="800" b="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To evaluate the impact of the LLLT on expression of VEGF (as the angiogenic factor) and DSP (as a marker of dentinogenic differentiation) of human DPSCs</a:t>
          </a:r>
        </a:p>
        <a:p>
          <a:r>
            <a:rPr lang="en-GB" sz="800" b="1">
              <a:solidFill>
                <a:sysClr val="windowText" lastClr="000000"/>
              </a:solidFill>
              <a:latin typeface="Cambria" panose="02040503050406030204" pitchFamily="18" charset="0"/>
              <a:ea typeface="+mn-ea"/>
              <a:cs typeface="+mn-cs"/>
            </a:rPr>
            <a:t>HYPOTHESIS: </a:t>
          </a:r>
          <a:r>
            <a:rPr lang="en-US" sz="8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The null hypothesis is that LLLT could promote differentiation of DPSCs and angiogenesis, which may contribute to tissue regeneration and wound healing in the oral cavity</a:t>
          </a:r>
          <a:endParaRPr lang="en-US" sz="800" b="1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  <a:cs typeface="+mn-cs"/>
          </a:endParaRPr>
        </a:p>
      </dgm:t>
    </dgm:pt>
    <dgm:pt modelId="{9E7399F8-3BD4-4031-A40D-42BF88676529}" type="parTrans" cxnId="{ECE5A8F4-DB32-447E-A62D-10F50370BDCB}">
      <dgm:prSet/>
      <dgm:spPr/>
      <dgm:t>
        <a:bodyPr/>
        <a:lstStyle/>
        <a:p>
          <a:endParaRPr lang="en-US"/>
        </a:p>
      </dgm:t>
    </dgm:pt>
    <dgm:pt modelId="{9A1698F7-B213-4135-A53E-A15DBCF0759B}" type="sibTrans" cxnId="{ECE5A8F4-DB32-447E-A62D-10F50370BDCB}">
      <dgm:prSet/>
      <dgm:spPr>
        <a:xfrm rot="5400000">
          <a:off x="3029336" y="1010311"/>
          <a:ext cx="304026" cy="178765"/>
        </a:xfrm>
        <a:solidFill>
          <a:srgbClr val="C00000"/>
        </a:solidFill>
        <a:ln>
          <a:noFill/>
        </a:ln>
        <a:effectLst/>
      </dgm:spPr>
      <dgm:t>
        <a:bodyPr/>
        <a:lstStyle/>
        <a:p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9A0F5C27-68FA-4002-8C59-ABD6AF75064A}">
      <dgm:prSet phldrT="[Text]" custT="1"/>
      <dgm:spPr>
        <a:xfrm>
          <a:off x="1553580" y="1199008"/>
          <a:ext cx="3255538" cy="498013"/>
        </a:xfrm>
        <a:solidFill>
          <a:srgbClr val="5B9BD5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en-GB" sz="800" b="1">
              <a:solidFill>
                <a:sysClr val="window" lastClr="FFFFFF"/>
              </a:solidFill>
              <a:latin typeface="Cambria" panose="02040503050406030204" pitchFamily="18" charset="0"/>
              <a:ea typeface="+mn-ea"/>
              <a:cs typeface="+mn-cs"/>
            </a:rPr>
            <a:t>ETHICAL APPROVAL: </a:t>
          </a:r>
          <a:r>
            <a:rPr lang="en-US" sz="800" b="0">
              <a:latin typeface="Cambria" panose="02040503050406030204" pitchFamily="18" charset="0"/>
              <a:ea typeface="Cambria" panose="02040503050406030204" pitchFamily="18" charset="0"/>
            </a:rPr>
            <a:t>approval of the protocol by the ethics committee at Faculty of dentistry Islamic Azad University and Iran National Committee for Ethics in Biomedical Research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sz="800" b="0">
              <a:latin typeface="Cambria" panose="02040503050406030204" pitchFamily="18" charset="0"/>
              <a:ea typeface="Cambria" panose="02040503050406030204" pitchFamily="18" charset="0"/>
            </a:rPr>
            <a:t>(https://ethics.research.ac.ir/IR.IAU.DENTAL.REC.1401.120)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sz="800" b="0">
              <a:latin typeface="Cambria" panose="02040503050406030204" pitchFamily="18" charset="0"/>
              <a:ea typeface="Cambria" panose="02040503050406030204" pitchFamily="18" charset="0"/>
            </a:rPr>
            <a:t>(https://ethics.research.ac.ir/IR.IAU.DENTAL.REC.1401.055)</a:t>
          </a:r>
          <a:endParaRPr lang="en-US" sz="800" b="0">
            <a:solidFill>
              <a:sysClr val="window" lastClr="FFFFFF"/>
            </a:solidFill>
            <a:latin typeface="Cambria" panose="02040503050406030204" pitchFamily="18" charset="0"/>
            <a:ea typeface="Cambria" panose="02040503050406030204" pitchFamily="18" charset="0"/>
            <a:cs typeface="+mn-cs"/>
          </a:endParaRPr>
        </a:p>
      </dgm:t>
    </dgm:pt>
    <dgm:pt modelId="{22DBF1C7-0E6D-4A3F-A428-F26B087E1B9C}" type="parTrans" cxnId="{65B1F5A9-395E-4E1E-8ADB-B4890B4C79B9}">
      <dgm:prSet/>
      <dgm:spPr/>
      <dgm:t>
        <a:bodyPr/>
        <a:lstStyle/>
        <a:p>
          <a:endParaRPr lang="en-US"/>
        </a:p>
      </dgm:t>
    </dgm:pt>
    <dgm:pt modelId="{2E0D8B81-2D6B-4851-9EDD-BE9AA8CFEF4A}" type="sibTrans" cxnId="{65B1F5A9-395E-4E1E-8ADB-B4890B4C79B9}">
      <dgm:prSet/>
      <dgm:spPr>
        <a:xfrm rot="5400000">
          <a:off x="3029336" y="1706953"/>
          <a:ext cx="304026" cy="178765"/>
        </a:xfrm>
        <a:solidFill>
          <a:srgbClr val="C00000"/>
        </a:solidFill>
        <a:ln>
          <a:noFill/>
        </a:ln>
        <a:effectLst/>
      </dgm:spPr>
      <dgm:t>
        <a:bodyPr/>
        <a:lstStyle/>
        <a:p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B9857B6C-6A12-43BA-BB60-B5FDBADB7F6D}">
      <dgm:prSet phldrT="[Text]" custT="1"/>
      <dgm:spPr>
        <a:xfrm>
          <a:off x="1559865" y="1895650"/>
          <a:ext cx="3242969" cy="397257"/>
        </a:xfrm>
        <a:solidFill>
          <a:srgbClr val="5B9BD5">
            <a:lumMod val="60000"/>
            <a:lumOff val="4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800" b="1">
              <a:solidFill>
                <a:sysClr val="windowText" lastClr="000000"/>
              </a:solidFill>
              <a:latin typeface="Cambria" panose="02040503050406030204" pitchFamily="18" charset="0"/>
              <a:ea typeface="+mn-ea"/>
              <a:cs typeface="+mn-cs"/>
            </a:rPr>
            <a:t>SAMPLES: </a:t>
          </a:r>
          <a:r>
            <a:rPr lang="en-US" sz="8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DPSCs established from a biopsy of dental pulp of a 35-year-old female (cell name DPS-12) (cell No. IBRC C10896) were obtained from the Iranian Biological Resource Center (https://ibrc.ir). Expressing CD44 and CD90 </a:t>
          </a:r>
          <a:r>
            <a:rPr lang="en-GB" sz="800" b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rPr>
            <a:t> </a:t>
          </a:r>
          <a:endParaRPr lang="en-US" sz="800" b="1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  <a:cs typeface="+mn-cs"/>
          </a:endParaRPr>
        </a:p>
      </dgm:t>
    </dgm:pt>
    <dgm:pt modelId="{5AEE1F4D-91AB-4AEE-904C-0CEE10769DF3}" type="parTrans" cxnId="{EB62AD89-CC76-401E-8EAE-3CBB3A66B25B}">
      <dgm:prSet/>
      <dgm:spPr/>
      <dgm:t>
        <a:bodyPr/>
        <a:lstStyle/>
        <a:p>
          <a:endParaRPr lang="en-US"/>
        </a:p>
      </dgm:t>
    </dgm:pt>
    <dgm:pt modelId="{342E6AE4-572C-447C-A80E-1DC3FB86363D}" type="sibTrans" cxnId="{EB62AD89-CC76-401E-8EAE-3CBB3A66B25B}">
      <dgm:prSet/>
      <dgm:spPr>
        <a:xfrm rot="5400000">
          <a:off x="3029336" y="2302839"/>
          <a:ext cx="304026" cy="178765"/>
        </a:xfrm>
        <a:solidFill>
          <a:srgbClr val="C00000"/>
        </a:solidFill>
        <a:ln>
          <a:noFill/>
        </a:ln>
        <a:effectLst/>
      </dgm:spPr>
      <dgm:t>
        <a:bodyPr/>
        <a:lstStyle/>
        <a:p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4F6A22A2-82F1-4829-8F14-409B3EEBDA03}">
      <dgm:prSet phldrT="[Text]" custT="1"/>
      <dgm:spPr>
        <a:xfrm>
          <a:off x="1559865" y="2491536"/>
          <a:ext cx="3242969" cy="1057661"/>
        </a:xfrm>
        <a:solidFill>
          <a:srgbClr val="5B9BD5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lnSpc>
              <a:spcPct val="90000"/>
            </a:lnSpc>
            <a:spcAft>
              <a:spcPct val="35000"/>
            </a:spcAft>
          </a:pPr>
          <a:r>
            <a:rPr lang="en-GB" sz="800" b="1">
              <a:solidFill>
                <a:schemeClr val="tx1"/>
              </a:solidFill>
              <a:latin typeface="Cambria" panose="02040503050406030204" pitchFamily="18" charset="0"/>
              <a:ea typeface="+mn-ea"/>
              <a:cs typeface="+mn-cs"/>
            </a:rPr>
            <a:t>EXPERIMENTAL AND CONTROL GROUPS, INCLUDE INDEPENDENT VARIABLES </a:t>
          </a:r>
          <a:endParaRPr lang="en-MY" sz="800" b="1">
            <a:solidFill>
              <a:schemeClr val="tx1"/>
            </a:solidFill>
            <a:latin typeface="Cambria" panose="02040503050406030204" pitchFamily="18" charset="0"/>
            <a:ea typeface="+mn-ea"/>
            <a:cs typeface="+mn-cs"/>
          </a:endParaRPr>
        </a:p>
        <a:p>
          <a:pPr algn="just">
            <a:lnSpc>
              <a:spcPct val="100000"/>
            </a:lnSpc>
            <a:spcAft>
              <a:spcPts val="0"/>
            </a:spcAft>
          </a:pPr>
          <a:r>
            <a:rPr lang="en-US" sz="800" b="1" i="1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MTT Assay-</a:t>
          </a:r>
          <a:r>
            <a:rPr lang="en-US" sz="800" i="1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 </a:t>
          </a:r>
          <a:r>
            <a:rPr lang="en-US" sz="8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DPSCs cultured in proliferative medium were divided into 9 subgroups (</a:t>
          </a:r>
          <a:r>
            <a:rPr lang="en-US" sz="800" i="1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n</a:t>
          </a:r>
          <a:r>
            <a:rPr lang="en-US" sz="8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=7) including: </a:t>
          </a:r>
          <a:r>
            <a:rPr lang="en-US" sz="800" b="1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MTT-1-1</a:t>
          </a:r>
          <a:r>
            <a:rPr lang="en-US" sz="8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assessed for viability 1 day after single dose LLL irradiation,  </a:t>
          </a:r>
          <a:r>
            <a:rPr lang="en-US" sz="800" b="1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MTT-1-7</a:t>
          </a:r>
          <a:r>
            <a:rPr lang="en-US" sz="8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assessed for viability 7 days after single dose LLL irradiation,  </a:t>
          </a:r>
          <a:r>
            <a:rPr lang="en-US" sz="800" b="1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MTT-1-14</a:t>
          </a:r>
          <a:r>
            <a:rPr lang="en-US" sz="8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assessed for viability 14 days after single dose LLL irradiation,  </a:t>
          </a:r>
          <a:r>
            <a:rPr lang="en-US" sz="800" b="1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MTT-2-1</a:t>
          </a:r>
          <a:r>
            <a:rPr lang="en-US" sz="8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assessed for viability 1 day after double dose LLL irradiation 48 hours apart,  </a:t>
          </a:r>
          <a:r>
            <a:rPr lang="en-US" sz="800" b="1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MTT-2-7</a:t>
          </a:r>
          <a:r>
            <a:rPr lang="en-US" sz="8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assessed for viability 7 days after double dose LLL irradiation 48 hours apart,  </a:t>
          </a:r>
          <a:r>
            <a:rPr lang="en-US" sz="800" b="1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MTT-2-14</a:t>
          </a:r>
          <a:r>
            <a:rPr lang="en-US" sz="8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assessed for viability 14 days after double dose LLL irradiation 48 hours apart and, </a:t>
          </a:r>
          <a:r>
            <a:rPr lang="en-US" sz="800" b="1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negative control</a:t>
          </a:r>
          <a:r>
            <a:rPr lang="en-US" sz="8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 (</a:t>
          </a:r>
          <a:r>
            <a:rPr lang="en-US" sz="800" b="1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MTT-0-1, MTT-0-7, MTT-0-14</a:t>
          </a:r>
          <a:r>
            <a:rPr lang="en-US" sz="8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) DPSCs cultured in proliferative medium without LLLI that were assessed in days 1, 7 and 14 for viability.</a:t>
          </a:r>
        </a:p>
        <a:p>
          <a:pPr algn="just">
            <a:lnSpc>
              <a:spcPct val="100000"/>
            </a:lnSpc>
            <a:spcAft>
              <a:spcPts val="0"/>
            </a:spcAft>
          </a:pPr>
          <a:endParaRPr lang="en-US" sz="800">
            <a:solidFill>
              <a:schemeClr val="tx1"/>
            </a:solidFill>
            <a:latin typeface="Cambria" panose="02040503050406030204" pitchFamily="18" charset="0"/>
            <a:ea typeface="Cambria" panose="02040503050406030204" pitchFamily="18" charset="0"/>
          </a:endParaRPr>
        </a:p>
        <a:p>
          <a:pPr algn="just">
            <a:lnSpc>
              <a:spcPct val="100000"/>
            </a:lnSpc>
            <a:spcAft>
              <a:spcPts val="0"/>
            </a:spcAft>
          </a:pPr>
          <a:r>
            <a:rPr lang="en-US" sz="800" b="1" i="1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ELISA for expression of DSP- </a:t>
          </a:r>
          <a:r>
            <a:rPr lang="en-US" sz="8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DPSCs were culture in osteogenic medium and divided into 9 subgroups (</a:t>
          </a:r>
          <a:r>
            <a:rPr lang="en-US" sz="800" i="1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n</a:t>
          </a:r>
          <a:r>
            <a:rPr lang="en-US" sz="8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=7) including:</a:t>
          </a:r>
        </a:p>
        <a:p>
          <a:pPr algn="just">
            <a:lnSpc>
              <a:spcPct val="100000"/>
            </a:lnSpc>
            <a:spcAft>
              <a:spcPts val="0"/>
            </a:spcAft>
          </a:pPr>
          <a:r>
            <a:rPr lang="en-US" sz="800" b="1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DSP-1-1</a:t>
          </a:r>
          <a:r>
            <a:rPr lang="en-US" sz="8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DPSC assessed for DSP production 1 day after single dose LLL irradiation, </a:t>
          </a:r>
          <a:r>
            <a:rPr lang="en-US" sz="800" b="1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DSP-1-7</a:t>
          </a:r>
          <a:r>
            <a:rPr lang="en-US" sz="8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DPSC assessed for DSP production 7 days after single dose LLL irradiation, </a:t>
          </a:r>
          <a:r>
            <a:rPr lang="en-US" sz="800" b="1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DSP-1-14</a:t>
          </a:r>
          <a:r>
            <a:rPr lang="en-US" sz="8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DPSC assessed for DSP production 14 days after single dose LLL irradiation, </a:t>
          </a:r>
          <a:r>
            <a:rPr lang="en-US" sz="800" b="1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DSP-2-1</a:t>
          </a:r>
          <a:r>
            <a:rPr lang="en-US" sz="8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DPSC assessed for DSP production 1 day after double dose LLL irradiation 48 hours apart, </a:t>
          </a:r>
          <a:r>
            <a:rPr lang="en-US" sz="800" b="1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DSP-2-7</a:t>
          </a:r>
          <a:r>
            <a:rPr lang="en-US" sz="8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DPSC assessed for DSP production 7 day after double dose LLL irradiation 48 hours apart, </a:t>
          </a:r>
          <a:r>
            <a:rPr lang="en-US" sz="800" b="1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DSP-2-14</a:t>
          </a:r>
          <a:r>
            <a:rPr lang="en-US" sz="8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DPSC assessed for DSP production 14 day after double dose LLL irradiation 48 hours apart and, </a:t>
          </a:r>
          <a:r>
            <a:rPr lang="en-US" sz="800" b="1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negative control</a:t>
          </a:r>
          <a:r>
            <a:rPr lang="en-US" sz="8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 (</a:t>
          </a:r>
          <a:r>
            <a:rPr lang="en-US" sz="800" b="1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DSP-0-1, DSP-0-7, DSP-0-14</a:t>
          </a:r>
          <a:r>
            <a:rPr lang="en-US" sz="8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) DPSCs cultured in proliferative medium without LLLI that were assessed in days 1, 7 and 14 for DSP production.</a:t>
          </a:r>
        </a:p>
        <a:p>
          <a:pPr algn="just">
            <a:lnSpc>
              <a:spcPct val="100000"/>
            </a:lnSpc>
            <a:spcAft>
              <a:spcPts val="0"/>
            </a:spcAft>
          </a:pPr>
          <a:endParaRPr lang="en-US" sz="800" i="0">
            <a:solidFill>
              <a:schemeClr val="tx1"/>
            </a:solidFill>
            <a:latin typeface="Cambria" panose="02040503050406030204" pitchFamily="18" charset="0"/>
            <a:ea typeface="Cambria" panose="02040503050406030204" pitchFamily="18" charset="0"/>
          </a:endParaRPr>
        </a:p>
        <a:p>
          <a:pPr algn="just">
            <a:lnSpc>
              <a:spcPct val="100000"/>
            </a:lnSpc>
            <a:spcAft>
              <a:spcPts val="0"/>
            </a:spcAft>
          </a:pPr>
          <a:r>
            <a:rPr lang="en-US" sz="800" b="1" i="1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ELISA for expression of VEGF</a:t>
          </a:r>
          <a:r>
            <a:rPr lang="en-US" sz="800" i="1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 -</a:t>
          </a:r>
          <a:r>
            <a:rPr lang="en-US" sz="8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DPSCs were cultured in proliferative medium and divided into 9 subgroups (</a:t>
          </a:r>
          <a:r>
            <a:rPr lang="en-US" sz="800" i="1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n</a:t>
          </a:r>
          <a:r>
            <a:rPr lang="en-US" sz="8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=7) including:</a:t>
          </a:r>
        </a:p>
        <a:p>
          <a:pPr algn="just">
            <a:lnSpc>
              <a:spcPct val="100000"/>
            </a:lnSpc>
            <a:spcAft>
              <a:spcPts val="0"/>
            </a:spcAft>
          </a:pPr>
          <a:r>
            <a:rPr lang="en-US" sz="800" b="1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VEGF-1-1</a:t>
          </a:r>
          <a:r>
            <a:rPr lang="en-US" sz="8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DPSCs assessed for VEGF production 1 day after single dose LLL irradiation, </a:t>
          </a:r>
          <a:r>
            <a:rPr lang="en-US" sz="800" b="1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VEGF-1-7</a:t>
          </a:r>
          <a:r>
            <a:rPr lang="en-US" sz="8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DPSCs assessed for VEGF production 7 days after single dose LLL irradiation, </a:t>
          </a:r>
          <a:r>
            <a:rPr lang="en-US" sz="800" b="1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VEGF-1-14</a:t>
          </a:r>
          <a:r>
            <a:rPr lang="en-US" sz="8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DPSCs assessed for VEGF production 14 days after single dose LLL irradiation, </a:t>
          </a:r>
          <a:r>
            <a:rPr lang="en-US" sz="800" b="1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VEGF-2-1</a:t>
          </a:r>
          <a:r>
            <a:rPr lang="en-US" sz="8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DPSCs assessed for VEGF production 1 day after double dose LLL irradiation 48 hours apart, </a:t>
          </a:r>
          <a:r>
            <a:rPr lang="en-US" sz="800" b="1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VEGF-2-7</a:t>
          </a:r>
          <a:r>
            <a:rPr lang="en-US" sz="8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DPSCs assessed for VEGF production 7 days after double dose LLL irradiation 48 hours apart, </a:t>
          </a:r>
          <a:r>
            <a:rPr lang="en-US" sz="800" b="1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VEGF-2-14</a:t>
          </a:r>
          <a:r>
            <a:rPr lang="en-US" sz="8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DPSCs assessed for VEGF production 14 day after double dose LLL irradiation 48 hours apart and, </a:t>
          </a:r>
          <a:r>
            <a:rPr lang="en-US" sz="800" b="1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negative control</a:t>
          </a:r>
          <a:r>
            <a:rPr lang="en-US" sz="8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 (</a:t>
          </a:r>
          <a:r>
            <a:rPr lang="en-US" sz="800" b="1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VEGF-0-1, VEGF-0-7, VEGF-0-14</a:t>
          </a:r>
          <a:r>
            <a:rPr lang="en-US" sz="8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)DPSCs cultured in proliferative medium without LLLI that were assessed in days 1, 7 and 14 for VEGF production</a:t>
          </a:r>
          <a:endParaRPr lang="en-US" sz="800" b="1">
            <a:solidFill>
              <a:schemeClr val="tx1"/>
            </a:solidFill>
            <a:latin typeface="Cambria" panose="02040503050406030204" pitchFamily="18" charset="0"/>
            <a:ea typeface="Cambria" panose="02040503050406030204" pitchFamily="18" charset="0"/>
            <a:cs typeface="+mn-cs"/>
          </a:endParaRPr>
        </a:p>
      </dgm:t>
    </dgm:pt>
    <dgm:pt modelId="{0D96596B-8920-4738-826D-CCAE0C08F209}" type="parTrans" cxnId="{75F6F402-465D-406F-9541-79C851346C63}">
      <dgm:prSet/>
      <dgm:spPr/>
      <dgm:t>
        <a:bodyPr/>
        <a:lstStyle/>
        <a:p>
          <a:endParaRPr lang="en-US"/>
        </a:p>
      </dgm:t>
    </dgm:pt>
    <dgm:pt modelId="{BD5DE701-E382-4362-A665-87A5AA4D2C61}" type="sibTrans" cxnId="{75F6F402-465D-406F-9541-79C851346C63}">
      <dgm:prSet/>
      <dgm:spPr>
        <a:xfrm rot="5400000">
          <a:off x="3029336" y="3559129"/>
          <a:ext cx="304026" cy="178765"/>
        </a:xfrm>
        <a:solidFill>
          <a:srgbClr val="C00000"/>
        </a:solidFill>
        <a:ln>
          <a:noFill/>
        </a:ln>
        <a:effectLst/>
      </dgm:spPr>
      <dgm:t>
        <a:bodyPr/>
        <a:lstStyle/>
        <a:p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938BBC2B-7E1B-449C-91C6-2BE9D41C60FA}">
      <dgm:prSet phldrT="[Text]" custT="1"/>
      <dgm:spPr>
        <a:xfrm>
          <a:off x="1559865" y="3747826"/>
          <a:ext cx="3242969" cy="598988"/>
        </a:xfrm>
        <a:solidFill>
          <a:srgbClr val="5B9BD5">
            <a:lumMod val="60000"/>
            <a:lumOff val="4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ct val="90000"/>
            </a:lnSpc>
            <a:spcAft>
              <a:spcPct val="35000"/>
            </a:spcAft>
          </a:pPr>
          <a:r>
            <a:rPr lang="en-GB" sz="800" b="1">
              <a:solidFill>
                <a:sysClr val="windowText" lastClr="000000"/>
              </a:solidFill>
              <a:latin typeface="Cambria" panose="02040503050406030204" pitchFamily="18" charset="0"/>
              <a:ea typeface="+mn-ea"/>
              <a:cs typeface="+mn-cs"/>
            </a:rPr>
            <a:t>OUTCOME(S) ASSESSED, INCLUDE DEPENDENT VARIABLES AND TYPE</a:t>
          </a:r>
          <a:endParaRPr lang="en-MY" sz="800" b="1">
            <a:solidFill>
              <a:sysClr val="windowText" lastClr="000000"/>
            </a:solidFill>
            <a:latin typeface="Cambria" panose="02040503050406030204" pitchFamily="18" charset="0"/>
            <a:ea typeface="+mn-ea"/>
            <a:cs typeface="+mn-cs"/>
          </a:endParaRPr>
        </a:p>
        <a:p>
          <a:pPr>
            <a:lnSpc>
              <a:spcPct val="100000"/>
            </a:lnSpc>
            <a:spcAft>
              <a:spcPts val="0"/>
            </a:spcAft>
          </a:pPr>
          <a:r>
            <a:rPr lang="en-GB" sz="800" b="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rPr>
            <a:t>(1-</a:t>
          </a:r>
          <a:r>
            <a:rPr lang="en-US" sz="800" b="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proliferation and viability of DPSCs after LLLI through the </a:t>
          </a:r>
          <a:r>
            <a:rPr lang="en-US" sz="800" b="0">
              <a:latin typeface="Cambria" panose="02040503050406030204" pitchFamily="18" charset="0"/>
              <a:ea typeface="Cambria" panose="02040503050406030204" pitchFamily="18" charset="0"/>
            </a:rPr>
            <a:t> </a:t>
          </a:r>
          <a:r>
            <a:rPr lang="en-GB" sz="800" b="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rPr>
            <a:t>)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GB" sz="800" b="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rPr>
            <a:t>(2-</a:t>
          </a:r>
          <a:r>
            <a:rPr lang="en-US" sz="800" b="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Dentinogenic activity of DPSCs after LLLI through the ELISA reading for DSP</a:t>
          </a:r>
          <a:r>
            <a:rPr lang="en-US" sz="800" b="0">
              <a:latin typeface="Cambria" panose="02040503050406030204" pitchFamily="18" charset="0"/>
              <a:ea typeface="Cambria" panose="02040503050406030204" pitchFamily="18" charset="0"/>
            </a:rPr>
            <a:t> </a:t>
          </a:r>
          <a:r>
            <a:rPr lang="en-GB" sz="800" b="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rPr>
            <a:t>)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GB" sz="800" b="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rPr>
            <a:t>(3-</a:t>
          </a:r>
          <a:r>
            <a:rPr lang="en-US" sz="800" b="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Angiogenic activity of DPSCs after LLLI through the ELISA reading for VEGF</a:t>
          </a:r>
          <a:r>
            <a:rPr lang="en-US" sz="800" b="0">
              <a:latin typeface="Cambria" panose="02040503050406030204" pitchFamily="18" charset="0"/>
              <a:ea typeface="Cambria" panose="02040503050406030204" pitchFamily="18" charset="0"/>
            </a:rPr>
            <a:t> </a:t>
          </a:r>
          <a:r>
            <a:rPr lang="en-GB" sz="800" b="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rPr>
            <a:t>)</a:t>
          </a:r>
          <a:endParaRPr lang="en-US" sz="800" b="0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  <a:cs typeface="+mn-cs"/>
          </a:endParaRPr>
        </a:p>
      </dgm:t>
    </dgm:pt>
    <dgm:pt modelId="{A5D03461-B776-4636-9E20-AB67649C483C}" type="parTrans" cxnId="{C200D42D-E6CA-4BCD-99B6-E7A5CF82BFC3}">
      <dgm:prSet/>
      <dgm:spPr/>
      <dgm:t>
        <a:bodyPr/>
        <a:lstStyle/>
        <a:p>
          <a:endParaRPr lang="en-US"/>
        </a:p>
      </dgm:t>
    </dgm:pt>
    <dgm:pt modelId="{37D28E65-2B40-4CFB-B95C-499C0C82BAF6}" type="sibTrans" cxnId="{C200D42D-E6CA-4BCD-99B6-E7A5CF82BFC3}">
      <dgm:prSet/>
      <dgm:spPr>
        <a:xfrm rot="5400000">
          <a:off x="3029336" y="4356746"/>
          <a:ext cx="304026" cy="178765"/>
        </a:xfrm>
        <a:solidFill>
          <a:srgbClr val="C00000"/>
        </a:solidFill>
        <a:ln>
          <a:noFill/>
        </a:ln>
        <a:effectLst/>
      </dgm:spPr>
      <dgm:t>
        <a:bodyPr/>
        <a:lstStyle/>
        <a:p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5970A6E3-19EF-4D45-93B0-8FFBE9B0FF04}">
      <dgm:prSet phldrT="[Text]" custT="1"/>
      <dgm:spPr>
        <a:xfrm>
          <a:off x="1559865" y="4545443"/>
          <a:ext cx="3242969" cy="516299"/>
        </a:xfrm>
        <a:solidFill>
          <a:srgbClr val="5B9BD5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 rtl="0">
            <a:lnSpc>
              <a:spcPct val="100000"/>
            </a:lnSpc>
            <a:spcAft>
              <a:spcPts val="0"/>
            </a:spcAft>
          </a:pPr>
          <a:r>
            <a:rPr lang="en-GB" sz="800" b="1">
              <a:solidFill>
                <a:schemeClr val="tx1"/>
              </a:solidFill>
              <a:latin typeface="Cambria" panose="02040503050406030204" pitchFamily="18" charset="0"/>
              <a:ea typeface="+mn-ea"/>
              <a:cs typeface="+mn-cs"/>
            </a:rPr>
            <a:t>METHOD USED TO ASSESS THE OUTCOME (S) AND WHO ASSESSED THE OUTCOME(S) </a:t>
          </a:r>
        </a:p>
        <a:p>
          <a:pPr algn="ctr" rtl="0">
            <a:lnSpc>
              <a:spcPct val="100000"/>
            </a:lnSpc>
            <a:spcAft>
              <a:spcPts val="0"/>
            </a:spcAft>
          </a:pPr>
          <a:r>
            <a:rPr lang="en-US" sz="800" b="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MTT colorimetric reaction assay for proliferation and viability </a:t>
          </a:r>
          <a:r>
            <a:rPr lang="en-US" sz="800" b="0" i="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- </a:t>
          </a:r>
          <a:r>
            <a:rPr lang="en-GB" sz="800" b="0" i="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rPr>
            <a:t>by laboratory staff</a:t>
          </a:r>
        </a:p>
        <a:p>
          <a:pPr algn="ctr" rtl="0">
            <a:lnSpc>
              <a:spcPct val="100000"/>
            </a:lnSpc>
            <a:spcAft>
              <a:spcPts val="0"/>
            </a:spcAft>
          </a:pPr>
          <a:r>
            <a:rPr lang="en-US" sz="800" b="0" i="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ELISA for expression of DSP-</a:t>
          </a:r>
          <a:r>
            <a:rPr lang="en-GB" sz="800" b="0" i="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rPr>
            <a:t>by laboratory staff</a:t>
          </a:r>
          <a:endParaRPr lang="en-US" sz="800" b="0" i="0">
            <a:solidFill>
              <a:schemeClr val="tx1"/>
            </a:solidFill>
            <a:latin typeface="Cambria" panose="02040503050406030204" pitchFamily="18" charset="0"/>
            <a:ea typeface="Cambria" panose="02040503050406030204" pitchFamily="18" charset="0"/>
          </a:endParaRPr>
        </a:p>
        <a:p>
          <a:pPr algn="ctr" rtl="0">
            <a:lnSpc>
              <a:spcPct val="100000"/>
            </a:lnSpc>
            <a:spcAft>
              <a:spcPts val="0"/>
            </a:spcAft>
          </a:pPr>
          <a:r>
            <a:rPr lang="en-US" sz="800" b="0" i="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ELISA for expression of VEGF-</a:t>
          </a:r>
          <a:r>
            <a:rPr lang="en-GB" sz="800" b="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rPr>
            <a:t>by laboratory staff</a:t>
          </a:r>
          <a:endParaRPr lang="en-US" sz="800" b="0" i="1">
            <a:solidFill>
              <a:schemeClr val="tx1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7C25EB63-A187-4DEE-850F-EA5C75C419DC}" type="parTrans" cxnId="{C1A85F05-22CA-4683-AE84-0581785CC266}">
      <dgm:prSet/>
      <dgm:spPr/>
      <dgm:t>
        <a:bodyPr/>
        <a:lstStyle/>
        <a:p>
          <a:endParaRPr lang="en-US"/>
        </a:p>
      </dgm:t>
    </dgm:pt>
    <dgm:pt modelId="{3E53770D-3038-48E8-A9D2-A6DFC0666668}" type="sibTrans" cxnId="{C1A85F05-22CA-4683-AE84-0581785CC266}">
      <dgm:prSet/>
      <dgm:spPr>
        <a:xfrm rot="5400000">
          <a:off x="3029336" y="5071674"/>
          <a:ext cx="304026" cy="178765"/>
        </a:xfrm>
        <a:solidFill>
          <a:srgbClr val="C00000"/>
        </a:solidFill>
        <a:ln>
          <a:noFill/>
        </a:ln>
        <a:effectLst/>
      </dgm:spPr>
      <dgm:t>
        <a:bodyPr/>
        <a:lstStyle/>
        <a:p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DFD595CD-F55D-43FC-A64D-3234711C862E}">
      <dgm:prSet phldrT="[Text]" custT="1"/>
      <dgm:spPr>
        <a:xfrm>
          <a:off x="1559865" y="5260371"/>
          <a:ext cx="3242969" cy="397257"/>
        </a:xfrm>
        <a:solidFill>
          <a:srgbClr val="5B9BD5">
            <a:lumMod val="60000"/>
            <a:lumOff val="4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en-GB" sz="800" b="1">
              <a:solidFill>
                <a:sysClr val="windowText" lastClr="000000"/>
              </a:solidFill>
              <a:latin typeface="Cambria" panose="02040503050406030204" pitchFamily="18" charset="0"/>
              <a:ea typeface="+mn-ea"/>
              <a:cs typeface="+mn-cs"/>
            </a:rPr>
            <a:t>RESULTS </a:t>
          </a:r>
          <a:endParaRPr lang="en-MY" sz="800" b="1">
            <a:solidFill>
              <a:sysClr val="windowText" lastClr="000000"/>
            </a:solidFill>
            <a:latin typeface="Cambria" panose="02040503050406030204" pitchFamily="18" charset="0"/>
            <a:ea typeface="+mn-ea"/>
            <a:cs typeface="+mn-cs"/>
          </a:endParaRP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sz="8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Single and double doses of LLLI caused an increase in proliferative activity of DPSCs.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sz="8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Single and double doses of LLLI caused an increase in dentinogenic differentiation of DPSCs in osteogenic medium.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sz="8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Single and double doses of LLLI caused an increase in angiogenic differentiation of DPSCs.</a:t>
          </a:r>
          <a:endParaRPr lang="en-US" sz="800" b="1">
            <a:solidFill>
              <a:schemeClr val="tx1"/>
            </a:solidFill>
            <a:latin typeface="Cambria" panose="02040503050406030204" pitchFamily="18" charset="0"/>
            <a:ea typeface="Cambria" panose="02040503050406030204" pitchFamily="18" charset="0"/>
            <a:cs typeface="+mn-cs"/>
          </a:endParaRPr>
        </a:p>
      </dgm:t>
    </dgm:pt>
    <dgm:pt modelId="{F0023E8A-EAED-4D24-8F65-A5E74A7D1F07}" type="parTrans" cxnId="{AB1ADA3E-3075-41C1-A93A-093A2318D3CC}">
      <dgm:prSet/>
      <dgm:spPr/>
      <dgm:t>
        <a:bodyPr/>
        <a:lstStyle/>
        <a:p>
          <a:endParaRPr lang="en-US"/>
        </a:p>
      </dgm:t>
    </dgm:pt>
    <dgm:pt modelId="{F9D0416C-50BA-49E3-925C-51D33B80AD85}" type="sibTrans" cxnId="{AB1ADA3E-3075-41C1-A93A-093A2318D3CC}">
      <dgm:prSet/>
      <dgm:spPr>
        <a:xfrm rot="5367393">
          <a:off x="3082738" y="5634308"/>
          <a:ext cx="202244" cy="178765"/>
        </a:xfrm>
        <a:solidFill>
          <a:srgbClr val="C00000"/>
        </a:solidFill>
        <a:ln>
          <a:noFill/>
        </a:ln>
        <a:effectLst/>
      </dgm:spPr>
      <dgm:t>
        <a:bodyPr/>
        <a:lstStyle/>
        <a:p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B99222E-7587-4E0D-91CF-38ACB0F59BDA}">
      <dgm:prSet phldrT="[Text]" custT="1"/>
      <dgm:spPr>
        <a:xfrm>
          <a:off x="1564886" y="5789754"/>
          <a:ext cx="3242969" cy="397257"/>
        </a:xfrm>
        <a:solidFill>
          <a:srgbClr val="5B9BD5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800" b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rPr>
            <a:t>CONCLUSION(S</a:t>
          </a:r>
          <a:r>
            <a:rPr lang="en-GB" sz="8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rPr>
            <a:t> )</a:t>
          </a:r>
        </a:p>
        <a:p>
          <a:r>
            <a:rPr lang="en-US" sz="8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LLLI with 660-nm diode laser, can enhance the mitochondrial activity and proliferation of DPSCs. Also increased production of DSP and VEGF can be expected as an indicator of dentinogenic activity and angiogenesis.</a:t>
          </a:r>
          <a:endParaRPr lang="en-GB" sz="800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  <a:cs typeface="+mn-cs"/>
          </a:endParaRPr>
        </a:p>
      </dgm:t>
    </dgm:pt>
    <dgm:pt modelId="{8A2A1B41-AF48-43FA-91BF-8AF01C197756}" type="parTrans" cxnId="{53C1485C-6C38-484D-B90E-4048457DFEA4}">
      <dgm:prSet/>
      <dgm:spPr/>
      <dgm:t>
        <a:bodyPr/>
        <a:lstStyle/>
        <a:p>
          <a:endParaRPr lang="en-US"/>
        </a:p>
      </dgm:t>
    </dgm:pt>
    <dgm:pt modelId="{991F6BBA-70A9-4C6E-9F95-6449162A5BF4}" type="sibTrans" cxnId="{53C1485C-6C38-484D-B90E-4048457DFEA4}">
      <dgm:prSet/>
      <dgm:spPr>
        <a:xfrm rot="5428170">
          <a:off x="2980741" y="6230194"/>
          <a:ext cx="405831" cy="178765"/>
        </a:xfrm>
        <a:solidFill>
          <a:srgbClr val="C00000"/>
        </a:solidFill>
        <a:ln>
          <a:noFill/>
        </a:ln>
        <a:effectLst/>
      </dgm:spPr>
      <dgm:t>
        <a:bodyPr/>
        <a:lstStyle/>
        <a:p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E99E11E6-7831-4A4E-A5D7-183B6D29E065}">
      <dgm:prSet phldrT="[Text]" custT="1"/>
      <dgm:spPr>
        <a:xfrm>
          <a:off x="1559865" y="6452142"/>
          <a:ext cx="3242969" cy="298034"/>
        </a:xfrm>
        <a:solidFill>
          <a:srgbClr val="5B9BD5">
            <a:lumMod val="60000"/>
            <a:lumOff val="4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800" b="1">
              <a:solidFill>
                <a:sysClr val="windowText" lastClr="000000"/>
              </a:solidFill>
              <a:latin typeface="Cambria" panose="02040503050406030204" pitchFamily="18" charset="0"/>
              <a:ea typeface="+mn-ea"/>
              <a:cs typeface="+mn-cs"/>
            </a:rPr>
            <a:t>FUNDING DETAILS</a:t>
          </a:r>
        </a:p>
        <a:p>
          <a:r>
            <a:rPr lang="en-GB" sz="800" b="1">
              <a:solidFill>
                <a:sysClr val="windowText" lastClr="000000"/>
              </a:solidFill>
              <a:latin typeface="Cambria" panose="02040503050406030204" pitchFamily="18" charset="0"/>
              <a:ea typeface="+mn-ea"/>
              <a:cs typeface="+mn-cs"/>
            </a:rPr>
            <a:t>nonne</a:t>
          </a:r>
          <a:endParaRPr lang="en-US" sz="800" b="1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  <a:cs typeface="+mn-cs"/>
          </a:endParaRPr>
        </a:p>
      </dgm:t>
    </dgm:pt>
    <dgm:pt modelId="{D602A0ED-1AFB-4B0E-9D3D-191F6DC9A5EF}" type="parTrans" cxnId="{0E408679-A36F-4DD4-B108-71A68453BC3A}">
      <dgm:prSet/>
      <dgm:spPr/>
      <dgm:t>
        <a:bodyPr/>
        <a:lstStyle/>
        <a:p>
          <a:endParaRPr lang="en-US"/>
        </a:p>
      </dgm:t>
    </dgm:pt>
    <dgm:pt modelId="{D9926B12-C352-4345-BB7A-B9E0759E71ED}" type="sibTrans" cxnId="{0E408679-A36F-4DD4-B108-71A68453BC3A}">
      <dgm:prSet/>
      <dgm:spPr>
        <a:xfrm rot="5400000">
          <a:off x="3029336" y="6760108"/>
          <a:ext cx="304026" cy="178765"/>
        </a:xfrm>
        <a:solidFill>
          <a:srgbClr val="C00000"/>
        </a:solidFill>
        <a:ln>
          <a:noFill/>
        </a:ln>
        <a:effectLst/>
      </dgm:spPr>
      <dgm:t>
        <a:bodyPr/>
        <a:lstStyle/>
        <a:p>
          <a:endParaRPr lang="en-US">
            <a:solidFill>
              <a:srgbClr val="FF0000"/>
            </a:solidFill>
            <a:latin typeface="Calibri" panose="020F0502020204030204"/>
            <a:ea typeface="+mn-ea"/>
            <a:cs typeface="+mn-cs"/>
          </a:endParaRPr>
        </a:p>
      </dgm:t>
    </dgm:pt>
    <dgm:pt modelId="{2FB100AB-46D8-412F-8313-2C8A251FFF76}">
      <dgm:prSet phldrT="[Text]" custT="1"/>
      <dgm:spPr>
        <a:xfrm>
          <a:off x="1559865" y="6948805"/>
          <a:ext cx="3242969" cy="397257"/>
        </a:xfrm>
        <a:solidFill>
          <a:srgbClr val="5B9BD5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800" b="1">
              <a:solidFill>
                <a:sysClr val="window" lastClr="FFFFFF"/>
              </a:solidFill>
              <a:latin typeface="Cambria" panose="02040503050406030204" pitchFamily="18" charset="0"/>
              <a:ea typeface="+mn-ea"/>
              <a:cs typeface="+mn-cs"/>
            </a:rPr>
            <a:t>CONFLICT OF INTEREST</a:t>
          </a:r>
        </a:p>
        <a:p>
          <a:r>
            <a:rPr lang="en-GB" sz="800" b="1">
              <a:solidFill>
                <a:sysClr val="window" lastClr="FFFFFF"/>
              </a:solidFill>
              <a:latin typeface="Cambria" panose="02040503050406030204" pitchFamily="18" charset="0"/>
              <a:ea typeface="+mn-ea"/>
              <a:cs typeface="+mn-cs"/>
            </a:rPr>
            <a:t>none declared</a:t>
          </a:r>
          <a:endParaRPr lang="en-US" sz="800" b="1">
            <a:solidFill>
              <a:sysClr val="window" lastClr="FFFFFF"/>
            </a:solidFill>
            <a:latin typeface="Cambria" panose="02040503050406030204" pitchFamily="18" charset="0"/>
            <a:ea typeface="Cambria" panose="02040503050406030204" pitchFamily="18" charset="0"/>
            <a:cs typeface="+mn-cs"/>
          </a:endParaRPr>
        </a:p>
      </dgm:t>
    </dgm:pt>
    <dgm:pt modelId="{360C805A-8E29-4FCF-91C2-53FAE296E92E}" type="parTrans" cxnId="{4BD1AA01-08C0-4A36-8A10-0728078A8113}">
      <dgm:prSet/>
      <dgm:spPr/>
      <dgm:t>
        <a:bodyPr/>
        <a:lstStyle/>
        <a:p>
          <a:endParaRPr lang="en-US"/>
        </a:p>
      </dgm:t>
    </dgm:pt>
    <dgm:pt modelId="{A2C1B24D-A7BA-49EB-9206-E5A88852DFDE}" type="sibTrans" cxnId="{4BD1AA01-08C0-4A36-8A10-0728078A8113}">
      <dgm:prSet/>
      <dgm:spPr>
        <a:solidFill>
          <a:srgbClr val="C00000"/>
        </a:solidFill>
      </dgm:spPr>
      <dgm:t>
        <a:bodyPr/>
        <a:lstStyle/>
        <a:p>
          <a:endParaRPr lang="en-US"/>
        </a:p>
      </dgm:t>
    </dgm:pt>
    <dgm:pt modelId="{2D0D12BD-55F0-4E0E-B355-37810D3DBA41}" type="pres">
      <dgm:prSet presAssocID="{0DAE7B1B-2A6E-4801-A0EB-1EC5156CE40C}" presName="linearFlow" presStyleCnt="0">
        <dgm:presLayoutVars>
          <dgm:resizeHandles val="exact"/>
        </dgm:presLayoutVars>
      </dgm:prSet>
      <dgm:spPr/>
    </dgm:pt>
    <dgm:pt modelId="{68BFF9F1-F4F1-4694-B513-6A4AC969DB97}" type="pres">
      <dgm:prSet presAssocID="{89CFBC19-08C9-40F1-A2F0-2C6DA6A2375E}" presName="node" presStyleLbl="node1" presStyleIdx="0" presStyleCnt="11" custScaleX="862295" custScaleY="89012" custLinFactY="-6232" custLinFactNeighborX="-935" custLinFactNeighborY="-100000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A008AFAD-8763-43CC-B4B0-800AC61B707E}" type="pres">
      <dgm:prSet presAssocID="{797F4678-DAB5-4A89-8E5F-183B93901ECA}" presName="sibTrans" presStyleLbl="sibTrans2D1" presStyleIdx="0" presStyleCnt="10" custScaleX="144340" custScaleY="183547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en-US"/>
        </a:p>
      </dgm:t>
    </dgm:pt>
    <dgm:pt modelId="{A3335E7F-547E-4AE8-8886-AC60F8BD53D4}" type="pres">
      <dgm:prSet presAssocID="{797F4678-DAB5-4A89-8E5F-183B93901ECA}" presName="connectorText" presStyleLbl="sibTrans2D1" presStyleIdx="0" presStyleCnt="10"/>
      <dgm:spPr/>
      <dgm:t>
        <a:bodyPr/>
        <a:lstStyle/>
        <a:p>
          <a:endParaRPr lang="en-US"/>
        </a:p>
      </dgm:t>
    </dgm:pt>
    <dgm:pt modelId="{26005CB1-ED9B-4DCF-8922-599240D7EA4D}" type="pres">
      <dgm:prSet presAssocID="{EAD8216F-702E-487F-AFD5-108EB3F451C2}" presName="node" presStyleLbl="node1" presStyleIdx="1" presStyleCnt="11" custScaleX="864165" custScaleY="106166" custLinFactNeighborY="-44053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A3A86A7B-3928-4EC9-B4E3-35E18B24ADFD}" type="pres">
      <dgm:prSet presAssocID="{9A1698F7-B213-4135-A53E-A15DBCF0759B}" presName="sibTrans" presStyleLbl="sibTrans2D1" presStyleIdx="1" presStyleCnt="10" custScaleX="144340" custScaleY="183547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en-US"/>
        </a:p>
      </dgm:t>
    </dgm:pt>
    <dgm:pt modelId="{DCAAC258-48CC-474F-A881-B930A497F7AC}" type="pres">
      <dgm:prSet presAssocID="{9A1698F7-B213-4135-A53E-A15DBCF0759B}" presName="connectorText" presStyleLbl="sibTrans2D1" presStyleIdx="1" presStyleCnt="10"/>
      <dgm:spPr/>
      <dgm:t>
        <a:bodyPr/>
        <a:lstStyle/>
        <a:p>
          <a:endParaRPr lang="en-US"/>
        </a:p>
      </dgm:t>
    </dgm:pt>
    <dgm:pt modelId="{7C9A11F9-3BCA-44DF-8A46-5EBEC8D5CACF}" type="pres">
      <dgm:prSet presAssocID="{9A0F5C27-68FA-4002-8C59-ABD6AF75064A}" presName="node" presStyleLbl="node1" presStyleIdx="2" presStyleCnt="11" custScaleX="864126" custScaleY="139631" custLinFactNeighborX="20" custLinFactNeighborY="-66954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FB1AA4B2-9C96-4AE3-B188-EF636297C157}" type="pres">
      <dgm:prSet presAssocID="{2E0D8B81-2D6B-4851-9EDD-BE9AA8CFEF4A}" presName="sibTrans" presStyleLbl="sibTrans2D1" presStyleIdx="2" presStyleCnt="10" custScaleX="149653" custScaleY="205685" custLinFactNeighborX="5287" custLinFactNeighborY="5609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en-US"/>
        </a:p>
      </dgm:t>
    </dgm:pt>
    <dgm:pt modelId="{385D2F90-4151-47EA-A54E-DD3E788ABCF3}" type="pres">
      <dgm:prSet presAssocID="{2E0D8B81-2D6B-4851-9EDD-BE9AA8CFEF4A}" presName="connectorText" presStyleLbl="sibTrans2D1" presStyleIdx="2" presStyleCnt="10"/>
      <dgm:spPr/>
      <dgm:t>
        <a:bodyPr/>
        <a:lstStyle/>
        <a:p>
          <a:endParaRPr lang="en-US"/>
        </a:p>
      </dgm:t>
    </dgm:pt>
    <dgm:pt modelId="{5361DEA8-8F33-45AA-A45C-E6095E23C596}" type="pres">
      <dgm:prSet presAssocID="{B9857B6C-6A12-43BA-BB60-B5FDBADB7F6D}" presName="node" presStyleLbl="node1" presStyleIdx="3" presStyleCnt="11" custScaleX="864165" custScaleY="65502" custLinFactY="-3084" custLinFactNeighborY="-100000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E3103755-1C26-4A57-A685-E184B7BAAEC6}" type="pres">
      <dgm:prSet presAssocID="{342E6AE4-572C-447C-A80E-1DC3FB86363D}" presName="sibTrans" presStyleLbl="sibTrans2D1" presStyleIdx="3" presStyleCnt="10" custScaleX="126956" custScaleY="221765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en-US"/>
        </a:p>
      </dgm:t>
    </dgm:pt>
    <dgm:pt modelId="{B5AD58BE-9AFD-4A30-9096-FF72DED42C0D}" type="pres">
      <dgm:prSet presAssocID="{342E6AE4-572C-447C-A80E-1DC3FB86363D}" presName="connectorText" presStyleLbl="sibTrans2D1" presStyleIdx="3" presStyleCnt="10"/>
      <dgm:spPr/>
      <dgm:t>
        <a:bodyPr/>
        <a:lstStyle/>
        <a:p>
          <a:endParaRPr lang="en-US"/>
        </a:p>
      </dgm:t>
    </dgm:pt>
    <dgm:pt modelId="{B2BD32B6-06D4-49FB-B2C7-E29A04AF2662}" type="pres">
      <dgm:prSet presAssocID="{4F6A22A2-82F1-4829-8F14-409B3EEBDA03}" presName="node" presStyleLbl="node1" presStyleIdx="4" presStyleCnt="11" custScaleX="864165" custScaleY="549833" custLinFactY="-4100" custLinFactNeighborY="-100000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E7B7DF1D-17EE-4809-8C96-EAE428ABCC01}" type="pres">
      <dgm:prSet presAssocID="{BD5DE701-E382-4362-A665-87A5AA4D2C61}" presName="sibTrans" presStyleLbl="sibTrans2D1" presStyleIdx="4" presStyleCnt="10" custScaleX="126956" custScaleY="221765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en-US"/>
        </a:p>
      </dgm:t>
    </dgm:pt>
    <dgm:pt modelId="{AC3E57F2-1702-45BC-AC89-5B10942BC0C1}" type="pres">
      <dgm:prSet presAssocID="{BD5DE701-E382-4362-A665-87A5AA4D2C61}" presName="connectorText" presStyleLbl="sibTrans2D1" presStyleIdx="4" presStyleCnt="10"/>
      <dgm:spPr/>
      <dgm:t>
        <a:bodyPr/>
        <a:lstStyle/>
        <a:p>
          <a:endParaRPr lang="en-US"/>
        </a:p>
      </dgm:t>
    </dgm:pt>
    <dgm:pt modelId="{10060258-2D45-46BC-B9C1-22A6BB16FC91}" type="pres">
      <dgm:prSet presAssocID="{938BBC2B-7E1B-449C-91C6-2BE9D41C60FA}" presName="node" presStyleLbl="node1" presStyleIdx="5" presStyleCnt="11" custScaleX="864165" custScaleY="152067" custLinFactY="-5929" custLinFactNeighborY="-100000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9D25709D-7870-4803-AD9B-464969BC4CF9}" type="pres">
      <dgm:prSet presAssocID="{37D28E65-2B40-4CFB-B95C-499C0C82BAF6}" presName="sibTrans" presStyleLbl="sibTrans2D1" presStyleIdx="5" presStyleCnt="10" custScaleX="126956" custScaleY="221765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en-US"/>
        </a:p>
      </dgm:t>
    </dgm:pt>
    <dgm:pt modelId="{F891BC69-6477-40F5-9490-F5AC1D704417}" type="pres">
      <dgm:prSet presAssocID="{37D28E65-2B40-4CFB-B95C-499C0C82BAF6}" presName="connectorText" presStyleLbl="sibTrans2D1" presStyleIdx="5" presStyleCnt="10"/>
      <dgm:spPr/>
      <dgm:t>
        <a:bodyPr/>
        <a:lstStyle/>
        <a:p>
          <a:endParaRPr lang="en-US"/>
        </a:p>
      </dgm:t>
    </dgm:pt>
    <dgm:pt modelId="{DF7DE8B9-456E-4DBB-A524-19A9C2A2B689}" type="pres">
      <dgm:prSet presAssocID="{5970A6E3-19EF-4D45-93B0-8FFBE9B0FF04}" presName="node" presStyleLbl="node1" presStyleIdx="6" presStyleCnt="11" custScaleX="864165" custScaleY="117108" custLinFactNeighborX="-1033" custLinFactNeighborY="-98659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6341ED82-6A38-4D06-96B8-ACB06385D731}" type="pres">
      <dgm:prSet presAssocID="{3E53770D-3038-48E8-A9D2-A6DFC0666668}" presName="sibTrans" presStyleLbl="sibTrans2D1" presStyleIdx="6" presStyleCnt="10" custScaleX="126956" custScaleY="221765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en-US"/>
        </a:p>
      </dgm:t>
    </dgm:pt>
    <dgm:pt modelId="{50DE77EA-0F69-467F-AB25-BB04DFBE325A}" type="pres">
      <dgm:prSet presAssocID="{3E53770D-3038-48E8-A9D2-A6DFC0666668}" presName="connectorText" presStyleLbl="sibTrans2D1" presStyleIdx="6" presStyleCnt="10"/>
      <dgm:spPr/>
      <dgm:t>
        <a:bodyPr/>
        <a:lstStyle/>
        <a:p>
          <a:endParaRPr lang="en-US"/>
        </a:p>
      </dgm:t>
    </dgm:pt>
    <dgm:pt modelId="{D8C7C523-BDE1-4C9E-BF47-FCC96FF997A7}" type="pres">
      <dgm:prSet presAssocID="{DFD595CD-F55D-43FC-A64D-3234711C862E}" presName="node" presStyleLbl="node1" presStyleIdx="7" presStyleCnt="11" custScaleX="864165" custScaleY="110351" custLinFactNeighborX="-517" custLinFactNeighborY="-7417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5598922E-29D5-41A2-9C83-C9EF6701164C}" type="pres">
      <dgm:prSet presAssocID="{F9D0416C-50BA-49E3-925C-51D33B80AD85}" presName="sibTrans" presStyleLbl="sibTrans2D1" presStyleIdx="7" presStyleCnt="10" custScaleX="126953" custScaleY="221765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en-US"/>
        </a:p>
      </dgm:t>
    </dgm:pt>
    <dgm:pt modelId="{54C5B390-E165-4636-BEAF-C377320848DE}" type="pres">
      <dgm:prSet presAssocID="{F9D0416C-50BA-49E3-925C-51D33B80AD85}" presName="connectorText" presStyleLbl="sibTrans2D1" presStyleIdx="7" presStyleCnt="10"/>
      <dgm:spPr/>
      <dgm:t>
        <a:bodyPr/>
        <a:lstStyle/>
        <a:p>
          <a:endParaRPr lang="en-US"/>
        </a:p>
      </dgm:t>
    </dgm:pt>
    <dgm:pt modelId="{4EE815E4-5B8D-4EA0-B282-4EBF2A247396}" type="pres">
      <dgm:prSet presAssocID="{2B99222E-7587-4E0D-91CF-38ACB0F59BDA}" presName="node" presStyleLbl="node1" presStyleIdx="8" presStyleCnt="11" custScaleX="828122" custLinFactNeighborX="-1750" custLinFactNeighborY="-91331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2247C727-AF64-4154-A771-D6F7AB767477}" type="pres">
      <dgm:prSet presAssocID="{991F6BBA-70A9-4C6E-9F95-6449162A5BF4}" presName="sibTrans" presStyleLbl="sibTrans2D1" presStyleIdx="8" presStyleCnt="10" custScaleX="126957" custScaleY="221765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en-US"/>
        </a:p>
      </dgm:t>
    </dgm:pt>
    <dgm:pt modelId="{0FBFAF1A-8EF9-4B29-AFA6-4B9C272BD615}" type="pres">
      <dgm:prSet presAssocID="{991F6BBA-70A9-4C6E-9F95-6449162A5BF4}" presName="connectorText" presStyleLbl="sibTrans2D1" presStyleIdx="8" presStyleCnt="10"/>
      <dgm:spPr/>
      <dgm:t>
        <a:bodyPr/>
        <a:lstStyle/>
        <a:p>
          <a:endParaRPr lang="en-US"/>
        </a:p>
      </dgm:t>
    </dgm:pt>
    <dgm:pt modelId="{7FA8F34A-701F-4935-B4AA-2F677899D5E2}" type="pres">
      <dgm:prSet presAssocID="{E99E11E6-7831-4A4E-A5D7-183B6D29E065}" presName="node" presStyleLbl="node1" presStyleIdx="9" presStyleCnt="11" custScaleX="298523" custScaleY="70316" custLinFactNeighborX="517" custLinFactNeighborY="-90496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8A6F2504-C598-4533-8C97-297371AE6B44}" type="pres">
      <dgm:prSet presAssocID="{D9926B12-C352-4345-BB7A-B9E0759E71ED}" presName="sibTrans" presStyleLbl="sibTrans2D1" presStyleIdx="9" presStyleCnt="10" custScaleX="126956" custScaleY="221765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en-US"/>
        </a:p>
      </dgm:t>
    </dgm:pt>
    <dgm:pt modelId="{C64A363D-02CB-4782-AA49-D98C160F7237}" type="pres">
      <dgm:prSet presAssocID="{D9926B12-C352-4345-BB7A-B9E0759E71ED}" presName="connectorText" presStyleLbl="sibTrans2D1" presStyleIdx="9" presStyleCnt="10"/>
      <dgm:spPr/>
      <dgm:t>
        <a:bodyPr/>
        <a:lstStyle/>
        <a:p>
          <a:endParaRPr lang="en-US"/>
        </a:p>
      </dgm:t>
    </dgm:pt>
    <dgm:pt modelId="{3DA5F195-E5E8-44F0-AFF2-2C65B2D298D9}" type="pres">
      <dgm:prSet presAssocID="{2FB100AB-46D8-412F-8313-2C8A251FFF76}" presName="node" presStyleLbl="node1" presStyleIdx="10" presStyleCnt="11" custScaleX="300301" custLinFactNeighborX="1961" custLinFactNeighborY="-40086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</dgm:ptLst>
  <dgm:cxnLst>
    <dgm:cxn modelId="{53C1485C-6C38-484D-B90E-4048457DFEA4}" srcId="{0DAE7B1B-2A6E-4801-A0EB-1EC5156CE40C}" destId="{2B99222E-7587-4E0D-91CF-38ACB0F59BDA}" srcOrd="8" destOrd="0" parTransId="{8A2A1B41-AF48-43FA-91BF-8AF01C197756}" sibTransId="{991F6BBA-70A9-4C6E-9F95-6449162A5BF4}"/>
    <dgm:cxn modelId="{4D03E5DB-8D13-4686-BC2E-6C9808D88DDB}" type="presOf" srcId="{D9926B12-C352-4345-BB7A-B9E0759E71ED}" destId="{C64A363D-02CB-4782-AA49-D98C160F7237}" srcOrd="1" destOrd="0" presId="urn:microsoft.com/office/officeart/2005/8/layout/process2"/>
    <dgm:cxn modelId="{7AC8D149-B87A-4204-8BA3-A96E273265E4}" type="presOf" srcId="{89CFBC19-08C9-40F1-A2F0-2C6DA6A2375E}" destId="{68BFF9F1-F4F1-4694-B513-6A4AC969DB97}" srcOrd="0" destOrd="0" presId="urn:microsoft.com/office/officeart/2005/8/layout/process2"/>
    <dgm:cxn modelId="{ECEA1CFB-17F2-4C2E-9AE6-A4C1F1A49F15}" type="presOf" srcId="{F9D0416C-50BA-49E3-925C-51D33B80AD85}" destId="{54C5B390-E165-4636-BEAF-C377320848DE}" srcOrd="1" destOrd="0" presId="urn:microsoft.com/office/officeart/2005/8/layout/process2"/>
    <dgm:cxn modelId="{AB1ADA3E-3075-41C1-A93A-093A2318D3CC}" srcId="{0DAE7B1B-2A6E-4801-A0EB-1EC5156CE40C}" destId="{DFD595CD-F55D-43FC-A64D-3234711C862E}" srcOrd="7" destOrd="0" parTransId="{F0023E8A-EAED-4D24-8F65-A5E74A7D1F07}" sibTransId="{F9D0416C-50BA-49E3-925C-51D33B80AD85}"/>
    <dgm:cxn modelId="{4BD1AA01-08C0-4A36-8A10-0728078A8113}" srcId="{0DAE7B1B-2A6E-4801-A0EB-1EC5156CE40C}" destId="{2FB100AB-46D8-412F-8313-2C8A251FFF76}" srcOrd="10" destOrd="0" parTransId="{360C805A-8E29-4FCF-91C2-53FAE296E92E}" sibTransId="{A2C1B24D-A7BA-49EB-9206-E5A88852DFDE}"/>
    <dgm:cxn modelId="{325A861F-88F6-4594-8066-9DD42837BFA9}" type="presOf" srcId="{3E53770D-3038-48E8-A9D2-A6DFC0666668}" destId="{50DE77EA-0F69-467F-AB25-BB04DFBE325A}" srcOrd="1" destOrd="0" presId="urn:microsoft.com/office/officeart/2005/8/layout/process2"/>
    <dgm:cxn modelId="{65B1F5A9-395E-4E1E-8ADB-B4890B4C79B9}" srcId="{0DAE7B1B-2A6E-4801-A0EB-1EC5156CE40C}" destId="{9A0F5C27-68FA-4002-8C59-ABD6AF75064A}" srcOrd="2" destOrd="0" parTransId="{22DBF1C7-0E6D-4A3F-A428-F26B087E1B9C}" sibTransId="{2E0D8B81-2D6B-4851-9EDD-BE9AA8CFEF4A}"/>
    <dgm:cxn modelId="{734A855C-D7AA-4521-B064-56D7280D7A8D}" type="presOf" srcId="{BD5DE701-E382-4362-A665-87A5AA4D2C61}" destId="{E7B7DF1D-17EE-4809-8C96-EAE428ABCC01}" srcOrd="0" destOrd="0" presId="urn:microsoft.com/office/officeart/2005/8/layout/process2"/>
    <dgm:cxn modelId="{C1A85F05-22CA-4683-AE84-0581785CC266}" srcId="{0DAE7B1B-2A6E-4801-A0EB-1EC5156CE40C}" destId="{5970A6E3-19EF-4D45-93B0-8FFBE9B0FF04}" srcOrd="6" destOrd="0" parTransId="{7C25EB63-A187-4DEE-850F-EA5C75C419DC}" sibTransId="{3E53770D-3038-48E8-A9D2-A6DFC0666668}"/>
    <dgm:cxn modelId="{4F156355-0ADF-4A2A-8B85-FC0DA22F1093}" type="presOf" srcId="{797F4678-DAB5-4A89-8E5F-183B93901ECA}" destId="{A008AFAD-8763-43CC-B4B0-800AC61B707E}" srcOrd="0" destOrd="0" presId="urn:microsoft.com/office/officeart/2005/8/layout/process2"/>
    <dgm:cxn modelId="{DBA58FD4-D4E6-45B4-A625-BFDE7209D6A9}" type="presOf" srcId="{9A1698F7-B213-4135-A53E-A15DBCF0759B}" destId="{DCAAC258-48CC-474F-A881-B930A497F7AC}" srcOrd="1" destOrd="0" presId="urn:microsoft.com/office/officeart/2005/8/layout/process2"/>
    <dgm:cxn modelId="{CE3C59A7-3721-48A9-98C9-A9EC6F541830}" type="presOf" srcId="{342E6AE4-572C-447C-A80E-1DC3FB86363D}" destId="{E3103755-1C26-4A57-A685-E184B7BAAEC6}" srcOrd="0" destOrd="0" presId="urn:microsoft.com/office/officeart/2005/8/layout/process2"/>
    <dgm:cxn modelId="{28FBB776-3729-4312-A50B-B6C9426292C8}" type="presOf" srcId="{BD5DE701-E382-4362-A665-87A5AA4D2C61}" destId="{AC3E57F2-1702-45BC-AC89-5B10942BC0C1}" srcOrd="1" destOrd="0" presId="urn:microsoft.com/office/officeart/2005/8/layout/process2"/>
    <dgm:cxn modelId="{C200D42D-E6CA-4BCD-99B6-E7A5CF82BFC3}" srcId="{0DAE7B1B-2A6E-4801-A0EB-1EC5156CE40C}" destId="{938BBC2B-7E1B-449C-91C6-2BE9D41C60FA}" srcOrd="5" destOrd="0" parTransId="{A5D03461-B776-4636-9E20-AB67649C483C}" sibTransId="{37D28E65-2B40-4CFB-B95C-499C0C82BAF6}"/>
    <dgm:cxn modelId="{8639E6FB-077D-4D2E-BB73-BADC48BF582F}" type="presOf" srcId="{9A1698F7-B213-4135-A53E-A15DBCF0759B}" destId="{A3A86A7B-3928-4EC9-B4E3-35E18B24ADFD}" srcOrd="0" destOrd="0" presId="urn:microsoft.com/office/officeart/2005/8/layout/process2"/>
    <dgm:cxn modelId="{C4627B65-C0B6-435C-97CF-874728E5991F}" type="presOf" srcId="{2E0D8B81-2D6B-4851-9EDD-BE9AA8CFEF4A}" destId="{385D2F90-4151-47EA-A54E-DD3E788ABCF3}" srcOrd="1" destOrd="0" presId="urn:microsoft.com/office/officeart/2005/8/layout/process2"/>
    <dgm:cxn modelId="{EB62AD89-CC76-401E-8EAE-3CBB3A66B25B}" srcId="{0DAE7B1B-2A6E-4801-A0EB-1EC5156CE40C}" destId="{B9857B6C-6A12-43BA-BB60-B5FDBADB7F6D}" srcOrd="3" destOrd="0" parTransId="{5AEE1F4D-91AB-4AEE-904C-0CEE10769DF3}" sibTransId="{342E6AE4-572C-447C-A80E-1DC3FB86363D}"/>
    <dgm:cxn modelId="{75F6F402-465D-406F-9541-79C851346C63}" srcId="{0DAE7B1B-2A6E-4801-A0EB-1EC5156CE40C}" destId="{4F6A22A2-82F1-4829-8F14-409B3EEBDA03}" srcOrd="4" destOrd="0" parTransId="{0D96596B-8920-4738-826D-CCAE0C08F209}" sibTransId="{BD5DE701-E382-4362-A665-87A5AA4D2C61}"/>
    <dgm:cxn modelId="{DC4E4718-D6BD-488D-828E-474A7AD1F867}" type="presOf" srcId="{B9857B6C-6A12-43BA-BB60-B5FDBADB7F6D}" destId="{5361DEA8-8F33-45AA-A45C-E6095E23C596}" srcOrd="0" destOrd="0" presId="urn:microsoft.com/office/officeart/2005/8/layout/process2"/>
    <dgm:cxn modelId="{341AAB23-5793-4139-B992-ED126F225B14}" type="presOf" srcId="{3E53770D-3038-48E8-A9D2-A6DFC0666668}" destId="{6341ED82-6A38-4D06-96B8-ACB06385D731}" srcOrd="0" destOrd="0" presId="urn:microsoft.com/office/officeart/2005/8/layout/process2"/>
    <dgm:cxn modelId="{41F467BB-2996-46C4-9C80-CF4BC7A99B07}" type="presOf" srcId="{37D28E65-2B40-4CFB-B95C-499C0C82BAF6}" destId="{F891BC69-6477-40F5-9490-F5AC1D704417}" srcOrd="1" destOrd="0" presId="urn:microsoft.com/office/officeart/2005/8/layout/process2"/>
    <dgm:cxn modelId="{D5F6E1D9-12B8-4830-9832-5D48B24E21C2}" type="presOf" srcId="{2E0D8B81-2D6B-4851-9EDD-BE9AA8CFEF4A}" destId="{FB1AA4B2-9C96-4AE3-B188-EF636297C157}" srcOrd="0" destOrd="0" presId="urn:microsoft.com/office/officeart/2005/8/layout/process2"/>
    <dgm:cxn modelId="{B510D478-4734-4AE0-AC80-AA5308452BB9}" type="presOf" srcId="{342E6AE4-572C-447C-A80E-1DC3FB86363D}" destId="{B5AD58BE-9AFD-4A30-9096-FF72DED42C0D}" srcOrd="1" destOrd="0" presId="urn:microsoft.com/office/officeart/2005/8/layout/process2"/>
    <dgm:cxn modelId="{A9E2381A-CEB4-4C18-8E23-64BC6BCD8CA2}" type="presOf" srcId="{2B99222E-7587-4E0D-91CF-38ACB0F59BDA}" destId="{4EE815E4-5B8D-4EA0-B282-4EBF2A247396}" srcOrd="0" destOrd="0" presId="urn:microsoft.com/office/officeart/2005/8/layout/process2"/>
    <dgm:cxn modelId="{ECE5A8F4-DB32-447E-A62D-10F50370BDCB}" srcId="{0DAE7B1B-2A6E-4801-A0EB-1EC5156CE40C}" destId="{EAD8216F-702E-487F-AFD5-108EB3F451C2}" srcOrd="1" destOrd="0" parTransId="{9E7399F8-3BD4-4031-A40D-42BF88676529}" sibTransId="{9A1698F7-B213-4135-A53E-A15DBCF0759B}"/>
    <dgm:cxn modelId="{0E408679-A36F-4DD4-B108-71A68453BC3A}" srcId="{0DAE7B1B-2A6E-4801-A0EB-1EC5156CE40C}" destId="{E99E11E6-7831-4A4E-A5D7-183B6D29E065}" srcOrd="9" destOrd="0" parTransId="{D602A0ED-1AFB-4B0E-9D3D-191F6DC9A5EF}" sibTransId="{D9926B12-C352-4345-BB7A-B9E0759E71ED}"/>
    <dgm:cxn modelId="{035CBCC7-DA13-4095-B4C8-ECA52203555B}" type="presOf" srcId="{797F4678-DAB5-4A89-8E5F-183B93901ECA}" destId="{A3335E7F-547E-4AE8-8886-AC60F8BD53D4}" srcOrd="1" destOrd="0" presId="urn:microsoft.com/office/officeart/2005/8/layout/process2"/>
    <dgm:cxn modelId="{D9A0B111-8833-4B72-BC1B-1B4613D3B97A}" type="presOf" srcId="{37D28E65-2B40-4CFB-B95C-499C0C82BAF6}" destId="{9D25709D-7870-4803-AD9B-464969BC4CF9}" srcOrd="0" destOrd="0" presId="urn:microsoft.com/office/officeart/2005/8/layout/process2"/>
    <dgm:cxn modelId="{589964C6-08C2-49AA-8F54-3809D99384C3}" type="presOf" srcId="{DFD595CD-F55D-43FC-A64D-3234711C862E}" destId="{D8C7C523-BDE1-4C9E-BF47-FCC96FF997A7}" srcOrd="0" destOrd="0" presId="urn:microsoft.com/office/officeart/2005/8/layout/process2"/>
    <dgm:cxn modelId="{8391C1B0-EAC6-4F47-8182-B75C2E59D3AE}" type="presOf" srcId="{0DAE7B1B-2A6E-4801-A0EB-1EC5156CE40C}" destId="{2D0D12BD-55F0-4E0E-B355-37810D3DBA41}" srcOrd="0" destOrd="0" presId="urn:microsoft.com/office/officeart/2005/8/layout/process2"/>
    <dgm:cxn modelId="{C9A2EA38-EC0A-4FCB-8353-AD5AD14B8C17}" type="presOf" srcId="{938BBC2B-7E1B-449C-91C6-2BE9D41C60FA}" destId="{10060258-2D45-46BC-B9C1-22A6BB16FC91}" srcOrd="0" destOrd="0" presId="urn:microsoft.com/office/officeart/2005/8/layout/process2"/>
    <dgm:cxn modelId="{03400099-0C01-4EAC-8666-316B7B1503ED}" type="presOf" srcId="{991F6BBA-70A9-4C6E-9F95-6449162A5BF4}" destId="{2247C727-AF64-4154-A771-D6F7AB767477}" srcOrd="0" destOrd="0" presId="urn:microsoft.com/office/officeart/2005/8/layout/process2"/>
    <dgm:cxn modelId="{F9E962B9-19F2-4015-A9CF-27A2E859FDA5}" type="presOf" srcId="{2FB100AB-46D8-412F-8313-2C8A251FFF76}" destId="{3DA5F195-E5E8-44F0-AFF2-2C65B2D298D9}" srcOrd="0" destOrd="0" presId="urn:microsoft.com/office/officeart/2005/8/layout/process2"/>
    <dgm:cxn modelId="{F0EFB27C-2004-4293-92CE-CFE728F62C59}" type="presOf" srcId="{E99E11E6-7831-4A4E-A5D7-183B6D29E065}" destId="{7FA8F34A-701F-4935-B4AA-2F677899D5E2}" srcOrd="0" destOrd="0" presId="urn:microsoft.com/office/officeart/2005/8/layout/process2"/>
    <dgm:cxn modelId="{D08BF544-4CEE-4800-8335-4EE365B1CC1F}" type="presOf" srcId="{EAD8216F-702E-487F-AFD5-108EB3F451C2}" destId="{26005CB1-ED9B-4DCF-8922-599240D7EA4D}" srcOrd="0" destOrd="0" presId="urn:microsoft.com/office/officeart/2005/8/layout/process2"/>
    <dgm:cxn modelId="{8AFC2FEE-5AE8-4BD9-881A-0944B399096C}" type="presOf" srcId="{991F6BBA-70A9-4C6E-9F95-6449162A5BF4}" destId="{0FBFAF1A-8EF9-4B29-AFA6-4B9C272BD615}" srcOrd="1" destOrd="0" presId="urn:microsoft.com/office/officeart/2005/8/layout/process2"/>
    <dgm:cxn modelId="{ED8BB771-CCA8-42DD-8379-A920C3B826C2}" type="presOf" srcId="{D9926B12-C352-4345-BB7A-B9E0759E71ED}" destId="{8A6F2504-C598-4533-8C97-297371AE6B44}" srcOrd="0" destOrd="0" presId="urn:microsoft.com/office/officeart/2005/8/layout/process2"/>
    <dgm:cxn modelId="{D870AA63-8300-4802-93A3-2EE5B14C9EC4}" type="presOf" srcId="{9A0F5C27-68FA-4002-8C59-ABD6AF75064A}" destId="{7C9A11F9-3BCA-44DF-8A46-5EBEC8D5CACF}" srcOrd="0" destOrd="0" presId="urn:microsoft.com/office/officeart/2005/8/layout/process2"/>
    <dgm:cxn modelId="{72D3717A-5990-4502-BD8B-E686B9210D9D}" type="presOf" srcId="{4F6A22A2-82F1-4829-8F14-409B3EEBDA03}" destId="{B2BD32B6-06D4-49FB-B2C7-E29A04AF2662}" srcOrd="0" destOrd="0" presId="urn:microsoft.com/office/officeart/2005/8/layout/process2"/>
    <dgm:cxn modelId="{864F50D9-0471-4F2F-A645-3E6AA6F0A679}" srcId="{0DAE7B1B-2A6E-4801-A0EB-1EC5156CE40C}" destId="{89CFBC19-08C9-40F1-A2F0-2C6DA6A2375E}" srcOrd="0" destOrd="0" parTransId="{86E89AB0-2437-46BF-9E8B-43AC58E35891}" sibTransId="{797F4678-DAB5-4A89-8E5F-183B93901ECA}"/>
    <dgm:cxn modelId="{E0D692A5-0978-4945-B3D7-7B562873333B}" type="presOf" srcId="{5970A6E3-19EF-4D45-93B0-8FFBE9B0FF04}" destId="{DF7DE8B9-456E-4DBB-A524-19A9C2A2B689}" srcOrd="0" destOrd="0" presId="urn:microsoft.com/office/officeart/2005/8/layout/process2"/>
    <dgm:cxn modelId="{F300E6BC-6C8B-4949-8A7A-1DF68C743103}" type="presOf" srcId="{F9D0416C-50BA-49E3-925C-51D33B80AD85}" destId="{5598922E-29D5-41A2-9C83-C9EF6701164C}" srcOrd="0" destOrd="0" presId="urn:microsoft.com/office/officeart/2005/8/layout/process2"/>
    <dgm:cxn modelId="{5796D059-243D-4DB8-BB13-5114536E3367}" type="presParOf" srcId="{2D0D12BD-55F0-4E0E-B355-37810D3DBA41}" destId="{68BFF9F1-F4F1-4694-B513-6A4AC969DB97}" srcOrd="0" destOrd="0" presId="urn:microsoft.com/office/officeart/2005/8/layout/process2"/>
    <dgm:cxn modelId="{15807AB1-CCFD-4D2F-B1E1-E8ABC60FA0EE}" type="presParOf" srcId="{2D0D12BD-55F0-4E0E-B355-37810D3DBA41}" destId="{A008AFAD-8763-43CC-B4B0-800AC61B707E}" srcOrd="1" destOrd="0" presId="urn:microsoft.com/office/officeart/2005/8/layout/process2"/>
    <dgm:cxn modelId="{93B42850-E3B9-4ABB-9A7B-D43ECC790BBE}" type="presParOf" srcId="{A008AFAD-8763-43CC-B4B0-800AC61B707E}" destId="{A3335E7F-547E-4AE8-8886-AC60F8BD53D4}" srcOrd="0" destOrd="0" presId="urn:microsoft.com/office/officeart/2005/8/layout/process2"/>
    <dgm:cxn modelId="{DE965634-9895-4F34-A493-6E9857D5A76E}" type="presParOf" srcId="{2D0D12BD-55F0-4E0E-B355-37810D3DBA41}" destId="{26005CB1-ED9B-4DCF-8922-599240D7EA4D}" srcOrd="2" destOrd="0" presId="urn:microsoft.com/office/officeart/2005/8/layout/process2"/>
    <dgm:cxn modelId="{FF176278-D4B1-434D-BA8B-DE1FDA546E55}" type="presParOf" srcId="{2D0D12BD-55F0-4E0E-B355-37810D3DBA41}" destId="{A3A86A7B-3928-4EC9-B4E3-35E18B24ADFD}" srcOrd="3" destOrd="0" presId="urn:microsoft.com/office/officeart/2005/8/layout/process2"/>
    <dgm:cxn modelId="{7EEC89DE-B1A6-4A24-8802-476D2E9A4BB0}" type="presParOf" srcId="{A3A86A7B-3928-4EC9-B4E3-35E18B24ADFD}" destId="{DCAAC258-48CC-474F-A881-B930A497F7AC}" srcOrd="0" destOrd="0" presId="urn:microsoft.com/office/officeart/2005/8/layout/process2"/>
    <dgm:cxn modelId="{67CE084C-D50C-4B8C-A7B4-E1BC388224D0}" type="presParOf" srcId="{2D0D12BD-55F0-4E0E-B355-37810D3DBA41}" destId="{7C9A11F9-3BCA-44DF-8A46-5EBEC8D5CACF}" srcOrd="4" destOrd="0" presId="urn:microsoft.com/office/officeart/2005/8/layout/process2"/>
    <dgm:cxn modelId="{4ABEBAC8-E63F-4E35-B2BD-50DD425A60E1}" type="presParOf" srcId="{2D0D12BD-55F0-4E0E-B355-37810D3DBA41}" destId="{FB1AA4B2-9C96-4AE3-B188-EF636297C157}" srcOrd="5" destOrd="0" presId="urn:microsoft.com/office/officeart/2005/8/layout/process2"/>
    <dgm:cxn modelId="{8730D717-D826-4194-9402-74CB9BD2B0EB}" type="presParOf" srcId="{FB1AA4B2-9C96-4AE3-B188-EF636297C157}" destId="{385D2F90-4151-47EA-A54E-DD3E788ABCF3}" srcOrd="0" destOrd="0" presId="urn:microsoft.com/office/officeart/2005/8/layout/process2"/>
    <dgm:cxn modelId="{2F6FF784-6200-48C2-9E23-A41ED4306907}" type="presParOf" srcId="{2D0D12BD-55F0-4E0E-B355-37810D3DBA41}" destId="{5361DEA8-8F33-45AA-A45C-E6095E23C596}" srcOrd="6" destOrd="0" presId="urn:microsoft.com/office/officeart/2005/8/layout/process2"/>
    <dgm:cxn modelId="{2C937B76-3C49-4344-A367-625FCC6A86B8}" type="presParOf" srcId="{2D0D12BD-55F0-4E0E-B355-37810D3DBA41}" destId="{E3103755-1C26-4A57-A685-E184B7BAAEC6}" srcOrd="7" destOrd="0" presId="urn:microsoft.com/office/officeart/2005/8/layout/process2"/>
    <dgm:cxn modelId="{3A14E563-7A5A-4EC9-B1B8-802008AC86FF}" type="presParOf" srcId="{E3103755-1C26-4A57-A685-E184B7BAAEC6}" destId="{B5AD58BE-9AFD-4A30-9096-FF72DED42C0D}" srcOrd="0" destOrd="0" presId="urn:microsoft.com/office/officeart/2005/8/layout/process2"/>
    <dgm:cxn modelId="{C5116A42-2313-46D0-A8CF-8800E3148A4F}" type="presParOf" srcId="{2D0D12BD-55F0-4E0E-B355-37810D3DBA41}" destId="{B2BD32B6-06D4-49FB-B2C7-E29A04AF2662}" srcOrd="8" destOrd="0" presId="urn:microsoft.com/office/officeart/2005/8/layout/process2"/>
    <dgm:cxn modelId="{B28429A3-8D03-4711-8A62-63978A72958A}" type="presParOf" srcId="{2D0D12BD-55F0-4E0E-B355-37810D3DBA41}" destId="{E7B7DF1D-17EE-4809-8C96-EAE428ABCC01}" srcOrd="9" destOrd="0" presId="urn:microsoft.com/office/officeart/2005/8/layout/process2"/>
    <dgm:cxn modelId="{20B1CB3F-AC53-448C-91E0-59DED7BAB1B9}" type="presParOf" srcId="{E7B7DF1D-17EE-4809-8C96-EAE428ABCC01}" destId="{AC3E57F2-1702-45BC-AC89-5B10942BC0C1}" srcOrd="0" destOrd="0" presId="urn:microsoft.com/office/officeart/2005/8/layout/process2"/>
    <dgm:cxn modelId="{82DEC292-3DE2-4E42-A1B3-7A409AB70E5B}" type="presParOf" srcId="{2D0D12BD-55F0-4E0E-B355-37810D3DBA41}" destId="{10060258-2D45-46BC-B9C1-22A6BB16FC91}" srcOrd="10" destOrd="0" presId="urn:microsoft.com/office/officeart/2005/8/layout/process2"/>
    <dgm:cxn modelId="{17842E3E-22C9-49D5-8AA6-501CFE3568D2}" type="presParOf" srcId="{2D0D12BD-55F0-4E0E-B355-37810D3DBA41}" destId="{9D25709D-7870-4803-AD9B-464969BC4CF9}" srcOrd="11" destOrd="0" presId="urn:microsoft.com/office/officeart/2005/8/layout/process2"/>
    <dgm:cxn modelId="{87958F2D-6FF4-4079-8CBB-370791B1CB20}" type="presParOf" srcId="{9D25709D-7870-4803-AD9B-464969BC4CF9}" destId="{F891BC69-6477-40F5-9490-F5AC1D704417}" srcOrd="0" destOrd="0" presId="urn:microsoft.com/office/officeart/2005/8/layout/process2"/>
    <dgm:cxn modelId="{1BAD209F-2188-4004-B1F5-B9E13927239F}" type="presParOf" srcId="{2D0D12BD-55F0-4E0E-B355-37810D3DBA41}" destId="{DF7DE8B9-456E-4DBB-A524-19A9C2A2B689}" srcOrd="12" destOrd="0" presId="urn:microsoft.com/office/officeart/2005/8/layout/process2"/>
    <dgm:cxn modelId="{7E6ACD47-82A7-4AEA-8948-F0283906CB19}" type="presParOf" srcId="{2D0D12BD-55F0-4E0E-B355-37810D3DBA41}" destId="{6341ED82-6A38-4D06-96B8-ACB06385D731}" srcOrd="13" destOrd="0" presId="urn:microsoft.com/office/officeart/2005/8/layout/process2"/>
    <dgm:cxn modelId="{B36561EB-D9DA-4281-BA16-EF332BC5905B}" type="presParOf" srcId="{6341ED82-6A38-4D06-96B8-ACB06385D731}" destId="{50DE77EA-0F69-467F-AB25-BB04DFBE325A}" srcOrd="0" destOrd="0" presId="urn:microsoft.com/office/officeart/2005/8/layout/process2"/>
    <dgm:cxn modelId="{D62FF08B-B2BC-42ED-818A-2CD80BE842D3}" type="presParOf" srcId="{2D0D12BD-55F0-4E0E-B355-37810D3DBA41}" destId="{D8C7C523-BDE1-4C9E-BF47-FCC96FF997A7}" srcOrd="14" destOrd="0" presId="urn:microsoft.com/office/officeart/2005/8/layout/process2"/>
    <dgm:cxn modelId="{9375988E-8FE9-4801-8F8C-130696D13B21}" type="presParOf" srcId="{2D0D12BD-55F0-4E0E-B355-37810D3DBA41}" destId="{5598922E-29D5-41A2-9C83-C9EF6701164C}" srcOrd="15" destOrd="0" presId="urn:microsoft.com/office/officeart/2005/8/layout/process2"/>
    <dgm:cxn modelId="{7B677CCF-FB33-470A-8F1E-C80523DD1C98}" type="presParOf" srcId="{5598922E-29D5-41A2-9C83-C9EF6701164C}" destId="{54C5B390-E165-4636-BEAF-C377320848DE}" srcOrd="0" destOrd="0" presId="urn:microsoft.com/office/officeart/2005/8/layout/process2"/>
    <dgm:cxn modelId="{D2EE6301-F1A7-4073-BBD1-CC196A550873}" type="presParOf" srcId="{2D0D12BD-55F0-4E0E-B355-37810D3DBA41}" destId="{4EE815E4-5B8D-4EA0-B282-4EBF2A247396}" srcOrd="16" destOrd="0" presId="urn:microsoft.com/office/officeart/2005/8/layout/process2"/>
    <dgm:cxn modelId="{EDDF62A5-AC2D-4354-A415-4579121D6FA0}" type="presParOf" srcId="{2D0D12BD-55F0-4E0E-B355-37810D3DBA41}" destId="{2247C727-AF64-4154-A771-D6F7AB767477}" srcOrd="17" destOrd="0" presId="urn:microsoft.com/office/officeart/2005/8/layout/process2"/>
    <dgm:cxn modelId="{CF126101-246E-40CF-B45B-D956BAFB6A8E}" type="presParOf" srcId="{2247C727-AF64-4154-A771-D6F7AB767477}" destId="{0FBFAF1A-8EF9-4B29-AFA6-4B9C272BD615}" srcOrd="0" destOrd="0" presId="urn:microsoft.com/office/officeart/2005/8/layout/process2"/>
    <dgm:cxn modelId="{3FB6BF99-0A0F-4203-B441-FA150BBC9D1E}" type="presParOf" srcId="{2D0D12BD-55F0-4E0E-B355-37810D3DBA41}" destId="{7FA8F34A-701F-4935-B4AA-2F677899D5E2}" srcOrd="18" destOrd="0" presId="urn:microsoft.com/office/officeart/2005/8/layout/process2"/>
    <dgm:cxn modelId="{92A592DD-4A8B-41F9-A1EC-BA11A5576A8D}" type="presParOf" srcId="{2D0D12BD-55F0-4E0E-B355-37810D3DBA41}" destId="{8A6F2504-C598-4533-8C97-297371AE6B44}" srcOrd="19" destOrd="0" presId="urn:microsoft.com/office/officeart/2005/8/layout/process2"/>
    <dgm:cxn modelId="{D6FF0A0C-F3BA-4149-A91F-3EB690642288}" type="presParOf" srcId="{8A6F2504-C598-4533-8C97-297371AE6B44}" destId="{C64A363D-02CB-4782-AA49-D98C160F7237}" srcOrd="0" destOrd="0" presId="urn:microsoft.com/office/officeart/2005/8/layout/process2"/>
    <dgm:cxn modelId="{633653DF-7AAB-4758-9694-DEF50EC8F07B}" type="presParOf" srcId="{2D0D12BD-55F0-4E0E-B355-37810D3DBA41}" destId="{3DA5F195-E5E8-44F0-AFF2-2C65B2D298D9}" srcOrd="20" destOrd="0" presId="urn:microsoft.com/office/officeart/2005/8/layout/process2"/>
  </dgm:cxnLst>
  <dgm:bg>
    <a:noFill/>
  </dgm:bg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8BFF9F1-F4F1-4694-B513-6A4AC969DB97}">
      <dsp:nvSpPr>
        <dsp:cNvPr id="0" name=""/>
        <dsp:cNvSpPr/>
      </dsp:nvSpPr>
      <dsp:spPr>
        <a:xfrm>
          <a:off x="0" y="0"/>
          <a:ext cx="7066829" cy="404853"/>
        </a:xfrm>
        <a:prstGeom prst="roundRect">
          <a:avLst>
            <a:gd name="adj" fmla="val 10000"/>
          </a:avLst>
        </a:prstGeom>
        <a:solidFill>
          <a:srgbClr val="5B9BD5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>
              <a:solidFill>
                <a:schemeClr val="bg1"/>
              </a:solidFill>
              <a:latin typeface="Cambria" panose="02040503050406030204" pitchFamily="18" charset="0"/>
              <a:ea typeface="+mn-ea"/>
              <a:cs typeface="+mn-cs"/>
            </a:rPr>
            <a:t>RATIONALE/JUSTIFICATION: </a:t>
          </a:r>
          <a:r>
            <a:rPr lang="en-US" sz="800" kern="1200">
              <a:solidFill>
                <a:schemeClr val="bg1"/>
              </a:solidFill>
              <a:latin typeface="Cambria" panose="02040503050406030204" pitchFamily="18" charset="0"/>
              <a:ea typeface="Cambria" panose="02040503050406030204" pitchFamily="18" charset="0"/>
            </a:rPr>
            <a:t>The findings of this study will allow the design of a cell preconditioning protocol based on LLLT before transplantation of DPSCs or other DMSCs for dental tissue engineering/regeneration</a:t>
          </a:r>
          <a:endParaRPr lang="en-US" sz="800" b="1" kern="1200">
            <a:solidFill>
              <a:schemeClr val="bg1"/>
            </a:solidFill>
            <a:latin typeface="Cambria" panose="02040503050406030204" pitchFamily="18" charset="0"/>
            <a:ea typeface="Cambria" panose="02040503050406030204" pitchFamily="18" charset="0"/>
            <a:cs typeface="+mn-cs"/>
          </a:endParaRPr>
        </a:p>
      </dsp:txBody>
      <dsp:txXfrm>
        <a:off x="11858" y="11858"/>
        <a:ext cx="7043113" cy="381137"/>
      </dsp:txXfrm>
    </dsp:sp>
    <dsp:sp modelId="{A008AFAD-8763-43CC-B4B0-800AC61B707E}">
      <dsp:nvSpPr>
        <dsp:cNvPr id="0" name=""/>
        <dsp:cNvSpPr/>
      </dsp:nvSpPr>
      <dsp:spPr>
        <a:xfrm rot="5357690">
          <a:off x="3440272" y="306367"/>
          <a:ext cx="193467" cy="375672"/>
        </a:xfrm>
        <a:prstGeom prst="rightArrow">
          <a:avLst>
            <a:gd name="adj1" fmla="val 60000"/>
            <a:gd name="adj2" fmla="val 50000"/>
          </a:avLst>
        </a:prstGeom>
        <a:solidFill>
          <a:srgbClr val="C00000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3423947" y="397471"/>
        <a:ext cx="225404" cy="135427"/>
      </dsp:txXfrm>
    </dsp:sp>
    <dsp:sp modelId="{26005CB1-ED9B-4DCF-8922-599240D7EA4D}">
      <dsp:nvSpPr>
        <dsp:cNvPr id="0" name=""/>
        <dsp:cNvSpPr/>
      </dsp:nvSpPr>
      <dsp:spPr>
        <a:xfrm>
          <a:off x="0" y="583554"/>
          <a:ext cx="7082155" cy="482874"/>
        </a:xfrm>
        <a:prstGeom prst="roundRect">
          <a:avLst>
            <a:gd name="adj" fmla="val 10000"/>
          </a:avLst>
        </a:prstGeom>
        <a:solidFill>
          <a:srgbClr val="5B9BD5">
            <a:lumMod val="60000"/>
            <a:lumOff val="4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>
              <a:solidFill>
                <a:sysClr val="windowText" lastClr="000000"/>
              </a:solidFill>
              <a:latin typeface="Cambria" panose="02040503050406030204" pitchFamily="18" charset="0"/>
              <a:ea typeface="+mn-ea"/>
              <a:cs typeface="+mn-cs"/>
            </a:rPr>
            <a:t>AIM: </a:t>
          </a:r>
          <a:r>
            <a:rPr lang="en-US" sz="800" b="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To evaluate the impact of the LLLT on expression of VEGF (as the angiogenic factor) and DSP (as a marker of dentinogenic differentiation) of human DPSCs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>
              <a:solidFill>
                <a:sysClr val="windowText" lastClr="000000"/>
              </a:solidFill>
              <a:latin typeface="Cambria" panose="02040503050406030204" pitchFamily="18" charset="0"/>
              <a:ea typeface="+mn-ea"/>
              <a:cs typeface="+mn-cs"/>
            </a:rPr>
            <a:t>HYPOTHESIS: </a:t>
          </a:r>
          <a:r>
            <a:rPr lang="en-US" sz="8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The null hypothesis is that LLLT could promote differentiation of DPSCs and angiogenesis, which may contribute to tissue regeneration and wound healing in the oral cavity</a:t>
          </a:r>
          <a:endParaRPr lang="en-US" sz="800" b="1" kern="1200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  <a:cs typeface="+mn-cs"/>
          </a:endParaRPr>
        </a:p>
      </dsp:txBody>
      <dsp:txXfrm>
        <a:off x="14143" y="597697"/>
        <a:ext cx="7053869" cy="454588"/>
      </dsp:txXfrm>
    </dsp:sp>
    <dsp:sp modelId="{A3A86A7B-3928-4EC9-B4E3-35E18B24ADFD}">
      <dsp:nvSpPr>
        <dsp:cNvPr id="0" name=""/>
        <dsp:cNvSpPr/>
      </dsp:nvSpPr>
      <dsp:spPr>
        <a:xfrm rot="5399284">
          <a:off x="3428580" y="982577"/>
          <a:ext cx="225137" cy="375672"/>
        </a:xfrm>
        <a:prstGeom prst="rightArrow">
          <a:avLst>
            <a:gd name="adj1" fmla="val 60000"/>
            <a:gd name="adj2" fmla="val 50000"/>
          </a:avLst>
        </a:prstGeom>
        <a:solidFill>
          <a:srgbClr val="C00000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1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3428439" y="1057845"/>
        <a:ext cx="225404" cy="157596"/>
      </dsp:txXfrm>
    </dsp:sp>
    <dsp:sp modelId="{7C9A11F9-3BCA-44DF-8A46-5EBEC8D5CACF}">
      <dsp:nvSpPr>
        <dsp:cNvPr id="0" name=""/>
        <dsp:cNvSpPr/>
      </dsp:nvSpPr>
      <dsp:spPr>
        <a:xfrm>
          <a:off x="319" y="1274397"/>
          <a:ext cx="7081835" cy="635083"/>
        </a:xfrm>
        <a:prstGeom prst="roundRect">
          <a:avLst>
            <a:gd name="adj" fmla="val 10000"/>
          </a:avLst>
        </a:prstGeom>
        <a:solidFill>
          <a:srgbClr val="5B9BD5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GB" sz="800" b="1" kern="1200">
              <a:solidFill>
                <a:sysClr val="window" lastClr="FFFFFF"/>
              </a:solidFill>
              <a:latin typeface="Cambria" panose="02040503050406030204" pitchFamily="18" charset="0"/>
              <a:ea typeface="+mn-ea"/>
              <a:cs typeface="+mn-cs"/>
            </a:rPr>
            <a:t>ETHICAL APPROVAL: </a:t>
          </a:r>
          <a:r>
            <a:rPr lang="en-US" sz="800" b="0" kern="1200">
              <a:latin typeface="Cambria" panose="02040503050406030204" pitchFamily="18" charset="0"/>
              <a:ea typeface="Cambria" panose="02040503050406030204" pitchFamily="18" charset="0"/>
            </a:rPr>
            <a:t>approval of the protocol by the ethics committee at Faculty of dentistry Islamic Azad University and Iran National Committee for Ethics in Biomedical Research </a:t>
          </a:r>
        </a:p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800" b="0" kern="1200">
              <a:latin typeface="Cambria" panose="02040503050406030204" pitchFamily="18" charset="0"/>
              <a:ea typeface="Cambria" panose="02040503050406030204" pitchFamily="18" charset="0"/>
            </a:rPr>
            <a:t>(https://ethics.research.ac.ir/IR.IAU.DENTAL.REC.1401.120)</a:t>
          </a:r>
        </a:p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800" b="0" kern="1200">
              <a:latin typeface="Cambria" panose="02040503050406030204" pitchFamily="18" charset="0"/>
              <a:ea typeface="Cambria" panose="02040503050406030204" pitchFamily="18" charset="0"/>
            </a:rPr>
            <a:t>(https://ethics.research.ac.ir/IR.IAU.DENTAL.REC.1401.055)</a:t>
          </a:r>
          <a:endParaRPr lang="en-US" sz="800" b="0" kern="1200">
            <a:solidFill>
              <a:sysClr val="window" lastClr="FFFFFF"/>
            </a:solidFill>
            <a:latin typeface="Cambria" panose="02040503050406030204" pitchFamily="18" charset="0"/>
            <a:ea typeface="Cambria" panose="02040503050406030204" pitchFamily="18" charset="0"/>
            <a:cs typeface="+mn-cs"/>
          </a:endParaRPr>
        </a:p>
      </dsp:txBody>
      <dsp:txXfrm>
        <a:off x="18920" y="1292998"/>
        <a:ext cx="7044633" cy="597881"/>
      </dsp:txXfrm>
    </dsp:sp>
    <dsp:sp modelId="{FB1AA4B2-9C96-4AE3-B188-EF636297C157}">
      <dsp:nvSpPr>
        <dsp:cNvPr id="0" name=""/>
        <dsp:cNvSpPr/>
      </dsp:nvSpPr>
      <dsp:spPr>
        <a:xfrm rot="5400843">
          <a:off x="3444719" y="1802904"/>
          <a:ext cx="207495" cy="420982"/>
        </a:xfrm>
        <a:prstGeom prst="rightArrow">
          <a:avLst>
            <a:gd name="adj1" fmla="val 60000"/>
            <a:gd name="adj2" fmla="val 50000"/>
          </a:avLst>
        </a:prstGeom>
        <a:solidFill>
          <a:srgbClr val="C00000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3422180" y="1909647"/>
        <a:ext cx="252590" cy="145247"/>
      </dsp:txXfrm>
    </dsp:sp>
    <dsp:sp modelId="{5361DEA8-8F33-45AA-A45C-E6095E23C596}">
      <dsp:nvSpPr>
        <dsp:cNvPr id="0" name=""/>
        <dsp:cNvSpPr/>
      </dsp:nvSpPr>
      <dsp:spPr>
        <a:xfrm>
          <a:off x="0" y="2094349"/>
          <a:ext cx="7082155" cy="297922"/>
        </a:xfrm>
        <a:prstGeom prst="roundRect">
          <a:avLst>
            <a:gd name="adj" fmla="val 10000"/>
          </a:avLst>
        </a:prstGeom>
        <a:solidFill>
          <a:srgbClr val="5B9BD5">
            <a:lumMod val="60000"/>
            <a:lumOff val="4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>
              <a:solidFill>
                <a:sysClr val="windowText" lastClr="000000"/>
              </a:solidFill>
              <a:latin typeface="Cambria" panose="02040503050406030204" pitchFamily="18" charset="0"/>
              <a:ea typeface="+mn-ea"/>
              <a:cs typeface="+mn-cs"/>
            </a:rPr>
            <a:t>SAMPLES: </a:t>
          </a:r>
          <a:r>
            <a:rPr lang="en-US" sz="8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DPSCs established from a biopsy of dental pulp of a 35-year-old female (cell name DPS-12) (cell No. IBRC C10896) were obtained from the Iranian Biological Resource Center (https://ibrc.ir). Expressing CD44 and CD90 </a:t>
          </a:r>
          <a:r>
            <a:rPr lang="en-GB" sz="800" b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rPr>
            <a:t> </a:t>
          </a:r>
          <a:endParaRPr lang="en-US" sz="800" b="1" kern="1200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  <a:cs typeface="+mn-cs"/>
          </a:endParaRPr>
        </a:p>
      </dsp:txBody>
      <dsp:txXfrm>
        <a:off x="8726" y="2103075"/>
        <a:ext cx="7064703" cy="280470"/>
      </dsp:txXfrm>
    </dsp:sp>
    <dsp:sp modelId="{E3103755-1C26-4A57-A685-E184B7BAAEC6}">
      <dsp:nvSpPr>
        <dsp:cNvPr id="0" name=""/>
        <dsp:cNvSpPr/>
      </dsp:nvSpPr>
      <dsp:spPr>
        <a:xfrm rot="5400000">
          <a:off x="3435008" y="2276721"/>
          <a:ext cx="212137" cy="453894"/>
        </a:xfrm>
        <a:prstGeom prst="rightArrow">
          <a:avLst>
            <a:gd name="adj1" fmla="val 60000"/>
            <a:gd name="adj2" fmla="val 50000"/>
          </a:avLst>
        </a:prstGeom>
        <a:solidFill>
          <a:srgbClr val="C00000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3404909" y="2397600"/>
        <a:ext cx="272336" cy="148496"/>
      </dsp:txXfrm>
    </dsp:sp>
    <dsp:sp modelId="{B2BD32B6-06D4-49FB-B2C7-E29A04AF2662}">
      <dsp:nvSpPr>
        <dsp:cNvPr id="0" name=""/>
        <dsp:cNvSpPr/>
      </dsp:nvSpPr>
      <dsp:spPr>
        <a:xfrm>
          <a:off x="0" y="2615065"/>
          <a:ext cx="7082155" cy="2500805"/>
        </a:xfrm>
        <a:prstGeom prst="roundRect">
          <a:avLst>
            <a:gd name="adj" fmla="val 10000"/>
          </a:avLst>
        </a:prstGeom>
        <a:solidFill>
          <a:srgbClr val="5B9BD5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>
              <a:solidFill>
                <a:schemeClr val="tx1"/>
              </a:solidFill>
              <a:latin typeface="Cambria" panose="02040503050406030204" pitchFamily="18" charset="0"/>
              <a:ea typeface="+mn-ea"/>
              <a:cs typeface="+mn-cs"/>
            </a:rPr>
            <a:t>EXPERIMENTAL AND CONTROL GROUPS, INCLUDE INDEPENDENT VARIABLES </a:t>
          </a:r>
          <a:endParaRPr lang="en-MY" sz="800" b="1" kern="1200">
            <a:solidFill>
              <a:schemeClr val="tx1"/>
            </a:solidFill>
            <a:latin typeface="Cambria" panose="02040503050406030204" pitchFamily="18" charset="0"/>
            <a:ea typeface="+mn-ea"/>
            <a:cs typeface="+mn-cs"/>
          </a:endParaRPr>
        </a:p>
        <a:p>
          <a:pPr lvl="0" algn="just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800" b="1" i="1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MTT Assay-</a:t>
          </a:r>
          <a:r>
            <a:rPr lang="en-US" sz="800" i="1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 </a:t>
          </a:r>
          <a:r>
            <a:rPr lang="en-US" sz="8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DPSCs cultured in proliferative medium were divided into 9 subgroups (</a:t>
          </a:r>
          <a:r>
            <a:rPr lang="en-US" sz="800" i="1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n</a:t>
          </a:r>
          <a:r>
            <a:rPr lang="en-US" sz="8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=7) including: </a:t>
          </a:r>
          <a:r>
            <a:rPr lang="en-US" sz="800" b="1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MTT-1-1</a:t>
          </a:r>
          <a:r>
            <a:rPr lang="en-US" sz="8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assessed for viability 1 day after single dose LLL irradiation,  </a:t>
          </a:r>
          <a:r>
            <a:rPr lang="en-US" sz="800" b="1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MTT-1-7</a:t>
          </a:r>
          <a:r>
            <a:rPr lang="en-US" sz="8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assessed for viability 7 days after single dose LLL irradiation,  </a:t>
          </a:r>
          <a:r>
            <a:rPr lang="en-US" sz="800" b="1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MTT-1-14</a:t>
          </a:r>
          <a:r>
            <a:rPr lang="en-US" sz="8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assessed for viability 14 days after single dose LLL irradiation,  </a:t>
          </a:r>
          <a:r>
            <a:rPr lang="en-US" sz="800" b="1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MTT-2-1</a:t>
          </a:r>
          <a:r>
            <a:rPr lang="en-US" sz="8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assessed for viability 1 day after double dose LLL irradiation 48 hours apart,  </a:t>
          </a:r>
          <a:r>
            <a:rPr lang="en-US" sz="800" b="1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MTT-2-7</a:t>
          </a:r>
          <a:r>
            <a:rPr lang="en-US" sz="8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assessed for viability 7 days after double dose LLL irradiation 48 hours apart,  </a:t>
          </a:r>
          <a:r>
            <a:rPr lang="en-US" sz="800" b="1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MTT-2-14</a:t>
          </a:r>
          <a:r>
            <a:rPr lang="en-US" sz="8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assessed for viability 14 days after double dose LLL irradiation 48 hours apart and, </a:t>
          </a:r>
          <a:r>
            <a:rPr lang="en-US" sz="800" b="1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negative control</a:t>
          </a:r>
          <a:r>
            <a:rPr lang="en-US" sz="8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 (</a:t>
          </a:r>
          <a:r>
            <a:rPr lang="en-US" sz="800" b="1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MTT-0-1, MTT-0-7, MTT-0-14</a:t>
          </a:r>
          <a:r>
            <a:rPr lang="en-US" sz="8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) DPSCs cultured in proliferative medium without LLLI that were assessed in days 1, 7 and 14 for viability.</a:t>
          </a:r>
        </a:p>
        <a:p>
          <a:pPr lvl="0" algn="just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en-US" sz="800" kern="1200">
            <a:solidFill>
              <a:schemeClr val="tx1"/>
            </a:solidFill>
            <a:latin typeface="Cambria" panose="02040503050406030204" pitchFamily="18" charset="0"/>
            <a:ea typeface="Cambria" panose="02040503050406030204" pitchFamily="18" charset="0"/>
          </a:endParaRPr>
        </a:p>
        <a:p>
          <a:pPr lvl="0" algn="just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800" b="1" i="1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ELISA for expression of DSP- </a:t>
          </a:r>
          <a:r>
            <a:rPr lang="en-US" sz="8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DPSCs were culture in osteogenic medium and divided into 9 subgroups (</a:t>
          </a:r>
          <a:r>
            <a:rPr lang="en-US" sz="800" i="1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n</a:t>
          </a:r>
          <a:r>
            <a:rPr lang="en-US" sz="8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=7) including:</a:t>
          </a:r>
        </a:p>
        <a:p>
          <a:pPr lvl="0" algn="just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800" b="1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DSP-1-1</a:t>
          </a:r>
          <a:r>
            <a:rPr lang="en-US" sz="8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DPSC assessed for DSP production 1 day after single dose LLL irradiation, </a:t>
          </a:r>
          <a:r>
            <a:rPr lang="en-US" sz="800" b="1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DSP-1-7</a:t>
          </a:r>
          <a:r>
            <a:rPr lang="en-US" sz="8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DPSC assessed for DSP production 7 days after single dose LLL irradiation, </a:t>
          </a:r>
          <a:r>
            <a:rPr lang="en-US" sz="800" b="1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DSP-1-14</a:t>
          </a:r>
          <a:r>
            <a:rPr lang="en-US" sz="8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DPSC assessed for DSP production 14 days after single dose LLL irradiation, </a:t>
          </a:r>
          <a:r>
            <a:rPr lang="en-US" sz="800" b="1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DSP-2-1</a:t>
          </a:r>
          <a:r>
            <a:rPr lang="en-US" sz="8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DPSC assessed for DSP production 1 day after double dose LLL irradiation 48 hours apart, </a:t>
          </a:r>
          <a:r>
            <a:rPr lang="en-US" sz="800" b="1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DSP-2-7</a:t>
          </a:r>
          <a:r>
            <a:rPr lang="en-US" sz="8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DPSC assessed for DSP production 7 day after double dose LLL irradiation 48 hours apart, </a:t>
          </a:r>
          <a:r>
            <a:rPr lang="en-US" sz="800" b="1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DSP-2-14</a:t>
          </a:r>
          <a:r>
            <a:rPr lang="en-US" sz="8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DPSC assessed for DSP production 14 day after double dose LLL irradiation 48 hours apart and, </a:t>
          </a:r>
          <a:r>
            <a:rPr lang="en-US" sz="800" b="1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negative control</a:t>
          </a:r>
          <a:r>
            <a:rPr lang="en-US" sz="8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 (</a:t>
          </a:r>
          <a:r>
            <a:rPr lang="en-US" sz="800" b="1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DSP-0-1, DSP-0-7, DSP-0-14</a:t>
          </a:r>
          <a:r>
            <a:rPr lang="en-US" sz="8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) DPSCs cultured in proliferative medium without LLLI that were assessed in days 1, 7 and 14 for DSP production.</a:t>
          </a:r>
        </a:p>
        <a:p>
          <a:pPr lvl="0" algn="just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en-US" sz="800" i="0" kern="1200">
            <a:solidFill>
              <a:schemeClr val="tx1"/>
            </a:solidFill>
            <a:latin typeface="Cambria" panose="02040503050406030204" pitchFamily="18" charset="0"/>
            <a:ea typeface="Cambria" panose="02040503050406030204" pitchFamily="18" charset="0"/>
          </a:endParaRPr>
        </a:p>
        <a:p>
          <a:pPr lvl="0" algn="just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800" b="1" i="1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ELISA for expression of VEGF</a:t>
          </a:r>
          <a:r>
            <a:rPr lang="en-US" sz="800" i="1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 -</a:t>
          </a:r>
          <a:r>
            <a:rPr lang="en-US" sz="8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DPSCs were cultured in proliferative medium and divided into 9 subgroups (</a:t>
          </a:r>
          <a:r>
            <a:rPr lang="en-US" sz="800" i="1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n</a:t>
          </a:r>
          <a:r>
            <a:rPr lang="en-US" sz="8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=7) including:</a:t>
          </a:r>
        </a:p>
        <a:p>
          <a:pPr lvl="0" algn="just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800" b="1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VEGF-1-1</a:t>
          </a:r>
          <a:r>
            <a:rPr lang="en-US" sz="8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DPSCs assessed for VEGF production 1 day after single dose LLL irradiation, </a:t>
          </a:r>
          <a:r>
            <a:rPr lang="en-US" sz="800" b="1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VEGF-1-7</a:t>
          </a:r>
          <a:r>
            <a:rPr lang="en-US" sz="8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DPSCs assessed for VEGF production 7 days after single dose LLL irradiation, </a:t>
          </a:r>
          <a:r>
            <a:rPr lang="en-US" sz="800" b="1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VEGF-1-14</a:t>
          </a:r>
          <a:r>
            <a:rPr lang="en-US" sz="8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DPSCs assessed for VEGF production 14 days after single dose LLL irradiation, </a:t>
          </a:r>
          <a:r>
            <a:rPr lang="en-US" sz="800" b="1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VEGF-2-1</a:t>
          </a:r>
          <a:r>
            <a:rPr lang="en-US" sz="8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DPSCs assessed for VEGF production 1 day after double dose LLL irradiation 48 hours apart, </a:t>
          </a:r>
          <a:r>
            <a:rPr lang="en-US" sz="800" b="1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VEGF-2-7</a:t>
          </a:r>
          <a:r>
            <a:rPr lang="en-US" sz="8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DPSCs assessed for VEGF production 7 days after double dose LLL irradiation 48 hours apart, </a:t>
          </a:r>
          <a:r>
            <a:rPr lang="en-US" sz="800" b="1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VEGF-2-14</a:t>
          </a:r>
          <a:r>
            <a:rPr lang="en-US" sz="8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; DPSCs assessed for VEGF production 14 day after double dose LLL irradiation 48 hours apart and, </a:t>
          </a:r>
          <a:r>
            <a:rPr lang="en-US" sz="800" b="1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negative control</a:t>
          </a:r>
          <a:r>
            <a:rPr lang="en-US" sz="8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 (</a:t>
          </a:r>
          <a:r>
            <a:rPr lang="en-US" sz="800" b="1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VEGF-0-1, VEGF-0-7, VEGF-0-14</a:t>
          </a:r>
          <a:r>
            <a:rPr lang="en-US" sz="8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)DPSCs cultured in proliferative medium without LLLI that were assessed in days 1, 7 and 14 for VEGF production</a:t>
          </a:r>
          <a:endParaRPr lang="en-US" sz="800" b="1" kern="1200">
            <a:solidFill>
              <a:schemeClr val="tx1"/>
            </a:solidFill>
            <a:latin typeface="Cambria" panose="02040503050406030204" pitchFamily="18" charset="0"/>
            <a:ea typeface="Cambria" panose="02040503050406030204" pitchFamily="18" charset="0"/>
            <a:cs typeface="+mn-cs"/>
          </a:endParaRPr>
        </a:p>
      </dsp:txBody>
      <dsp:txXfrm>
        <a:off x="73246" y="2688311"/>
        <a:ext cx="6935663" cy="2354313"/>
      </dsp:txXfrm>
    </dsp:sp>
    <dsp:sp modelId="{E7B7DF1D-17EE-4809-8C96-EAE428ABCC01}">
      <dsp:nvSpPr>
        <dsp:cNvPr id="0" name=""/>
        <dsp:cNvSpPr/>
      </dsp:nvSpPr>
      <dsp:spPr>
        <a:xfrm rot="5400000">
          <a:off x="3436769" y="4998471"/>
          <a:ext cx="208616" cy="453894"/>
        </a:xfrm>
        <a:prstGeom prst="rightArrow">
          <a:avLst>
            <a:gd name="adj1" fmla="val 60000"/>
            <a:gd name="adj2" fmla="val 50000"/>
          </a:avLst>
        </a:prstGeom>
        <a:solidFill>
          <a:srgbClr val="C00000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3404910" y="5121110"/>
        <a:ext cx="272336" cy="146031"/>
      </dsp:txXfrm>
    </dsp:sp>
    <dsp:sp modelId="{10060258-2D45-46BC-B9C1-22A6BB16FC91}">
      <dsp:nvSpPr>
        <dsp:cNvPr id="0" name=""/>
        <dsp:cNvSpPr/>
      </dsp:nvSpPr>
      <dsp:spPr>
        <a:xfrm>
          <a:off x="0" y="5334967"/>
          <a:ext cx="7082155" cy="691646"/>
        </a:xfrm>
        <a:prstGeom prst="roundRect">
          <a:avLst>
            <a:gd name="adj" fmla="val 10000"/>
          </a:avLst>
        </a:prstGeom>
        <a:solidFill>
          <a:srgbClr val="5B9BD5">
            <a:lumMod val="60000"/>
            <a:lumOff val="4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>
              <a:solidFill>
                <a:sysClr val="windowText" lastClr="000000"/>
              </a:solidFill>
              <a:latin typeface="Cambria" panose="02040503050406030204" pitchFamily="18" charset="0"/>
              <a:ea typeface="+mn-ea"/>
              <a:cs typeface="+mn-cs"/>
            </a:rPr>
            <a:t>OUTCOME(S) ASSESSED, INCLUDE DEPENDENT VARIABLES AND TYPE</a:t>
          </a:r>
          <a:endParaRPr lang="en-MY" sz="800" b="1" kern="1200">
            <a:solidFill>
              <a:sysClr val="windowText" lastClr="000000"/>
            </a:solidFill>
            <a:latin typeface="Cambria" panose="02040503050406030204" pitchFamily="18" charset="0"/>
            <a:ea typeface="+mn-ea"/>
            <a:cs typeface="+mn-cs"/>
          </a:endParaRPr>
        </a:p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GB" sz="800" b="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rPr>
            <a:t>(1-</a:t>
          </a:r>
          <a:r>
            <a:rPr lang="en-US" sz="800" b="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proliferation and viability of DPSCs after LLLI through the </a:t>
          </a:r>
          <a:r>
            <a:rPr lang="en-US" sz="800" b="0" kern="1200">
              <a:latin typeface="Cambria" panose="02040503050406030204" pitchFamily="18" charset="0"/>
              <a:ea typeface="Cambria" panose="02040503050406030204" pitchFamily="18" charset="0"/>
            </a:rPr>
            <a:t> </a:t>
          </a:r>
          <a:r>
            <a:rPr lang="en-GB" sz="800" b="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rPr>
            <a:t>)</a:t>
          </a:r>
        </a:p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GB" sz="800" b="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rPr>
            <a:t>(2-</a:t>
          </a:r>
          <a:r>
            <a:rPr lang="en-US" sz="800" b="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Dentinogenic activity of DPSCs after LLLI through the ELISA reading for DSP</a:t>
          </a:r>
          <a:r>
            <a:rPr lang="en-US" sz="800" b="0" kern="1200">
              <a:latin typeface="Cambria" panose="02040503050406030204" pitchFamily="18" charset="0"/>
              <a:ea typeface="Cambria" panose="02040503050406030204" pitchFamily="18" charset="0"/>
            </a:rPr>
            <a:t> </a:t>
          </a:r>
          <a:r>
            <a:rPr lang="en-GB" sz="800" b="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rPr>
            <a:t>)</a:t>
          </a:r>
        </a:p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GB" sz="800" b="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rPr>
            <a:t>(3-</a:t>
          </a:r>
          <a:r>
            <a:rPr lang="en-US" sz="800" b="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Angiogenic activity of DPSCs after LLLI through the ELISA reading for VEGF</a:t>
          </a:r>
          <a:r>
            <a:rPr lang="en-US" sz="800" b="0" kern="1200">
              <a:latin typeface="Cambria" panose="02040503050406030204" pitchFamily="18" charset="0"/>
              <a:ea typeface="Cambria" panose="02040503050406030204" pitchFamily="18" charset="0"/>
            </a:rPr>
            <a:t> </a:t>
          </a:r>
          <a:r>
            <a:rPr lang="en-GB" sz="800" b="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rPr>
            <a:t>)</a:t>
          </a:r>
          <a:endParaRPr lang="en-US" sz="800" b="0" kern="1200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  <a:cs typeface="+mn-cs"/>
          </a:endParaRPr>
        </a:p>
      </dsp:txBody>
      <dsp:txXfrm>
        <a:off x="20258" y="5355225"/>
        <a:ext cx="7041639" cy="651130"/>
      </dsp:txXfrm>
    </dsp:sp>
    <dsp:sp modelId="{9D25709D-7870-4803-AD9B-464969BC4CF9}">
      <dsp:nvSpPr>
        <dsp:cNvPr id="0" name=""/>
        <dsp:cNvSpPr/>
      </dsp:nvSpPr>
      <dsp:spPr>
        <a:xfrm rot="5400000">
          <a:off x="3419315" y="5927544"/>
          <a:ext cx="243524" cy="453894"/>
        </a:xfrm>
        <a:prstGeom prst="rightArrow">
          <a:avLst>
            <a:gd name="adj1" fmla="val 60000"/>
            <a:gd name="adj2" fmla="val 50000"/>
          </a:avLst>
        </a:prstGeom>
        <a:solidFill>
          <a:srgbClr val="C00000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3404910" y="6032729"/>
        <a:ext cx="272336" cy="170467"/>
      </dsp:txXfrm>
    </dsp:sp>
    <dsp:sp modelId="{DF7DE8B9-456E-4DBB-A524-19A9C2A2B689}">
      <dsp:nvSpPr>
        <dsp:cNvPr id="0" name=""/>
        <dsp:cNvSpPr/>
      </dsp:nvSpPr>
      <dsp:spPr>
        <a:xfrm>
          <a:off x="0" y="6282370"/>
          <a:ext cx="7082155" cy="532642"/>
        </a:xfrm>
        <a:prstGeom prst="roundRect">
          <a:avLst>
            <a:gd name="adj" fmla="val 10000"/>
          </a:avLst>
        </a:prstGeom>
        <a:solidFill>
          <a:srgbClr val="5B9BD5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 rtl="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GB" sz="800" b="1" kern="1200">
              <a:solidFill>
                <a:schemeClr val="tx1"/>
              </a:solidFill>
              <a:latin typeface="Cambria" panose="02040503050406030204" pitchFamily="18" charset="0"/>
              <a:ea typeface="+mn-ea"/>
              <a:cs typeface="+mn-cs"/>
            </a:rPr>
            <a:t>METHOD USED TO ASSESS THE OUTCOME (S) AND WHO ASSESSED THE OUTCOME(S) </a:t>
          </a:r>
        </a:p>
        <a:p>
          <a:pPr lvl="0" algn="ctr" defTabSz="355600" rtl="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800" b="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MTT colorimetric reaction assay for proliferation and viability </a:t>
          </a:r>
          <a:r>
            <a:rPr lang="en-US" sz="800" b="0" i="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- </a:t>
          </a:r>
          <a:r>
            <a:rPr lang="en-GB" sz="800" b="0" i="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rPr>
            <a:t>by laboratory staff</a:t>
          </a:r>
        </a:p>
        <a:p>
          <a:pPr lvl="0" algn="ctr" defTabSz="355600" rtl="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800" b="0" i="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ELISA for expression of DSP-</a:t>
          </a:r>
          <a:r>
            <a:rPr lang="en-GB" sz="800" b="0" i="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rPr>
            <a:t>by laboratory staff</a:t>
          </a:r>
          <a:endParaRPr lang="en-US" sz="800" b="0" i="0" kern="1200">
            <a:solidFill>
              <a:schemeClr val="tx1"/>
            </a:solidFill>
            <a:latin typeface="Cambria" panose="02040503050406030204" pitchFamily="18" charset="0"/>
            <a:ea typeface="Cambria" panose="02040503050406030204" pitchFamily="18" charset="0"/>
          </a:endParaRPr>
        </a:p>
        <a:p>
          <a:pPr lvl="0" algn="ctr" defTabSz="355600" rtl="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800" b="0" i="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ELISA for expression of VEGF-</a:t>
          </a:r>
          <a:r>
            <a:rPr lang="en-GB" sz="800" b="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rPr>
            <a:t>by laboratory staff</a:t>
          </a:r>
          <a:endParaRPr lang="en-US" sz="800" b="0" i="1" kern="1200">
            <a:solidFill>
              <a:schemeClr val="tx1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sp:txBody>
      <dsp:txXfrm>
        <a:off x="15601" y="6297971"/>
        <a:ext cx="7050953" cy="501440"/>
      </dsp:txXfrm>
    </dsp:sp>
    <dsp:sp modelId="{6341ED82-6A38-4D06-96B8-ACB06385D731}">
      <dsp:nvSpPr>
        <dsp:cNvPr id="0" name=""/>
        <dsp:cNvSpPr/>
      </dsp:nvSpPr>
      <dsp:spPr>
        <a:xfrm rot="5400000">
          <a:off x="3420853" y="6714328"/>
          <a:ext cx="240447" cy="453894"/>
        </a:xfrm>
        <a:prstGeom prst="rightArrow">
          <a:avLst>
            <a:gd name="adj1" fmla="val 60000"/>
            <a:gd name="adj2" fmla="val 50000"/>
          </a:avLst>
        </a:prstGeom>
        <a:solidFill>
          <a:srgbClr val="C00000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3404909" y="6821051"/>
        <a:ext cx="272336" cy="168313"/>
      </dsp:txXfrm>
    </dsp:sp>
    <dsp:sp modelId="{D8C7C523-BDE1-4C9E-BF47-FCC96FF997A7}">
      <dsp:nvSpPr>
        <dsp:cNvPr id="0" name=""/>
        <dsp:cNvSpPr/>
      </dsp:nvSpPr>
      <dsp:spPr>
        <a:xfrm>
          <a:off x="0" y="7067538"/>
          <a:ext cx="7082155" cy="501909"/>
        </a:xfrm>
        <a:prstGeom prst="roundRect">
          <a:avLst>
            <a:gd name="adj" fmla="val 10000"/>
          </a:avLst>
        </a:prstGeom>
        <a:solidFill>
          <a:srgbClr val="5B9BD5">
            <a:lumMod val="60000"/>
            <a:lumOff val="4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GB" sz="800" b="1" kern="1200">
              <a:solidFill>
                <a:sysClr val="windowText" lastClr="000000"/>
              </a:solidFill>
              <a:latin typeface="Cambria" panose="02040503050406030204" pitchFamily="18" charset="0"/>
              <a:ea typeface="+mn-ea"/>
              <a:cs typeface="+mn-cs"/>
            </a:rPr>
            <a:t>RESULTS </a:t>
          </a:r>
          <a:endParaRPr lang="en-MY" sz="800" b="1" kern="1200">
            <a:solidFill>
              <a:sysClr val="windowText" lastClr="000000"/>
            </a:solidFill>
            <a:latin typeface="Cambria" panose="02040503050406030204" pitchFamily="18" charset="0"/>
            <a:ea typeface="+mn-ea"/>
            <a:cs typeface="+mn-cs"/>
          </a:endParaRPr>
        </a:p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8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Single and double doses of LLLI caused an increase in proliferative activity of DPSCs.</a:t>
          </a:r>
        </a:p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8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Single and double doses of LLLI caused an increase in dentinogenic differentiation of DPSCs in osteogenic medium.</a:t>
          </a:r>
        </a:p>
        <a:p>
          <a:pPr lvl="0" algn="ctr" defTabSz="3556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8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Single and double doses of LLLI caused an increase in angiogenic differentiation of DPSCs.</a:t>
          </a:r>
          <a:endParaRPr lang="en-US" sz="800" b="1" kern="1200">
            <a:solidFill>
              <a:schemeClr val="tx1"/>
            </a:solidFill>
            <a:latin typeface="Cambria" panose="02040503050406030204" pitchFamily="18" charset="0"/>
            <a:ea typeface="Cambria" panose="02040503050406030204" pitchFamily="18" charset="0"/>
            <a:cs typeface="+mn-cs"/>
          </a:endParaRPr>
        </a:p>
      </dsp:txBody>
      <dsp:txXfrm>
        <a:off x="14700" y="7082238"/>
        <a:ext cx="7052755" cy="472509"/>
      </dsp:txXfrm>
    </dsp:sp>
    <dsp:sp modelId="{5598922E-29D5-41A2-9C83-C9EF6701164C}">
      <dsp:nvSpPr>
        <dsp:cNvPr id="0" name=""/>
        <dsp:cNvSpPr/>
      </dsp:nvSpPr>
      <dsp:spPr>
        <a:xfrm rot="5471633">
          <a:off x="3433750" y="7447410"/>
          <a:ext cx="199821" cy="453894"/>
        </a:xfrm>
        <a:prstGeom prst="rightArrow">
          <a:avLst>
            <a:gd name="adj1" fmla="val 60000"/>
            <a:gd name="adj2" fmla="val 50000"/>
          </a:avLst>
        </a:prstGeom>
        <a:solidFill>
          <a:srgbClr val="C00000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3398118" y="7574453"/>
        <a:ext cx="272336" cy="139875"/>
      </dsp:txXfrm>
    </dsp:sp>
    <dsp:sp modelId="{4EE815E4-5B8D-4EA0-B282-4EBF2A247396}">
      <dsp:nvSpPr>
        <dsp:cNvPr id="0" name=""/>
        <dsp:cNvSpPr/>
      </dsp:nvSpPr>
      <dsp:spPr>
        <a:xfrm>
          <a:off x="133351" y="7779266"/>
          <a:ext cx="6786769" cy="454829"/>
        </a:xfrm>
        <a:prstGeom prst="roundRect">
          <a:avLst>
            <a:gd name="adj" fmla="val 10000"/>
          </a:avLst>
        </a:prstGeom>
        <a:solidFill>
          <a:srgbClr val="5B9BD5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rPr>
            <a:t>CONCLUSION(S</a:t>
          </a:r>
          <a:r>
            <a:rPr lang="en-GB" sz="8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rPr>
            <a:t> )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LLLI with 660-nm diode laser, can enhance the mitochondrial activity and proliferation of DPSCs. Also increased production of DSP and VEGF can be expected as an indicator of dentinogenic activity and angiogenesis.</a:t>
          </a:r>
          <a:endParaRPr lang="en-GB" sz="800" kern="1200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  <a:cs typeface="+mn-cs"/>
          </a:endParaRPr>
        </a:p>
      </dsp:txBody>
      <dsp:txXfrm>
        <a:off x="146672" y="7792587"/>
        <a:ext cx="6760127" cy="428187"/>
      </dsp:txXfrm>
    </dsp:sp>
    <dsp:sp modelId="{2247C727-AF64-4154-A771-D6F7AB767477}">
      <dsp:nvSpPr>
        <dsp:cNvPr id="0" name=""/>
        <dsp:cNvSpPr/>
      </dsp:nvSpPr>
      <dsp:spPr>
        <a:xfrm rot="5296279">
          <a:off x="3428316" y="8121285"/>
          <a:ext cx="217453" cy="453894"/>
        </a:xfrm>
        <a:prstGeom prst="rightArrow">
          <a:avLst>
            <a:gd name="adj1" fmla="val 60000"/>
            <a:gd name="adj2" fmla="val 50000"/>
          </a:avLst>
        </a:prstGeom>
        <a:solidFill>
          <a:srgbClr val="C00000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3399891" y="8239520"/>
        <a:ext cx="272336" cy="152217"/>
      </dsp:txXfrm>
    </dsp:sp>
    <dsp:sp modelId="{7FA8F34A-701F-4935-B4AA-2F677899D5E2}">
      <dsp:nvSpPr>
        <dsp:cNvPr id="0" name=""/>
        <dsp:cNvSpPr/>
      </dsp:nvSpPr>
      <dsp:spPr>
        <a:xfrm>
          <a:off x="2322060" y="8462367"/>
          <a:ext cx="2446507" cy="319818"/>
        </a:xfrm>
        <a:prstGeom prst="roundRect">
          <a:avLst>
            <a:gd name="adj" fmla="val 10000"/>
          </a:avLst>
        </a:prstGeom>
        <a:solidFill>
          <a:srgbClr val="5B9BD5">
            <a:lumMod val="60000"/>
            <a:lumOff val="4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>
              <a:solidFill>
                <a:sysClr val="windowText" lastClr="000000"/>
              </a:solidFill>
              <a:latin typeface="Cambria" panose="02040503050406030204" pitchFamily="18" charset="0"/>
              <a:ea typeface="+mn-ea"/>
              <a:cs typeface="+mn-cs"/>
            </a:rPr>
            <a:t>FUNDING DETAILS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>
              <a:solidFill>
                <a:sysClr val="windowText" lastClr="000000"/>
              </a:solidFill>
              <a:latin typeface="Cambria" panose="02040503050406030204" pitchFamily="18" charset="0"/>
              <a:ea typeface="+mn-ea"/>
              <a:cs typeface="+mn-cs"/>
            </a:rPr>
            <a:t>nonne</a:t>
          </a:r>
          <a:endParaRPr lang="en-US" sz="800" b="1" kern="1200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  <a:cs typeface="+mn-cs"/>
          </a:endParaRPr>
        </a:p>
      </dsp:txBody>
      <dsp:txXfrm>
        <a:off x="2331427" y="8471734"/>
        <a:ext cx="2427773" cy="301084"/>
      </dsp:txXfrm>
    </dsp:sp>
    <dsp:sp modelId="{8A6F2504-C598-4533-8C97-297371AE6B44}">
      <dsp:nvSpPr>
        <dsp:cNvPr id="0" name=""/>
        <dsp:cNvSpPr/>
      </dsp:nvSpPr>
      <dsp:spPr>
        <a:xfrm rot="5338961">
          <a:off x="3417731" y="8694793"/>
          <a:ext cx="265801" cy="453894"/>
        </a:xfrm>
        <a:prstGeom prst="rightArrow">
          <a:avLst>
            <a:gd name="adj1" fmla="val 60000"/>
            <a:gd name="adj2" fmla="val 50000"/>
          </a:avLst>
        </a:prstGeom>
        <a:solidFill>
          <a:srgbClr val="C00000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300" kern="1200">
            <a:solidFill>
              <a:srgbClr val="FF0000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3413756" y="8788845"/>
        <a:ext cx="272336" cy="186061"/>
      </dsp:txXfrm>
    </dsp:sp>
    <dsp:sp modelId="{3DA5F195-E5E8-44F0-AFF2-2C65B2D298D9}">
      <dsp:nvSpPr>
        <dsp:cNvPr id="0" name=""/>
        <dsp:cNvSpPr/>
      </dsp:nvSpPr>
      <dsp:spPr>
        <a:xfrm>
          <a:off x="2326609" y="9061295"/>
          <a:ext cx="2461078" cy="454829"/>
        </a:xfrm>
        <a:prstGeom prst="roundRect">
          <a:avLst>
            <a:gd name="adj" fmla="val 10000"/>
          </a:avLst>
        </a:prstGeom>
        <a:solidFill>
          <a:srgbClr val="5B9BD5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>
              <a:solidFill>
                <a:sysClr val="window" lastClr="FFFFFF"/>
              </a:solidFill>
              <a:latin typeface="Cambria" panose="02040503050406030204" pitchFamily="18" charset="0"/>
              <a:ea typeface="+mn-ea"/>
              <a:cs typeface="+mn-cs"/>
            </a:rPr>
            <a:t>CONFLICT OF INTEREST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>
              <a:solidFill>
                <a:sysClr val="window" lastClr="FFFFFF"/>
              </a:solidFill>
              <a:latin typeface="Cambria" panose="02040503050406030204" pitchFamily="18" charset="0"/>
              <a:ea typeface="+mn-ea"/>
              <a:cs typeface="+mn-cs"/>
            </a:rPr>
            <a:t>none declared</a:t>
          </a:r>
          <a:endParaRPr lang="en-US" sz="800" b="1" kern="1200">
            <a:solidFill>
              <a:sysClr val="window" lastClr="FFFFFF"/>
            </a:solidFill>
            <a:latin typeface="Cambria" panose="02040503050406030204" pitchFamily="18" charset="0"/>
            <a:ea typeface="Cambria" panose="02040503050406030204" pitchFamily="18" charset="0"/>
            <a:cs typeface="+mn-cs"/>
          </a:endParaRPr>
        </a:p>
      </dsp:txBody>
      <dsp:txXfrm>
        <a:off x="2339930" y="9074616"/>
        <a:ext cx="2434436" cy="42818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B7755-3ECF-4819-BAED-6740F30FA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Motamedi</dc:creator>
  <cp:keywords/>
  <dc:description/>
  <cp:lastModifiedBy>Mahta Fazlyab</cp:lastModifiedBy>
  <cp:revision>3</cp:revision>
  <cp:lastPrinted>2021-03-27T11:33:00Z</cp:lastPrinted>
  <dcterms:created xsi:type="dcterms:W3CDTF">2023-07-21T08:37:00Z</dcterms:created>
  <dcterms:modified xsi:type="dcterms:W3CDTF">2023-07-23T10:51:00Z</dcterms:modified>
</cp:coreProperties>
</file>