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 w:firstLineChars="0"/>
        <w:jc w:val="left"/>
        <w:textAlignment w:val="auto"/>
        <w:outlineLvl w:val="0"/>
        <w:rPr>
          <w:rFonts w:hint="default" w:ascii="Times New Roman" w:hAnsi="Times New Roman" w:eastAsia="仿宋" w:cs="Times New Roman"/>
          <w:b/>
          <w:bCs/>
          <w:sz w:val="28"/>
          <w:szCs w:val="28"/>
          <w:highlight w:val="none"/>
          <w:lang w:val="en-US" w:eastAsia="zh-CN"/>
        </w:rPr>
      </w:pPr>
      <w:bookmarkStart w:id="0" w:name="_Toc1071"/>
      <w:r>
        <w:rPr>
          <w:rFonts w:hint="default" w:ascii="Times New Roman" w:hAnsi="Times New Roman" w:eastAsia="仿宋" w:cs="Times New Roman"/>
          <w:b/>
          <w:bCs/>
          <w:sz w:val="28"/>
          <w:szCs w:val="28"/>
          <w:highlight w:val="none"/>
          <w:lang w:val="en-US" w:eastAsia="zh-CN"/>
        </w:rPr>
        <w:t>Supplementary material of Data</w:t>
      </w:r>
      <w:r>
        <w:rPr>
          <w:rFonts w:hint="eastAsia" w:eastAsia="仿宋" w:cs="Times New Roman"/>
          <w:b/>
          <w:bCs/>
          <w:sz w:val="28"/>
          <w:szCs w:val="28"/>
          <w:highlight w:val="none"/>
          <w:lang w:val="en-US" w:eastAsia="zh-CN"/>
        </w:rPr>
        <w:t>+</w:t>
      </w:r>
      <w:bookmarkStart w:id="1" w:name="OLE_LINK28"/>
      <w:r>
        <w:rPr>
          <w:rFonts w:hint="eastAsia" w:eastAsia="仿宋" w:cs="Times New Roman"/>
          <w:b/>
          <w:bCs/>
          <w:sz w:val="28"/>
          <w:szCs w:val="28"/>
          <w:highlight w:val="none"/>
          <w:lang w:val="en-US" w:eastAsia="zh-CN"/>
        </w:rPr>
        <w:t>Figure</w:t>
      </w:r>
      <w:bookmarkEnd w:id="0"/>
    </w:p>
    <w:sdt>
      <w:sdtPr>
        <w:rPr>
          <w:rFonts w:hint="default" w:ascii="Times New Roman" w:hAnsi="Times New Roman" w:eastAsia="宋体" w:cs="Times New Roman"/>
          <w:kern w:val="2"/>
          <w:sz w:val="21"/>
          <w:highlight w:val="none"/>
          <w:lang w:val="en-US" w:eastAsia="zh-CN" w:bidi="ar-SA"/>
        </w:rPr>
        <w:id w:val="147456083"/>
        <w15:color w:val="DBDBDB"/>
        <w:docPartObj>
          <w:docPartGallery w:val="Table of Contents"/>
          <w:docPartUnique/>
        </w:docPartObj>
      </w:sdtPr>
      <w:sdtEndPr>
        <w:rPr>
          <w:rFonts w:hint="default" w:ascii="Times New Roman" w:hAnsi="Times New Roman" w:eastAsia="仿宋" w:cs="Times New Roman"/>
          <w:b/>
          <w:bCs/>
          <w:kern w:val="2"/>
          <w:sz w:val="21"/>
          <w:szCs w:val="18"/>
          <w:highlight w:val="none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default" w:ascii="Times New Roman" w:hAnsi="Times New Roman" w:cs="Times New Roman"/>
              <w:highlight w:val="none"/>
            </w:rPr>
          </w:pPr>
        </w:p>
        <w:p>
          <w:pPr>
            <w:pStyle w:val="13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/>
              <w:bCs/>
              <w:sz w:val="18"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/>
              <w:bCs/>
              <w:sz w:val="18"/>
              <w:szCs w:val="18"/>
              <w:highlight w:val="none"/>
              <w:lang w:val="en-US" w:eastAsia="zh-CN"/>
            </w:rPr>
            <w:instrText xml:space="preserve">TOC \o "1-2" \h \u </w:instrText>
          </w:r>
          <w:r>
            <w:rPr>
              <w:rFonts w:hint="default" w:ascii="Times New Roman" w:hAnsi="Times New Roman" w:eastAsia="仿宋" w:cs="Times New Roman"/>
              <w:b/>
              <w:bCs/>
              <w:sz w:val="18"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_Toc1071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8"/>
              <w:highlight w:val="none"/>
              <w:lang w:val="en-US" w:eastAsia="zh-CN"/>
            </w:rPr>
            <w:t>Supplementary material of Data</w:t>
          </w:r>
          <w:r>
            <w:rPr>
              <w:rFonts w:hint="eastAsia" w:eastAsia="仿宋" w:cs="Times New Roman"/>
              <w:bCs/>
              <w:szCs w:val="28"/>
              <w:highlight w:val="none"/>
              <w:lang w:val="en-US" w:eastAsia="zh-CN"/>
            </w:rPr>
            <w:t>+Figure</w:t>
          </w:r>
          <w:r>
            <w:tab/>
          </w:r>
          <w:r>
            <w:fldChar w:fldCharType="begin"/>
          </w:r>
          <w:r>
            <w:instrText xml:space="preserve"> PAGEREF _Toc1071 \h </w:instrText>
          </w:r>
          <w:r>
            <w:fldChar w:fldCharType="separate"/>
          </w:r>
          <w:r>
            <w:t>- 1 -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_Toc9421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SI Table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1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Marine debris in the mangrove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s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in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the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north South China Sea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(MNSCS)</w:t>
          </w:r>
          <w:r>
            <w:tab/>
          </w:r>
          <w:r>
            <w:fldChar w:fldCharType="begin"/>
          </w:r>
          <w:r>
            <w:instrText xml:space="preserve"> PAGEREF _Toc9421 \h </w:instrText>
          </w:r>
          <w:r>
            <w:fldChar w:fldCharType="separate"/>
          </w:r>
          <w:r>
            <w:t>- 2 -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_Toc11804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SI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Table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2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-1. Marine debris in Qi'ao Island mangrove forest in Zhuihai of Guangdong</w:t>
          </w:r>
          <w:r>
            <w:tab/>
          </w:r>
          <w:r>
            <w:fldChar w:fldCharType="begin"/>
          </w:r>
          <w:r>
            <w:instrText xml:space="preserve"> PAGEREF _Toc11804 \h </w:instrText>
          </w:r>
          <w:r>
            <w:fldChar w:fldCharType="separate"/>
          </w:r>
          <w:r>
            <w:t>- 3 -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_Toc13479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SI Table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2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-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3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. Marine debris in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mangrove forest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s of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Qinglan port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and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Qingmei Bay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of Hainan</w:t>
          </w:r>
          <w:r>
            <w:tab/>
          </w:r>
          <w:r>
            <w:fldChar w:fldCharType="begin"/>
          </w:r>
          <w:r>
            <w:instrText xml:space="preserve"> PAGEREF _Toc13479 \h </w:instrText>
          </w:r>
          <w:r>
            <w:fldChar w:fldCharType="separate"/>
          </w:r>
          <w:r>
            <w:t>- 7 -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_Toc19920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SI Table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2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-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3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. Marine debris in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mangrove forest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s in three provinces of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Guangdong, Guangxi, and Hainan of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the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MNSCS</w:t>
          </w:r>
          <w:r>
            <w:tab/>
          </w:r>
          <w:r>
            <w:fldChar w:fldCharType="begin"/>
          </w:r>
          <w:r>
            <w:instrText xml:space="preserve"> PAGEREF _Toc19920 \h </w:instrText>
          </w:r>
          <w:r>
            <w:fldChar w:fldCharType="separate"/>
          </w:r>
          <w:r>
            <w:t>- 9 -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_Toc32615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SI Table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2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-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4.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Types of marine debris in the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MNSCS</w:t>
          </w:r>
          <w:r>
            <w:tab/>
          </w:r>
          <w:r>
            <w:fldChar w:fldCharType="begin"/>
          </w:r>
          <w:r>
            <w:instrText xml:space="preserve"> PAGEREF _Toc32615 \h </w:instrText>
          </w:r>
          <w:r>
            <w:fldChar w:fldCharType="separate"/>
          </w:r>
          <w:r>
            <w:t>- 9 -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_Toc10525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SI Table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3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-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1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.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eastAsia="zh-CN"/>
            </w:rPr>
            <w:t>Source of marine debris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in the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MNSCS</w:t>
          </w:r>
          <w:r>
            <w:tab/>
          </w:r>
          <w:r>
            <w:fldChar w:fldCharType="begin"/>
          </w:r>
          <w:r>
            <w:instrText xml:space="preserve"> PAGEREF _Toc10525 \h </w:instrText>
          </w:r>
          <w:r>
            <w:fldChar w:fldCharType="separate"/>
          </w:r>
          <w:r>
            <w:t>- 9 -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_Toc3962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SI </w:t>
          </w:r>
          <w:r>
            <w:rPr>
              <w:rFonts w:hint="default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 xml:space="preserve">Table </w:t>
          </w:r>
          <w:r>
            <w:rPr>
              <w:rFonts w:hint="eastAsia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3</w:t>
          </w:r>
          <w:r>
            <w:rPr>
              <w:rFonts w:hint="default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-</w:t>
          </w:r>
          <w:r>
            <w:rPr>
              <w:rFonts w:hint="eastAsia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2</w:t>
          </w:r>
          <w:r>
            <w:rPr>
              <w:rFonts w:hint="default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. Land/sea-based</w:t>
          </w:r>
          <w:r>
            <w:rPr>
              <w:rFonts w:hint="eastAsia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debris</w:t>
          </w:r>
          <w:r>
            <w:rPr>
              <w:rFonts w:hint="eastAsia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source</w:t>
          </w:r>
          <w:r>
            <w:rPr>
              <w:rFonts w:hint="eastAsia" w:ascii="Times New Roman" w:hAnsi="Times New Roman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>s</w:t>
          </w:r>
          <w:r>
            <w:rPr>
              <w:rFonts w:hint="eastAsia" w:eastAsia="仿宋" w:cs="Times New Roman"/>
              <w:bCs/>
              <w:kern w:val="0"/>
              <w:szCs w:val="21"/>
              <w:highlight w:val="none"/>
              <w:lang w:val="en-US" w:eastAsia="zh-CN" w:bidi="en-US"/>
            </w:rPr>
            <w:t xml:space="preserve"> </w:t>
          </w:r>
          <w:r>
            <w:rPr>
              <w:rFonts w:eastAsia="仿宋"/>
              <w:bCs/>
              <w:szCs w:val="21"/>
              <w:highlight w:val="none"/>
            </w:rPr>
            <w:t>according to their materials in the</w:t>
          </w:r>
          <w:r>
            <w:rPr>
              <w:rFonts w:hint="eastAsia" w:eastAsia="仿宋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eastAsia" w:eastAsia="仿宋"/>
              <w:bCs/>
              <w:szCs w:val="21"/>
              <w:highlight w:val="none"/>
            </w:rPr>
            <w:t>MNSCS</w:t>
          </w:r>
          <w:r>
            <w:rPr>
              <w:rFonts w:eastAsia="仿宋"/>
              <w:bCs/>
              <w:szCs w:val="21"/>
              <w:highlight w:val="none"/>
            </w:rPr>
            <w:t>.</w:t>
          </w:r>
          <w:r>
            <w:tab/>
          </w:r>
          <w:r>
            <w:fldChar w:fldCharType="begin"/>
          </w:r>
          <w:r>
            <w:instrText xml:space="preserve"> PAGEREF _Toc3962 \h </w:instrText>
          </w:r>
          <w:r>
            <w:fldChar w:fldCharType="separate"/>
          </w:r>
          <w:r>
            <w:t>- 12 -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_Toc5397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SI </w:t>
          </w:r>
          <w:r>
            <w:rPr>
              <w:rFonts w:hint="default" w:ascii="Times New Roman" w:hAnsi="Times New Roman" w:eastAsia="宋体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 xml:space="preserve">Table </w:t>
          </w:r>
          <w:r>
            <w:rPr>
              <w:rFonts w:hint="eastAsia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>3-3</w:t>
          </w:r>
          <w:r>
            <w:rPr>
              <w:rFonts w:hint="default" w:ascii="Times New Roman" w:hAnsi="Times New Roman" w:eastAsia="宋体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>. Deferment debris</w:t>
          </w:r>
          <w:r>
            <w:rPr>
              <w:rFonts w:hint="eastAsia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>sources</w:t>
          </w:r>
          <w:r>
            <w:rPr>
              <w:rFonts w:hint="eastAsia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 xml:space="preserve"> </w:t>
          </w:r>
          <w:r>
            <w:rPr>
              <w:rFonts w:eastAsia="仿宋"/>
              <w:bCs/>
              <w:szCs w:val="21"/>
              <w:highlight w:val="none"/>
            </w:rPr>
            <w:t>according to their potential uses</w:t>
          </w:r>
          <w:r>
            <w:rPr>
              <w:rFonts w:hint="eastAsia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in the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MNSCS</w:t>
          </w:r>
          <w:r>
            <w:tab/>
          </w:r>
          <w:r>
            <w:fldChar w:fldCharType="begin"/>
          </w:r>
          <w:r>
            <w:instrText xml:space="preserve"> PAGEREF _Toc5397 \h </w:instrText>
          </w:r>
          <w:r>
            <w:fldChar w:fldCharType="separate"/>
          </w:r>
          <w:r>
            <w:t>- 12 -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_Toc28829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SI Table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4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-1.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de-DE"/>
            </w:rPr>
            <w:t>Current estimates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of marine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debris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in the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MNSCS</w:t>
          </w:r>
          <w:r>
            <w:tab/>
          </w:r>
          <w:r>
            <w:fldChar w:fldCharType="begin"/>
          </w:r>
          <w:r>
            <w:instrText xml:space="preserve"> PAGEREF _Toc28829 \h </w:instrText>
          </w:r>
          <w:r>
            <w:fldChar w:fldCharType="separate"/>
          </w:r>
          <w:r>
            <w:t>- 13 -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_Toc5551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SI Table </w:t>
          </w:r>
          <w:r>
            <w:rPr>
              <w:rFonts w:hint="eastAsia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5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. Marine debris items by sizes in 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the MNSCS</w:t>
          </w:r>
          <w:r>
            <w:tab/>
          </w:r>
          <w:r>
            <w:fldChar w:fldCharType="begin"/>
          </w:r>
          <w:r>
            <w:instrText xml:space="preserve"> PAGEREF _Toc5551 \h </w:instrText>
          </w:r>
          <w:r>
            <w:fldChar w:fldCharType="separate"/>
          </w:r>
          <w:r>
            <w:t>- 14 -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_Toc18796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SI Table 6-1. 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Marine debris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w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eights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and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items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in 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the MNSCS</w:t>
          </w:r>
          <w:r>
            <w:tab/>
          </w:r>
          <w:r>
            <w:fldChar w:fldCharType="begin"/>
          </w:r>
          <w:r>
            <w:instrText xml:space="preserve"> PAGEREF _Toc18796 \h </w:instrText>
          </w:r>
          <w:r>
            <w:fldChar w:fldCharType="separate"/>
          </w:r>
          <w:r>
            <w:t>- 17 -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_Toc10122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SI Table 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6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-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2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. Marine debris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w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eights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and</w:t>
          </w:r>
          <w:r>
            <w:rPr>
              <w:rFonts w:hint="default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items by size in 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the MNSCS</w:t>
          </w:r>
          <w:r>
            <w:tab/>
          </w:r>
          <w:r>
            <w:fldChar w:fldCharType="begin"/>
          </w:r>
          <w:r>
            <w:instrText xml:space="preserve"> PAGEREF _Toc10122 \h </w:instrText>
          </w:r>
          <w:r>
            <w:fldChar w:fldCharType="separate"/>
          </w:r>
          <w:r>
            <w:t>- 20 -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_Toc15001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eastAsia"/>
              <w:bCs/>
              <w:highlight w:val="none"/>
              <w:lang w:val="en-US" w:eastAsia="zh-CN"/>
            </w:rPr>
            <w:t xml:space="preserve">SI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Fig 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1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. Percentages </w:t>
          </w:r>
          <w:r>
            <w:rPr>
              <w:rFonts w:hint="default" w:ascii="Times New Roman" w:hAnsi="Times New Roman" w:cs="Times New Roman"/>
              <w:bCs/>
              <w:i w:val="0"/>
              <w:iCs w:val="0"/>
              <w:kern w:val="0"/>
              <w:szCs w:val="21"/>
              <w:highlight w:val="none"/>
              <w:lang w:val="en-US" w:eastAsia="zh-CN" w:bidi="ar"/>
            </w:rPr>
            <w:t xml:space="preserve">of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debris items by size in </w:t>
          </w:r>
          <w:r>
            <w:rPr>
              <w:rFonts w:hint="eastAsia" w:ascii="Times New Roman" w:hAnsi="Times New Roman" w:eastAsia="宋体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>the MNSCS</w:t>
          </w:r>
          <w:r>
            <w:rPr>
              <w:rFonts w:hint="eastAsia" w:cs="Times New Roman"/>
              <w:bCs w:val="0"/>
              <w:kern w:val="2"/>
              <w:szCs w:val="21"/>
              <w:highlight w:val="none"/>
              <w:shd w:val="clear" w:color="auto" w:fill="FFFFFF"/>
              <w:lang w:val="en-US" w:eastAsia="zh-CN" w:bidi="ar-SA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(A) Mass-percentages of debris items, (B)Quantity-percentages of debris items</w:t>
          </w:r>
          <w:r>
            <w:tab/>
          </w:r>
          <w:r>
            <w:fldChar w:fldCharType="begin"/>
          </w:r>
          <w:r>
            <w:instrText xml:space="preserve"> PAGEREF _Toc15001 \h </w:instrText>
          </w:r>
          <w:r>
            <w:fldChar w:fldCharType="separate"/>
          </w:r>
          <w:r>
            <w:t>- 26 -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_Toc27873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eastAsia"/>
              <w:bCs/>
              <w:highlight w:val="none"/>
              <w:lang w:val="en-US" w:eastAsia="zh-CN"/>
            </w:rPr>
            <w:t xml:space="preserve">SI Fig. 3-1 </w:t>
          </w:r>
          <w:r>
            <w:rPr>
              <w:rFonts w:hint="default"/>
              <w:bCs/>
              <w:highlight w:val="none"/>
              <w:lang w:val="en-US" w:eastAsia="zh-CN"/>
            </w:rPr>
            <w:t>Distribution of debris items by size</w:t>
          </w:r>
          <w:r>
            <w:rPr>
              <w:rFonts w:hint="eastAsia"/>
              <w:bCs/>
              <w:highlight w:val="none"/>
              <w:lang w:val="en-US" w:eastAsia="zh-CN"/>
            </w:rPr>
            <w:t xml:space="preserve"> </w:t>
          </w:r>
          <w:r>
            <w:rPr>
              <w:rFonts w:hint="default"/>
              <w:bCs/>
              <w:highlight w:val="none"/>
              <w:lang w:val="en-US" w:eastAsia="zh-CN"/>
            </w:rPr>
            <w:t>affected by the tides in mangrove fore</w:t>
          </w:r>
          <w:r>
            <w:rPr>
              <w:rFonts w:hint="eastAsia"/>
              <w:bCs/>
              <w:highlight w:val="none"/>
              <w:lang w:val="en-US" w:eastAsia="zh-CN"/>
            </w:rPr>
            <w:t xml:space="preserve"> 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of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Penang Island, Malaysia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 (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 xml:space="preserve">data from </w:t>
          </w:r>
          <w:r>
            <w:rPr>
              <w:rFonts w:hint="eastAsia" w:ascii="Times New Roman" w:hAnsi="Times New Roman" w:eastAsia="Times New Roman" w:cs="Times New Roman"/>
              <w:bCs/>
              <w:snapToGrid w:val="0"/>
              <w:kern w:val="2"/>
              <w:szCs w:val="22"/>
              <w:highlight w:val="none"/>
              <w:lang w:val="en-US" w:eastAsia="zh-CN" w:bidi="en-US"/>
            </w:rPr>
            <w:t>Chee et al. 2020</w:t>
          </w:r>
          <w:r>
            <w:rPr>
              <w:rFonts w:hint="eastAsia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)</w:t>
          </w:r>
          <w:r>
            <w:rPr>
              <w:rFonts w:hint="eastAsia" w:eastAsia="仿宋" w:cs="Times New Roman"/>
              <w:bCs/>
              <w:szCs w:val="21"/>
              <w:highlight w:val="none"/>
              <w:lang w:val="en-US" w:eastAsia="zh-CN"/>
            </w:rPr>
            <w:t>.</w:t>
          </w:r>
          <w:r>
            <w:tab/>
          </w:r>
          <w:r>
            <w:fldChar w:fldCharType="begin"/>
          </w:r>
          <w:r>
            <w:instrText xml:space="preserve"> PAGEREF _Toc27873 \h </w:instrText>
          </w:r>
          <w:r>
            <w:fldChar w:fldCharType="separate"/>
          </w:r>
          <w:r>
            <w:t>- 28 -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pStyle w:val="15"/>
            <w:tabs>
              <w:tab w:val="right" w:leader="dot" w:pos="13958"/>
            </w:tabs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begin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instrText xml:space="preserve"> HYPERLINK \l _Toc30877 </w:instrText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separate"/>
          </w:r>
          <w:r>
            <w:rPr>
              <w:rFonts w:hint="default" w:ascii="Times New Roman" w:hAnsi="Times New Roman" w:cs="Times New Roman"/>
              <w:bCs/>
              <w:highlight w:val="none"/>
              <w:lang w:val="en-US" w:eastAsia="zh-CN"/>
            </w:rPr>
            <w:t>SI Fig</w:t>
          </w:r>
          <w:r>
            <w:rPr>
              <w:rFonts w:hint="eastAsia" w:cs="Times New Roman"/>
              <w:bCs/>
              <w:highlight w:val="none"/>
              <w:lang w:val="en-US" w:eastAsia="zh-CN"/>
            </w:rPr>
            <w:t>. 3</w:t>
          </w:r>
          <w:r>
            <w:rPr>
              <w:rFonts w:hint="default" w:ascii="Times New Roman" w:hAnsi="Times New Roman" w:cs="Times New Roman"/>
              <w:bCs/>
              <w:highlight w:val="none"/>
              <w:lang w:val="en-US" w:eastAsia="zh-CN"/>
            </w:rPr>
            <w:t xml:space="preserve">-2 Distribution of debris items by size affected by the tides </w:t>
          </w:r>
          <w:r>
            <w:rPr>
              <w:rFonts w:hint="eastAsia" w:ascii="Times New Roman" w:hAnsi="Times New Roman" w:cs="Times New Roman"/>
              <w:bCs/>
              <w:highlight w:val="none"/>
              <w:lang w:val="en-US" w:eastAsia="zh-CN"/>
            </w:rPr>
            <w:t>in mangrove forests of Mauritius</w:t>
          </w:r>
          <w:r>
            <w:rPr>
              <w:rFonts w:hint="default" w:ascii="Times New Roman" w:hAnsi="Times New Roman" w:cs="Times New Roman"/>
              <w:bCs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 xml:space="preserve">(data from </w:t>
          </w:r>
          <w:r>
            <w:rPr>
              <w:rFonts w:hint="default" w:ascii="Times New Roman" w:hAnsi="Times New Roman" w:eastAsia="Times New Roman" w:cs="Times New Roman"/>
              <w:bCs/>
              <w:snapToGrid w:val="0"/>
              <w:kern w:val="2"/>
              <w:szCs w:val="22"/>
              <w:highlight w:val="none"/>
              <w:lang w:val="en-US" w:eastAsia="zh-CN" w:bidi="en-US"/>
            </w:rPr>
            <w:t>Seeruttun</w:t>
          </w:r>
          <w:r>
            <w:rPr>
              <w:rFonts w:hint="eastAsia" w:ascii="Times New Roman" w:hAnsi="Times New Roman" w:eastAsia="Times New Roman" w:cs="Times New Roman"/>
              <w:bCs/>
              <w:snapToGrid w:val="0"/>
              <w:kern w:val="2"/>
              <w:szCs w:val="22"/>
              <w:highlight w:val="none"/>
              <w:lang w:val="en-US" w:eastAsia="zh-CN" w:bidi="en-US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i/>
              <w:iCs/>
              <w:snapToGrid w:val="0"/>
              <w:kern w:val="2"/>
              <w:szCs w:val="22"/>
              <w:highlight w:val="none"/>
              <w:lang w:val="en-US" w:eastAsia="zh-CN" w:bidi="en-US"/>
            </w:rPr>
            <w:t>et al.</w:t>
          </w:r>
          <w:r>
            <w:rPr>
              <w:rFonts w:hint="eastAsia" w:eastAsia="Times New Roman" w:cs="Times New Roman"/>
              <w:bCs/>
              <w:i/>
              <w:iCs/>
              <w:snapToGrid w:val="0"/>
              <w:kern w:val="2"/>
              <w:szCs w:val="22"/>
              <w:highlight w:val="none"/>
              <w:lang w:val="en-US" w:eastAsia="zh-CN" w:bidi="en-US"/>
            </w:rPr>
            <w:t xml:space="preserve">, </w:t>
          </w:r>
          <w:r>
            <w:rPr>
              <w:rFonts w:hint="default" w:ascii="Times New Roman" w:hAnsi="Times New Roman" w:eastAsia="Times New Roman" w:cs="Times New Roman"/>
              <w:bCs/>
              <w:snapToGrid w:val="0"/>
              <w:kern w:val="2"/>
              <w:szCs w:val="22"/>
              <w:highlight w:val="none"/>
              <w:lang w:val="en-US" w:eastAsia="zh-CN" w:bidi="en-US"/>
            </w:rPr>
            <w:t>202</w:t>
          </w:r>
          <w:r>
            <w:rPr>
              <w:rFonts w:hint="eastAsia" w:ascii="Times New Roman" w:hAnsi="Times New Roman" w:eastAsia="Times New Roman" w:cs="Times New Roman"/>
              <w:bCs/>
              <w:snapToGrid w:val="0"/>
              <w:kern w:val="2"/>
              <w:szCs w:val="22"/>
              <w:highlight w:val="none"/>
              <w:lang w:val="en-US" w:eastAsia="zh-CN" w:bidi="en-US"/>
            </w:rPr>
            <w:t>1</w:t>
          </w:r>
          <w:r>
            <w:rPr>
              <w:rFonts w:hint="default" w:ascii="Times New Roman" w:hAnsi="Times New Roman" w:eastAsia="仿宋" w:cs="Times New Roman"/>
              <w:bCs/>
              <w:szCs w:val="21"/>
              <w:highlight w:val="none"/>
              <w:lang w:val="en-US" w:eastAsia="zh-CN"/>
            </w:rPr>
            <w:t>).</w:t>
          </w:r>
          <w:r>
            <w:tab/>
          </w:r>
          <w:r>
            <w:fldChar w:fldCharType="begin"/>
          </w:r>
          <w:r>
            <w:instrText xml:space="preserve"> PAGEREF _Toc30877 \h </w:instrText>
          </w:r>
          <w:r>
            <w:fldChar w:fldCharType="separate"/>
          </w:r>
          <w:r>
            <w:t>- 29 -</w:t>
          </w:r>
          <w:r>
            <w:fldChar w:fldCharType="end"/>
          </w: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  <w:p>
          <w:pPr>
            <w:keepNext w:val="0"/>
            <w:keepLines w:val="0"/>
            <w:pageBreakBefore w:val="0"/>
            <w:kinsoku/>
            <w:overflowPunct/>
            <w:topLinePunct w:val="0"/>
            <w:bidi w:val="0"/>
            <w:ind w:left="0" w:right="0"/>
            <w:outlineLvl w:val="9"/>
            <w:rPr>
              <w:rFonts w:hint="default" w:ascii="Times New Roman" w:hAnsi="Times New Roman" w:eastAsia="仿宋" w:cs="Times New Roman"/>
              <w:b/>
              <w:bCs/>
              <w:sz w:val="18"/>
              <w:szCs w:val="18"/>
              <w:highlight w:val="none"/>
              <w:lang w:val="en-US" w:eastAsia="zh-CN"/>
            </w:rPr>
          </w:pPr>
          <w:r>
            <w:rPr>
              <w:rFonts w:hint="default" w:ascii="Times New Roman" w:hAnsi="Times New Roman" w:eastAsia="仿宋" w:cs="Times New Roman"/>
              <w:bCs/>
              <w:szCs w:val="18"/>
              <w:highlight w:val="none"/>
              <w:lang w:val="en-US" w:eastAsia="zh-CN"/>
            </w:rPr>
            <w:fldChar w:fldCharType="end"/>
          </w:r>
        </w:p>
      </w:sdtContent>
    </w:sdt>
    <w:p>
      <w:pPr>
        <w:rPr>
          <w:rFonts w:hint="default" w:ascii="Times New Roman" w:hAnsi="Times New Roman" w:eastAsia="仿宋" w:cs="Times New Roman"/>
          <w:b/>
          <w:bCs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18"/>
          <w:szCs w:val="1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2" w:name="OLE_LINK1"/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3" w:name="_Toc9421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SI Table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1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Marine debris in the mangrove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in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the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north South China Sea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(MNSCS)</w:t>
      </w:r>
      <w:bookmarkEnd w:id="3"/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6"/>
        <w:gridCol w:w="1046"/>
        <w:gridCol w:w="1336"/>
        <w:gridCol w:w="867"/>
        <w:gridCol w:w="2731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Study Area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S-Date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and 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.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  <w:jc w:val="center"/>
        </w:trPr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Qi´ao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Island in 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Zhuhai of Guangdong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April, 2020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Four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Sections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ine stations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QA5 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QA5-1: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/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QA5-2: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/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QA1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QA1-1: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QA1-2: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QA1-2: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QA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QA3-1: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/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QA3-2: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/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QA4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QA4-1: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/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QA4-2: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/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Hengmen waterway in the 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Pearl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River Estuary of Guangdong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April, 2020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Two stations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HM1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5"/>
                <w:szCs w:val="15"/>
                <w:highlight w:val="none"/>
                <w:lang w:val="en-US" w:eastAsia="zh-CN"/>
              </w:rPr>
              <w:t>-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HM2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5"/>
                <w:szCs w:val="15"/>
                <w:highlight w:val="none"/>
                <w:lang w:val="en-US" w:eastAsia="zh-CN"/>
              </w:rPr>
              <w:t>-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Futian in Shenzhen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of Guangdong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Three Sections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ine stations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FT1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FTI-1: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FTI-2: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FTI-2: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FT2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FT2-1: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Sc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FT3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FT3-1: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FT3-2: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FT3-2: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Daya bay in Huizhou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of Guangdong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Two Sections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ix stations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DY1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DYI-1: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DYI-2: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DYI-2: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DY2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DY2-1: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DY2-2: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DY2-2: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0" w:type="auto"/>
            <w:vMerge w:val="restart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Beilun Estuary in 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Fangchenggang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of Guangxi</w:t>
            </w:r>
          </w:p>
        </w:tc>
        <w:tc>
          <w:tcPr>
            <w:tcW w:w="0" w:type="auto"/>
            <w:vMerge w:val="restart"/>
            <w:vAlign w:val="top"/>
          </w:tcPr>
          <w:p>
            <w:pPr>
              <w:spacing w:line="240" w:lineRule="auto"/>
              <w:rPr>
                <w:rFonts w:hint="eastAsia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Sep,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2019</w:t>
            </w:r>
          </w:p>
        </w:tc>
        <w:tc>
          <w:tcPr>
            <w:tcW w:w="0" w:type="auto"/>
            <w:vMerge w:val="restart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Two Sections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eight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stations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eastAsia" w:cs="Palatino Linotype"/>
                <w:b w:val="0"/>
                <w:bCs w:val="0"/>
                <w:color w:val="auto"/>
                <w:sz w:val="15"/>
                <w:szCs w:val="15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J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SJ-1: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SJ-2: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SJI-2: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restart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FF"/>
                <w:szCs w:val="21"/>
                <w:highlight w:val="none"/>
                <w:shd w:val="clear" w:color="auto" w:fill="FFFFFF"/>
                <w:lang w:val="en-US" w:eastAsia="zh-CN"/>
              </w:rPr>
              <w:t>Li et al., 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c.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J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D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JD-1: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JD-2: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JD-2: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/>
                <w:b w:val="0"/>
                <w:bCs w:val="0"/>
                <w:color w:val="0000FF"/>
                <w:szCs w:val="21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Z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ZS-1: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ZS-2: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ZS-2: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/>
                <w:b w:val="0"/>
                <w:bCs w:val="0"/>
                <w:color w:val="0000FF"/>
                <w:szCs w:val="21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 w:eastAsia="仿宋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Align w:val="top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R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>ST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RST-1: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//m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RST-2: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/m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  <w:vAlign w:val="top"/>
          </w:tcPr>
          <w:p>
            <w:pPr>
              <w:spacing w:line="240" w:lineRule="auto"/>
              <w:rPr>
                <w:rFonts w:hint="eastAsia"/>
                <w:b w:val="0"/>
                <w:bCs w:val="0"/>
                <w:color w:val="0000FF"/>
                <w:szCs w:val="21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Qinglan port in Wenchang 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of Hainan 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Three Sections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ine stations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QL1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QL1-1: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QL1-2: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QL1-2: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QL2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QL2-1: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QL3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QL3-1: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QL3-2: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QL3-2: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Qingmei 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bay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in Sanya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of Hainan 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wo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Sections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,</w:t>
            </w: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six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 stations</w:t>
            </w: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QM1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QM1-1: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QM1-2: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QM1-2: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restart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eastAsia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S</w:t>
            </w:r>
            <w:r>
              <w:rPr>
                <w:rFonts w:hint="eastAsia" w:eastAsia="仿宋" w:cs="Times New Roman"/>
                <w:sz w:val="18"/>
                <w:szCs w:val="18"/>
                <w:highlight w:val="none"/>
                <w:lang w:val="en-US" w:eastAsia="zh-CN"/>
              </w:rPr>
              <w:t xml:space="preserve">c. 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  <w:t>QM2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QM2-1: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High-tide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QM2-2: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Medium-tide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QM2-2: </w:t>
            </w:r>
            <w:r>
              <w:rPr>
                <w:rFonts w:hint="default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>Low-tide</w:t>
            </w:r>
            <w:r>
              <w:rPr>
                <w:rFonts w:hint="eastAsia" w:cs="Times New Roman"/>
                <w:color w:val="auto"/>
                <w:sz w:val="18"/>
                <w:szCs w:val="16"/>
                <w:highlight w:val="none"/>
                <w:lang w:val="en-US" w:eastAsia="zh-CN"/>
              </w:rPr>
              <w:t xml:space="preserve"> station</w:t>
            </w:r>
          </w:p>
        </w:tc>
        <w:tc>
          <w:tcPr>
            <w:tcW w:w="0" w:type="auto"/>
            <w:vMerge w:val="continue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</w:tbl>
    <w:p>
      <w:pPr>
        <w:spacing w:line="240" w:lineRule="auto"/>
        <w:outlineLvl w:val="9"/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</w:pP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Note: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“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Sc.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”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and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“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St.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”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represent the words of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“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s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ection”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and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“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station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”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respectively. The words of SJ, JD, ZS, and RST represent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Shijiao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Jiaodong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Zhushan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, and </w:t>
      </w:r>
      <w:r>
        <w:rPr>
          <w:rFonts w:hint="default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Rongshutou</w:t>
      </w:r>
      <w:r>
        <w:rPr>
          <w:rFonts w:hint="eastAsia" w:eastAsia="仿宋" w:cs="Times New Roman"/>
          <w:b w:val="0"/>
          <w:bCs w:val="0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, respectively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4" w:name="_Toc11804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SI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Table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-1. </w:t>
      </w:r>
      <w:bookmarkEnd w:id="2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Marine debris in Qi'ao Island mangrove forest in Zhuihai</w:t>
      </w:r>
      <w:bookmarkStart w:id="5" w:name="OLE_LINK3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of Guangdong</w:t>
      </w:r>
      <w:bookmarkEnd w:id="4"/>
      <w:bookmarkEnd w:id="5"/>
    </w:p>
    <w:tbl>
      <w:tblPr>
        <w:tblStyle w:val="18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766"/>
        <w:gridCol w:w="648"/>
        <w:gridCol w:w="562"/>
        <w:gridCol w:w="641"/>
        <w:gridCol w:w="700"/>
        <w:gridCol w:w="862"/>
        <w:gridCol w:w="401"/>
        <w:gridCol w:w="500"/>
        <w:gridCol w:w="743"/>
        <w:gridCol w:w="717"/>
        <w:gridCol w:w="300"/>
        <w:gridCol w:w="1193"/>
        <w:gridCol w:w="7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Types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D-Qt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Qt-p.c. 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Stations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Types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Astd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D-Ms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D-Qt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Qt-p.c.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14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Qi'ao Island mangrove forest in Zhuihai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QA5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QA5-1,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and QA5-2), Area =7.0 m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QA5-1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2185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546.250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45.66%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4.000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11.43%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220.000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18.39%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29.750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85.00%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425.000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41.52%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4.714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17.55%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430.000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35.95%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3.57%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232.857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22.75%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20.857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77.66%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1196.250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35.000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360.000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35.17%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4.26%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263.333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33.19%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35.42%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5.714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0.53%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250.000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31.51%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56.25%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1023.571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26.857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266.667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33.61%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6.25%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13.333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1.68%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2.08%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6" w:name="OLE_LINK4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  <w:bookmarkEnd w:id="6"/>
          </w:p>
        </w:tc>
        <w:tc>
          <w:tcPr>
            <w:tcW w:w="0" w:type="auto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2380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793.333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16.000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QA1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QA1-1, QA1-2,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and QA1-3), Area =250 m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QA1-1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5605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112.100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82.85%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0.240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63.16%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15.79%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30.620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85.77%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56.67%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6.36%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2.35%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26.67%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1.18%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4.82%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3.33%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7.39%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10.53%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7" w:name="OLE_LINK15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0.200</w:t>
            </w:r>
            <w:bookmarkEnd w:id="7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3.33%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135.300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3.33%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QA1-2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95.65%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6.67%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4.35%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35.700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94.06%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0.99%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33.33%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4.95%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16.67%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10.100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QA3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QA3-1,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and QA3-2), Area =200 m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QA3-1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10.500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QA3-2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110.800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99.73%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60.650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99.75%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85.71%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8" w:name="OLE_LINK5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20.00%</w:t>
            </w:r>
            <w:bookmarkEnd w:id="8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14.29%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111.100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60.800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QA4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QA4-1,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and QA4-2), Area =200 m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QA4-1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550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5.500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96.49%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66.67%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3.51%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33.33%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8.500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96.59%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0.055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84.62%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5.700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3.41%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15.38%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QA4-2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11.500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96.64%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0.090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9" w:name="OLE_LINK16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8.800</w:t>
            </w:r>
            <w:bookmarkEnd w:id="9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0.065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0.400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3.36%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1190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11.900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10" w:name="OLE_LINK13" w:colFirst="1" w:colLast="9"/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Four transects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(QA5,QA1,QA3, and QA4 ), Area =657 m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Total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657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24460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37.230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81.506%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67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0.102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28.151%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1930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2.938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6.431%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0.239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65.966%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2950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4.490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9.830%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0.014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3.782%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0.076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0.167%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0.420%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0.183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0.400%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0.840%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0.761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1.666%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0.840%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30010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45.677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*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0.791)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238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0.362 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0.070)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bookmarkEnd w:id="10"/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14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Hengmen waterway mangrove forest in Pearl River Estuary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HM1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and 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), Area =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200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m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11.000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93.22%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0.070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87.50%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6.78%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12.50%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68.97%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37.50%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31.03%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62.50%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62.5%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31.3%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1325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6.625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0.546)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0.060)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14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Futian mangrove forest in Shenzhen of Guangdong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FT1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-1,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FT1-2,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FT1-3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), Area =150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FT1-1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No sample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34.46%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14.29%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47.37%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11.600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65.54%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14.73%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42.11%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11" w:name="OLE_LINK6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  <w:bookmarkEnd w:id="1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17.700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26.667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70.98%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5.26%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10.53%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55.56%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Unable to weigh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5.26%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5.000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22.22%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37.567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80.000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84.21%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11.11%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Unable to weigh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&amp;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11.11%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4750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95.000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FT2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-1,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FT2-2,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FT2-3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), Area =150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FT2-1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0.17%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99.83%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60.100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99.83%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No sample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20.030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FT2-3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No 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FT3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-1,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FT3-2,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FT3-3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), Area =150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FT3-1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2.000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7.69%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0.080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24.000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92.31%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11.91%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56.25%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26.000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8.000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86.64%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37.50%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FT3-2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1.44%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6.25%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9.233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12" w:name="OLE_LINK21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</w:t>
            </w:r>
            <w:bookmarkEnd w:id="12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3-3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1.200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Three transects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, and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FT3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), Area =450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Total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975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2.167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9.73%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19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0.042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51.35%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4.511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20.25%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37.84%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2.70%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29.93%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2.70%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8.889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39.90%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2.70%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Unable to weigh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2.70%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10025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22.278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0.667)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0.041)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14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Futian mangrove forest in Shenzhen of Guangdong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DY1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-1,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DY1-2,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DY1-3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), Area =150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DY1-1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1.000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14.29%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85.71%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8.000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22.64%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57.14%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7.000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5.66%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14.29%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23.000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23.23%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25.333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71.70%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28.57%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76.000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76.77%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35.333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99.000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DY1-3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No 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DY2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(Station of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-1,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DY2-2,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DY2-3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), Area =150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DY2-01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180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3.600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DY2-02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33.33%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6.867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72.03%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71.43%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66.67%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27.97%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28.57%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9.534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DY2-03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16.000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72.73%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6.000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27.27%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13" w:name="OLE_LINK7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  <w:bookmarkEnd w:id="13"/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22.000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Two transects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DY2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), Area =300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vertAlign w:val="baseline"/>
                <w:lang w:val="en-US" w:eastAsia="zh-CN"/>
              </w:rPr>
              <w:t>Total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2230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7.43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33.14%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64.29%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2.33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10.40%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21.43%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3800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12.6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56.46%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14.29%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6730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22.43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0.820)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0.037)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</w:tbl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Note: </w:t>
      </w:r>
      <w:bookmarkStart w:id="14" w:name="OLE_LINK18"/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superscript"/>
          <w:lang w:val="en-US" w:eastAsia="zh-CN"/>
        </w:rPr>
        <w:t>&amp;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  <w:t>An old wooded boat that is unable to weigh.</w:t>
      </w:r>
      <w:r>
        <w:rPr>
          <w:rFonts w:hint="eastAsia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Astd</w:t>
      </w:r>
      <w:bookmarkEnd w:id="14"/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represents the the study area with the unit of m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Wts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represents the the weights of the debris item with the unit of g.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shd w:val="clear" w:color="auto" w:fill="FFFFFF"/>
        </w:rPr>
        <w:t>Qt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shd w:val="clear" w:color="auto" w:fill="FFFFFF"/>
          <w:lang w:val="en-US" w:eastAsia="zh-CN"/>
        </w:rPr>
        <w:t xml:space="preserve">s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represents the the quantity of the debris items with the unit of item. 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D-Ms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represents the mass density with the unit of g/m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baseline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and 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D-Qt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represents the quantity density with the unit of item/m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Ms-p.c.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Qt-p.c.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represent the percentage of mass and quantity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of marine debris items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, respectively.</w:t>
      </w:r>
      <w:r>
        <w:rPr>
          <w:rFonts w:hint="default" w:ascii="Times New Roman" w:hAnsi="Times New Roman" w:cs="Times New Roman" w:eastAsiaTheme="minorEastAsia"/>
          <w:b/>
          <w:bCs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D-Mean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represents mean density with the units of g/m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and item/m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.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cs="Times New Roman"/>
          <w:b w:val="0"/>
          <w:bCs/>
          <w:color w:val="auto"/>
          <w:sz w:val="20"/>
          <w:szCs w:val="20"/>
          <w:highlight w:val="none"/>
          <w:shd w:val="clear" w:color="auto" w:fill="FFFFFF"/>
          <w:lang w:val="en-US" w:eastAsia="zh-CN"/>
        </w:rPr>
        <w:t>*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For the 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mass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and quantity densit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ies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of 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marine debris in our study, the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Poisson distribution statistics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is statistically applied to the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mean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 xml:space="preserve">(±3σ) 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 w:bidi="ar-SA"/>
        </w:rPr>
        <w:t>value.</w:t>
      </w:r>
    </w:p>
    <w:p>
      <w:pPr>
        <w:pStyle w:val="47"/>
        <w:ind w:left="0" w:leftChars="0" w:firstLine="0" w:firstLineChars="0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</w:p>
    <w:p>
      <w:pPr>
        <w:pStyle w:val="47"/>
        <w:ind w:left="0" w:leftChars="0" w:firstLine="0" w:firstLineChars="0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SI Table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-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. Marine debris in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Beilun Estuary mangrove forest</w:t>
      </w:r>
      <w:bookmarkEnd w:id="1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in Fangchenggang of Guangxi</w:t>
      </w:r>
    </w:p>
    <w:tbl>
      <w:tblPr>
        <w:tblStyle w:val="18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570"/>
        <w:gridCol w:w="656"/>
        <w:gridCol w:w="466"/>
        <w:gridCol w:w="649"/>
        <w:gridCol w:w="700"/>
        <w:gridCol w:w="845"/>
        <w:gridCol w:w="401"/>
        <w:gridCol w:w="550"/>
        <w:gridCol w:w="693"/>
        <w:gridCol w:w="717"/>
        <w:gridCol w:w="400"/>
        <w:gridCol w:w="693"/>
        <w:gridCol w:w="7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Types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D-Qt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Qt-p.c. 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Stations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Types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Astd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D-Ms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Item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D-Qt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Qt-p.c.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Shijiao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(Station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of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SJ-1, SJ-2,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 SJ-3 )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Area = 175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  <w:r>
              <w:rPr>
                <w:rStyle w:val="23"/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SJ-1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0.240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SJ-2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57.14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0.331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3.12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0.080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42.86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5.714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53.82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0.023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14.000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4.571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43.06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0.011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SJ-3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0.72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66.67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10.617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0.024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54.15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45.13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8.33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11.800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Jiaodong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JD-1, JD-2,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 JD-3), Area = 450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JD-1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0.050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0.005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33.33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66.67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0.94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0.002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16.67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2.333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99.06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0.011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83.33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JD-2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6.667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2.355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0.013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JD-3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40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0.400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Zhushan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ZS-1, ZS-2,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 ZS-3), Area = 250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ZS-1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1200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12.000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0.100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ZS-2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restart"/>
            <w:tcBorders>
              <w:top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1.600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0.080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0.81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0.024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5.71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3780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75.600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0.480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38.940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75.23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0.376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89.52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77.200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0.560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19.32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0.008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1.90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ZS-3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0.250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0.32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2.99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2.400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4.64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0.012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2.86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4755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47.550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60.34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0.600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89.55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51.760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0.420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31.73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2.99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7.61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0.030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4.48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78.800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0.670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Rongshutou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RST-1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and RST-2),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 xml:space="preserve">  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RST-1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2300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23.000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52.63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5.88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23.11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70.59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7.323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25.08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0.022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10.94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2.29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5.88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12.954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44.36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0.138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70.31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3.66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5.88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0.308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1.05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0.006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3.13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6.86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8.82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Metals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0.800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2.74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0.009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4.69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Rubbers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11.44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2.94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6.277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21.50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0.018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9.38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43.700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Rubbers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1.538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5.27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0.003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1.56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RST-2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14.222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62.50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29.200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0.197</w:t>
            </w:r>
          </w:p>
        </w:tc>
        <w:tc>
          <w:tcPr>
            <w:tcW w:w="0" w:type="auto"/>
            <w:vMerge w:val="restart"/>
            <w:tcBorders>
              <w:top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1.56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16.67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1.95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3.33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33.98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10.00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22.756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restart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Beilun Estuary mangrove forest (BL)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Four transects (Shijiao, Jiaodong,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Zhushan,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and Rongshutou),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Area = 1200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10.07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0.123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14.36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15,995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13.329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63.10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0.023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75.90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5.92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3.59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Metals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1.03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1.54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17.91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4.10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Rubbers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1.97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0.51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bookmarkStart w:id="15" w:name="OLE_LINK8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D-Mean</w:t>
            </w:r>
            <w:bookmarkEnd w:id="15"/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25,348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21.123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0.398)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0.163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0.035)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-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16" w:name="_Toc13479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SI Table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-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. Marine debris in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mangrove forest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s of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Qinglan port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and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Qingmei Bay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of Hainan</w:t>
      </w:r>
      <w:bookmarkEnd w:id="16"/>
    </w:p>
    <w:tbl>
      <w:tblPr>
        <w:tblStyle w:val="18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581"/>
        <w:gridCol w:w="672"/>
        <w:gridCol w:w="497"/>
        <w:gridCol w:w="672"/>
        <w:gridCol w:w="700"/>
        <w:gridCol w:w="878"/>
        <w:gridCol w:w="401"/>
        <w:gridCol w:w="400"/>
        <w:gridCol w:w="693"/>
        <w:gridCol w:w="634"/>
        <w:gridCol w:w="300"/>
        <w:gridCol w:w="693"/>
        <w:gridCol w:w="6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Types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D-Qt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Qt-p.c. 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Stations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Types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Astd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D-Ms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D-Qt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Qt-p.c.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14"/>
            <w:tcBorders>
              <w:top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Qinglan port mangrove forest in Wenchang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QL1-1, QL1-2,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QL1-3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QL1-1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1.300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4.83%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0.050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71.43%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74.35%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14.29%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9.967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53.87%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90.91%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5.600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20.82%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14.29%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36.04%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4.55%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26.900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10.09%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4.55%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27.100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D-Mean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18.500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QL1-3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1.500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0.070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QL2-1, QL2-2,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QL2-3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QL2-1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2.500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71.43%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0.040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57.14%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28.57%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42.86%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1.367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70.69%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61.54%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3.500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0.070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0.067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3.45%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7.69%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QL2-2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0.300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37.50%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0.167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8.62%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7.69%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62.50%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0.333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17.24%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23.08%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0.800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1.933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0.043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QL2-3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1.300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86.67%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13.33%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1.500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QL3-1, QL3-2,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QL3-3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QL3-1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5.750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59.90%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0.110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64.71%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0.550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5.73%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17.65%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9.017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72.27%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0.113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58.62%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10.42%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5.88%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0.460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3.69%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20.69%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2.000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20.83%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5.88%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1.600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12.82%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8.62%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0.300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3.13%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5.88%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0.667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5.34%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1.72%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9.600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0.170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Fabrics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0.533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4.27%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8.62%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QL3-2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5.700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68.43%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57.89%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Woodware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0.200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1.72%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0.230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2.76%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0.040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21.05%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12.477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0.193 </w:t>
            </w: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1.500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18.01%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10.53%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0.300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3.60%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5.26%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Woodware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0.600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7.20%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5.26%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8.330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0.190 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QL3-3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1560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80.00%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0.120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54.55%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0.600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3.08%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22.73%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2.300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11.79%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9.09%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5.13%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13.64%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1950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19.500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0.220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Three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transects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(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QL1,QL2, and QL3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6105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6.783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61.84%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62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0.069 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66.67%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158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0.176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1.60%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0.014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13.98%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530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0.589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5.37%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0.007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6.45%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ab/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0.222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2.03%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2100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2.333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21.27%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0.004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4.30%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Fabrics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0.178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1.62%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0.006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5.38%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Woodware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620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0.689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6.28%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2.15%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D-Mean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9873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10.970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0.331)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93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0.103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0.032)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14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Qingmei Bay mangrove forest in Sanya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QM1-1,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QM1-2,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QM1-3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QM1-01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0.050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QM1-02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0.023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QM1-03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transect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(Station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QM2-1,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QM2-2,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and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QM2-3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QM2-01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3.85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71.96%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0.130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92.86%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1.50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28.04%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7.14%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2.167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81.25%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0.083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96.15%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both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D-Mean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outlineLvl w:val="9"/>
              <w:rPr>
                <w:rFonts w:hint="default" w:ascii="Times New Roman" w:hAnsi="Times New Roman" w:eastAsia="仿宋" w:cs="Times New Roman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5.35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0.140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0.500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18.75%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3.85%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QM2-02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2.35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0.100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D-Mean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2.667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QM2-03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restart"/>
            <w:tcBorders>
              <w:top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Four transects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(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QM1 and QM2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), Area =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 m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1.288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83.7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0.053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97.0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0.250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3.0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0" w:type="auto"/>
            <w:gridSpan w:val="5"/>
            <w:vMerge w:val="continue"/>
            <w:tcBorders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D-Mean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923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1.538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0.152)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0.055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0.029)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 w:firstLineChars="0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caps w:val="0"/>
          <w:color w:val="2E3033"/>
          <w:spacing w:val="0"/>
          <w:sz w:val="18"/>
          <w:szCs w:val="1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2E3033"/>
          <w:spacing w:val="0"/>
          <w:sz w:val="18"/>
          <w:szCs w:val="18"/>
          <w:highlight w:val="none"/>
          <w:shd w:val="clear" w:fill="FFFFFF"/>
          <w:lang w:val="en-US" w:eastAsia="zh-CN"/>
        </w:rPr>
        <w:br w:type="page"/>
      </w:r>
      <w:bookmarkStart w:id="17" w:name="_Toc19920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SI Table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-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. Marine debris in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mangrove forest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s in three provinces of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Guangdong, Guangxi, and Hainan of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the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MNSCS</w:t>
      </w:r>
      <w:bookmarkEnd w:id="17"/>
    </w:p>
    <w:tbl>
      <w:tblPr>
        <w:tblStyle w:val="17"/>
        <w:tblW w:w="9862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single" w:color="auto" w:sz="8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1772"/>
        <w:gridCol w:w="1727"/>
        <w:gridCol w:w="1847"/>
        <w:gridCol w:w="164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6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Province</w:t>
            </w:r>
          </w:p>
        </w:tc>
        <w:tc>
          <w:tcPr>
            <w:tcW w:w="349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All debris</w:t>
            </w:r>
          </w:p>
        </w:tc>
        <w:tc>
          <w:tcPr>
            <w:tcW w:w="349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+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6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Wts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D-Ms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Wts</w:t>
            </w: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GD(Qi´ao Island,Hengmen waterway,Futian,Daya bay)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29.925 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0.409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6.625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45.677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0.190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0.080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0.362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20.912 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0.342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0.640~40.168</w:t>
            </w: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0.174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0.040~0.341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GX(Beilun Estuary,Fangchenggang)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21.123 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0.398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2.355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51.760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0.163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0.013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0.420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15.457 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0.340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2.355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~39.360 </w:t>
            </w: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0.147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0.013-0.040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HN(Qinglan port of Wenchang, Qingmei bay,Sanya)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7.197 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0.208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1.538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10.970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0.084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0.022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0.055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0.103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4.691 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0.168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1.288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~6.959</w:t>
            </w: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0.071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0.033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0.053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~0.083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Study area in the north South China Sea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19.557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0.202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1.538~45.677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0.145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0.047~0.362</w:t>
            </w:r>
          </w:p>
        </w:tc>
        <w:tc>
          <w:tcPr>
            <w:tcW w:w="18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13.743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0.169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0.040~0.341</w:t>
            </w: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0.131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0.021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0.040~0.341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ind w:left="0" w:right="0"/>
        <w:rPr>
          <w:rFonts w:hint="default" w:ascii="Times New Roman" w:hAnsi="Times New Roman" w:cs="Times New Roman"/>
          <w:b w:val="0"/>
          <w:i w:val="0"/>
          <w:caps w:val="0"/>
          <w:color w:val="2E3033"/>
          <w:spacing w:val="0"/>
          <w:sz w:val="18"/>
          <w:szCs w:val="1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18" w:name="OLE_LINK9"/>
      <w:bookmarkStart w:id="19" w:name="_Toc32615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SI Table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-</w:t>
      </w:r>
      <w:bookmarkEnd w:id="18"/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Types of marine debris in the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MNSCS</w:t>
      </w:r>
      <w:bookmarkEnd w:id="19"/>
    </w:p>
    <w:tbl>
      <w:tblPr>
        <w:tblStyle w:val="18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654"/>
        <w:gridCol w:w="760"/>
        <w:gridCol w:w="1550"/>
        <w:gridCol w:w="1549"/>
        <w:gridCol w:w="548"/>
        <w:gridCol w:w="1444"/>
        <w:gridCol w:w="165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Type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</w:t>
            </w:r>
          </w:p>
        </w:tc>
        <w:tc>
          <w:tcPr>
            <w:tcW w:w="76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Wts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D-Ms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Ms-p.c.</w:t>
            </w:r>
          </w:p>
        </w:tc>
        <w:tc>
          <w:tcPr>
            <w:tcW w:w="5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D-Qt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Qt-p.c.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176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654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51738</w:t>
            </w:r>
          </w:p>
        </w:tc>
        <w:tc>
          <w:tcPr>
            <w:tcW w:w="1550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12.013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0.158)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1.288~37.23</w:t>
            </w:r>
          </w:p>
        </w:tc>
        <w:tc>
          <w:tcPr>
            <w:tcW w:w="1549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61.42%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9.73%~90.6%</w:t>
            </w:r>
          </w:p>
        </w:tc>
        <w:tc>
          <w:tcPr>
            <w:tcW w:w="548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347</w:t>
            </w:r>
          </w:p>
        </w:tc>
        <w:tc>
          <w:tcPr>
            <w:tcW w:w="1444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0.081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0.013)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0.023~0.102</w:t>
            </w:r>
          </w:p>
        </w:tc>
        <w:tc>
          <w:tcPr>
            <w:tcW w:w="165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55.52%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28.15%~97.07%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7451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1.730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0.060)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0~4.511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8.85%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0%~20.25%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216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0.050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0.010)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0~0.239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34.56%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0%~65.97%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5130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1.191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0.050)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0~4.49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6.09%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0%~16.25%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0.005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0.003)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0~0.014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3.68%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0%~6.45%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530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0.123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0.016)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0~0.222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0.63%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0%~2.03%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0.008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0.002)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0~0.003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0.96%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0%~2.7%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5720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1.328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0.053)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0~6.667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6.79%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0%~29.93%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0.004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0.002)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0~0.004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1.28%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0%~4.3%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13045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3.029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0.080)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0~12.667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15.49%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0%~56.46%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0.001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0.003)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0~0.007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3.68%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0%~31.3%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620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0.144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0.017)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0~0.689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0.74%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0%~6.28%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0.003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0.001)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0~0.002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0.32%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0%~2.7%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Plstct+Styf</w:t>
            </w:r>
          </w:p>
        </w:tc>
        <w:tc>
          <w:tcPr>
            <w:tcW w:w="65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59189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13.743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0.167)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1.288~40.168</w:t>
            </w:r>
          </w:p>
        </w:tc>
        <w:tc>
          <w:tcPr>
            <w:tcW w:w="154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70.27%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29.98%~96.6%</w:t>
            </w:r>
          </w:p>
        </w:tc>
        <w:tc>
          <w:tcPr>
            <w:tcW w:w="5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563</w:t>
            </w:r>
          </w:p>
        </w:tc>
        <w:tc>
          <w:tcPr>
            <w:tcW w:w="14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0.131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0.017)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0.040~0.341</w:t>
            </w:r>
          </w:p>
        </w:tc>
        <w:tc>
          <w:tcPr>
            <w:tcW w:w="165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90.08%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68.8%~97.07%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17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D-Mean</w:t>
            </w:r>
          </w:p>
        </w:tc>
        <w:tc>
          <w:tcPr>
            <w:tcW w:w="654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76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84234</w:t>
            </w:r>
          </w:p>
        </w:tc>
        <w:tc>
          <w:tcPr>
            <w:tcW w:w="155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19.557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0.202)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1.538~45.677</w:t>
            </w:r>
          </w:p>
        </w:tc>
        <w:tc>
          <w:tcPr>
            <w:tcW w:w="1549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548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625</w:t>
            </w:r>
          </w:p>
        </w:tc>
        <w:tc>
          <w:tcPr>
            <w:tcW w:w="1444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0.145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0.017)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0.047~0.362</w:t>
            </w:r>
          </w:p>
        </w:tc>
        <w:tc>
          <w:tcPr>
            <w:tcW w:w="165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/>
        <w:jc w:val="center"/>
        <w:rPr>
          <w:rFonts w:hint="default" w:ascii="Times New Roman" w:hAnsi="Times New Roman" w:cs="Times New Roman"/>
          <w:color w:val="auto"/>
          <w:sz w:val="18"/>
          <w:szCs w:val="18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 w:firstLine="0" w:firstLineChars="0"/>
        <w:jc w:val="center"/>
        <w:rPr>
          <w:rFonts w:hint="default" w:ascii="Times New Roman" w:hAnsi="Times New Roman" w:cs="Times New Roman"/>
          <w:sz w:val="18"/>
          <w:szCs w:val="18"/>
          <w:highlight w:val="none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/>
        <w:jc w:val="center"/>
        <w:textAlignment w:val="center"/>
        <w:rPr>
          <w:rFonts w:hint="default" w:ascii="Times New Roman" w:hAnsi="Times New Roman" w:eastAsia="仿宋" w:cs="Times New Roman"/>
          <w:b/>
          <w:bCs/>
          <w:color w:val="000000"/>
          <w:kern w:val="0"/>
          <w:sz w:val="18"/>
          <w:szCs w:val="18"/>
          <w:highlight w:val="none"/>
          <w:lang w:val="en-US" w:eastAsia="zh-CN" w:bidi="en-US"/>
        </w:rPr>
      </w:pPr>
    </w:p>
    <w:p>
      <w:pPr>
        <w:pStyle w:val="48"/>
        <w:keepNext w:val="0"/>
        <w:keepLines w:val="0"/>
        <w:pageBreakBefore w:val="0"/>
        <w:kinsoku/>
        <w:overflowPunct/>
        <w:topLinePunct w:val="0"/>
        <w:bidi w:val="0"/>
        <w:spacing w:before="0" w:after="0"/>
        <w:ind w:left="0" w:right="0"/>
        <w:jc w:val="left"/>
        <w:rPr>
          <w:rFonts w:hint="default" w:ascii="Times New Roman" w:hAnsi="Times New Roman" w:eastAsia="仿宋" w:cs="Times New Roman"/>
          <w:b/>
          <w:bCs/>
          <w:sz w:val="18"/>
          <w:szCs w:val="18"/>
          <w:highlight w:val="none"/>
          <w:lang w:val="en-US" w:eastAsia="zh-CN"/>
        </w:rPr>
      </w:pPr>
      <w:bookmarkStart w:id="20" w:name="OLE_LINK11"/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eastAsia="zh-CN"/>
        </w:rPr>
      </w:pPr>
      <w:bookmarkStart w:id="21" w:name="_Toc10525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SI Table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-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. </w:t>
      </w:r>
      <w:bookmarkStart w:id="22" w:name="OLE_LINK23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eastAsia="zh-CN"/>
        </w:rPr>
        <w:t>Source of marine debris</w:t>
      </w:r>
      <w:bookmarkEnd w:id="22"/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in the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MNSCS</w:t>
      </w:r>
      <w:bookmarkEnd w:id="21"/>
    </w:p>
    <w:tbl>
      <w:tblPr>
        <w:tblStyle w:val="18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662"/>
        <w:gridCol w:w="1208"/>
        <w:gridCol w:w="923"/>
        <w:gridCol w:w="508"/>
        <w:gridCol w:w="644"/>
        <w:gridCol w:w="305"/>
        <w:gridCol w:w="627"/>
        <w:gridCol w:w="3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7" w:hRule="atLeast"/>
          <w:jc w:val="center"/>
        </w:trPr>
        <w:tc>
          <w:tcPr>
            <w:tcW w:w="119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Study Area</w:t>
            </w:r>
          </w:p>
        </w:tc>
        <w:tc>
          <w:tcPr>
            <w:tcW w:w="18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Sources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Types</w:t>
            </w:r>
          </w:p>
        </w:tc>
        <w:tc>
          <w:tcPr>
            <w:tcW w:w="5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</w:t>
            </w:r>
          </w:p>
        </w:tc>
        <w:tc>
          <w:tcPr>
            <w:tcW w:w="64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Ms-p.c.</w:t>
            </w:r>
          </w:p>
        </w:tc>
        <w:tc>
          <w:tcPr>
            <w:tcW w:w="30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</w:rPr>
              <w:t>Qt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 xml:space="preserve">Qt-p.c. </w:t>
            </w:r>
          </w:p>
        </w:tc>
        <w:tc>
          <w:tcPr>
            <w:tcW w:w="380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Debris Items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11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Qi´ao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Island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in Zhuhai</w:t>
            </w:r>
          </w:p>
        </w:tc>
        <w:tc>
          <w:tcPr>
            <w:tcW w:w="66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Coastal/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Recreational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9960</w:t>
            </w:r>
          </w:p>
        </w:tc>
        <w:tc>
          <w:tcPr>
            <w:tcW w:w="64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33.19%</w:t>
            </w:r>
          </w:p>
        </w:tc>
        <w:tc>
          <w:tcPr>
            <w:tcW w:w="30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23.95%</w:t>
            </w:r>
          </w:p>
        </w:tc>
        <w:tc>
          <w:tcPr>
            <w:tcW w:w="380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Plastic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b</w:t>
            </w:r>
            <w:r>
              <w:rPr>
                <w:rFonts w:hint="default" w:ascii="Times New Roman" w:hAnsi="Times New Roman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ottle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s (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Beverage, mung bean sand, mineral water bottle, milk, facial washing, pesticide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, and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detergent bottle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);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Plastic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box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fast food,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earphone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)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,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Plastic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bag (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beverage, woven bag,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packaging bag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);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plastic bowl,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cloth, basket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lighter, slippers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1930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6.43%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65.97%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Bubbles, small bubbles, bubbles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2950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9.83%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3.78%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Glass bottle, light bulb, beer bottle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0.42%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Cans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0.40%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0.84%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Rubber cover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0.84%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pp</w:t>
            </w:r>
            <w:r>
              <w:rPr>
                <w:rFonts w:hint="eastAsia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Cotton，plastic cloth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15510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51.68%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228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95.80%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 xml:space="preserve">fishing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14500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48.32% 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4.20%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23" w:name="OLE_LINK12"/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nets</w:t>
            </w:r>
            <w:bookmarkEnd w:id="2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Hengmen waterway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in the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Pearl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River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Estuary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Coastal/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Recreational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670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50.57%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43.75%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Woven bag, plastic cloth, plastic bag, plastic 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6.04%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6.25%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pict>
                <v:shape id="_x0000_i1025" o:spt="201" type="#_x0000_t201" style="height:0pt;width:0.05pt;" filled="f" coordsize="21600,21600">
                  <v:path/>
                  <v:fill on="f" focussize="0,0"/>
                  <v:stroke/>
                  <v:imagedata o:title=""/>
                  <o:lock v:ext="edit" aspectratio="t"/>
                  <w10:wrap type="none"/>
                  <w10:anchorlock/>
                </v:shape>
              </w:pict>
            </w:r>
            <w:r>
              <w:rPr>
                <w:highlight w:val="none"/>
              </w:rPr>
              <w:t>Foam box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3.40%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31.25%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布</w:t>
            </w:r>
            <w:r>
              <w:rPr>
                <w:rFonts w:hint="eastAsia" w:cs="Times New Roman"/>
                <w:b w:val="0"/>
                <w:bCs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 xml:space="preserve"> cloth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795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60.00%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81.25%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40.00%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18.75%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nets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Futian in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Shenzhen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Coastal/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Recreational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975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9.73%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51.35%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Beverage bottle, bottle cap, large coke bottle</w:t>
            </w:r>
            <w:r>
              <w:rPr>
                <w:rFonts w:hint="eastAsia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barrel edge (upper half)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16.96%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27.03%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Foam boxes, slippers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2.70%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Abandoned bullet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29.93%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10.00%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tyre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39.90%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2.70%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canvas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9695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96.71% 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86.49%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3.29%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10.81%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foam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 products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2.70%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wooded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raft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eastAsia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Daya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bay in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Huizhou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Coastal/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Recreational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2230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33.14%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64.29%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Slippers, plastic bags, plastic buckets, mineral water bottles, pesticide bottles, plastic baskets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5.94%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14.29%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foam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56.46%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14.29%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Pillow, hat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6430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95.54%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92.86%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4.46%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7.14%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foam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Beilun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Estuary in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Fang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henggang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Coastal/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Recreational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53.79%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68.72%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 film, plastic bag (woven bag, plastic reticule, packing bag), plastic bottle/box/cup (mineral water bottle, drink bottle/food box, disposal cup), fruits packing net, packing rope, pipe, cellphone,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10.07%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14.36%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Particles, foam fast food box,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Glasses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5.92%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3.59%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Beer bottle, glass bottle/cup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Metals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1.03%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1.54%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ring-pull can, metal food bottle, motorbike pedal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Rubbers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17.91%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4.10%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Rubber tire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Fabrics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1.97%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0.51%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Used clothes, shoes, pants, cotton gloves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90.69%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92.82%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 xml:space="preserve">Medical or 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sanitary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0.12%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1.54%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 drug board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9.19%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5.64%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nets, broken buoy, 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Qinglan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port in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Wenchang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Coastal/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Recreational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1785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18.08%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53.76%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 bag,woven bag, packaging bag</w:t>
            </w:r>
            <w:r>
              <w:rPr>
                <w:rFonts w:hint="eastAsia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plastic bowl, nylon bag, plastic stick, plastic bottle, PVC pipe, toothpaste bottle, woven bag, plastic bucket, milk tea cup, plastic cloth (paper), plastic bag, plastic cover, small bucket, life jacket,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1.60%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13.98%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foam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5.37%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6.45%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Light bulb, glass bottle, wine bottle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2.03%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Tire, rubber ring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21.27%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4.30%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Tire, rubber ring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1.62%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5.38%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Cloth, cloth logo, rope, rag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 products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620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6.28%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2.15%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Small wooden block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5553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56.24%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87.10%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4320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43.76%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12.90%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fishing net (cage)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Qingmei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bay in 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Sanya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0"/>
                <w:szCs w:val="20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Land-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Coastal/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Recreational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Times New Roman" w:cs="Times New Roman"/>
                <w:snapToGrid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573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62.08%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87.88%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Lighter, plastic bag, bottle cap, packing bag, plastic ring, plastic bag, plastic paper, woven bag, plastic bottle, plastic bowl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16.25%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3.03%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 bottle,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0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723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78.33%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90.91%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Sea-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based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Navigation/</w:t>
            </w:r>
          </w:p>
          <w:p>
            <w:pPr>
              <w:pStyle w:val="4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line="0" w:lineRule="atLeast"/>
              <w:ind w:left="0" w:leftChars="0" w:right="0" w:firstLine="0" w:firstLine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fishing activity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21.67%</w:t>
            </w: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9.09%</w:t>
            </w:r>
          </w:p>
        </w:tc>
        <w:tc>
          <w:tcPr>
            <w:tcW w:w="380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Waste fishing net (cage)</w:t>
            </w:r>
          </w:p>
        </w:tc>
      </w:tr>
      <w:bookmarkEnd w:id="20"/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/>
        <w:jc w:val="center"/>
        <w:textAlignment w:val="center"/>
        <w:rPr>
          <w:rFonts w:hint="default" w:ascii="Times New Roman" w:hAnsi="Times New Roman" w:eastAsia="仿宋" w:cs="Times New Roman"/>
          <w:b/>
          <w:bCs/>
          <w:color w:val="000000"/>
          <w:kern w:val="0"/>
          <w:sz w:val="18"/>
          <w:szCs w:val="18"/>
          <w:highlight w:val="none"/>
          <w:lang w:val="en-US" w:eastAsia="zh-CN" w:bidi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/>
        <w:jc w:val="center"/>
        <w:textAlignment w:val="center"/>
        <w:rPr>
          <w:rFonts w:hint="default" w:ascii="Times New Roman" w:hAnsi="Times New Roman" w:eastAsia="仿宋" w:cs="Times New Roman"/>
          <w:b/>
          <w:bCs/>
          <w:color w:val="000000"/>
          <w:kern w:val="0"/>
          <w:sz w:val="18"/>
          <w:szCs w:val="18"/>
          <w:highlight w:val="none"/>
          <w:lang w:val="en-US" w:eastAsia="zh-CN" w:bidi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</w:pPr>
      <w:bookmarkStart w:id="24" w:name="_Toc3962"/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SI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 xml:space="preserve">Table </w:t>
      </w: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3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-</w:t>
      </w: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2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. Land/sea-based</w:t>
      </w: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debris</w:t>
      </w: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source</w:t>
      </w: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>s</w:t>
      </w: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 xml:space="preserve"> </w:t>
      </w:r>
      <w:r>
        <w:rPr>
          <w:rFonts w:eastAsia="仿宋"/>
          <w:b/>
          <w:bCs/>
          <w:szCs w:val="21"/>
          <w:highlight w:val="none"/>
        </w:rPr>
        <w:t>according to their materials in the</w:t>
      </w:r>
      <w:r>
        <w:rPr>
          <w:rFonts w:hint="eastAsia" w:eastAsia="仿宋"/>
          <w:b/>
          <w:bCs/>
          <w:szCs w:val="21"/>
          <w:highlight w:val="none"/>
          <w:lang w:val="en-US" w:eastAsia="zh-CN"/>
        </w:rPr>
        <w:t xml:space="preserve"> </w:t>
      </w:r>
      <w:r>
        <w:rPr>
          <w:rFonts w:hint="eastAsia" w:eastAsia="仿宋"/>
          <w:b/>
          <w:bCs/>
          <w:szCs w:val="21"/>
          <w:highlight w:val="none"/>
        </w:rPr>
        <w:t>MNSCS</w:t>
      </w:r>
      <w:r>
        <w:rPr>
          <w:rFonts w:eastAsia="仿宋"/>
          <w:b/>
          <w:bCs/>
          <w:szCs w:val="21"/>
          <w:highlight w:val="none"/>
        </w:rPr>
        <w:t>.</w:t>
      </w:r>
      <w:bookmarkEnd w:id="24"/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en-US"/>
        </w:rPr>
        <w:t xml:space="preserve"> </w:t>
      </w:r>
    </w:p>
    <w:tbl>
      <w:tblPr>
        <w:tblStyle w:val="17"/>
        <w:tblW w:w="10156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8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444"/>
        <w:gridCol w:w="716"/>
        <w:gridCol w:w="1459"/>
        <w:gridCol w:w="1228"/>
        <w:gridCol w:w="833"/>
        <w:gridCol w:w="516"/>
        <w:gridCol w:w="1559"/>
        <w:gridCol w:w="1228"/>
        <w:gridCol w:w="833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Sources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Types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Wts</w:t>
            </w: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Ms</w:t>
            </w:r>
          </w:p>
        </w:tc>
        <w:tc>
          <w:tcPr>
            <w:tcW w:w="0" w:type="auto"/>
            <w:gridSpan w:val="2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Ms-p.c.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Qts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Qt</w:t>
            </w:r>
          </w:p>
        </w:tc>
        <w:tc>
          <w:tcPr>
            <w:tcW w:w="0" w:type="auto"/>
            <w:gridSpan w:val="2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Qt-p.c.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Land-based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otal </w:t>
            </w:r>
          </w:p>
        </w:tc>
        <w:tc>
          <w:tcPr>
            <w:tcW w:w="0" w:type="auto"/>
            <w:vMerge w:val="continue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Land-based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otal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Land-based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29828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6.925(±0.120) 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48.34%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35.42%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0.071(±0.012) 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52.50%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48.72%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6821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1.584 (±0.058)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11.05%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8.10%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0.049(±0.010)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36.32%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33.71%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Glasses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5130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1.191(±0.050)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8.31%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6.09%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0.005(±0.003)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3.96%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3.67%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Metals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0.123(±0.016)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0.86%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0.001(±0.002)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1.03%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0.96%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Rubbers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9760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2.266 (±0.069)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15.82%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11.59%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0.003(±0.003)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2.58%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2.40%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Fabrics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2.091(±0.066)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14.59%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10.69%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0.004(±0.003)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2.75%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2.56%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 products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0.144(±0.017)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0.74%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0.0005(±0.0010)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0.34%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0.32%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61705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14.327(±0.173) 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73.27%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0.135(±0.017) 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92.81%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Sea-</w:t>
            </w:r>
            <w:r>
              <w:rPr>
                <w:rStyle w:val="49"/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highlight w:val="none"/>
                <w:lang w:val="en-US" w:eastAsia="zh-CN" w:bidi="ar"/>
              </w:rPr>
              <w:t>based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Plastics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21880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5.080(±0.103)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97.20%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25.98%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0.0091(±0.004) 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86.67%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6.23%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Styrofoam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0.146(±0.017)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2.80%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0.75%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0.0012(±0.0020)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11.11%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0.80%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Wood products</w:t>
            </w:r>
          </w:p>
        </w:tc>
        <w:tc>
          <w:tcPr>
            <w:tcW w:w="0" w:type="auto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Unable to weight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0.0002(±0.0010)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2.22%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0.16%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otal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22510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5.226(±0.105)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26.73%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0.010(±0.005) 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7.19%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 w:firstLine="0" w:firstLineChars="0"/>
        <w:jc w:val="center"/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 w:firstLine="0" w:firstLineChars="0"/>
        <w:jc w:val="center"/>
        <w:rPr>
          <w:rFonts w:hint="default" w:ascii="Times New Roman" w:hAnsi="Times New Roman" w:eastAsia="宋体" w:cs="Times New Roman"/>
          <w:sz w:val="18"/>
          <w:szCs w:val="18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right="0" w:firstLine="0" w:firstLineChars="0"/>
        <w:jc w:val="center"/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</w:pPr>
      <w:bookmarkStart w:id="25" w:name="_Toc5397"/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SI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Table </w:t>
      </w:r>
      <w:r>
        <w:rPr>
          <w:rFonts w:hint="eastAsia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3-3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. Deferment debris</w:t>
      </w:r>
      <w:r>
        <w:rPr>
          <w:rFonts w:hint="eastAsia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sources</w:t>
      </w:r>
      <w:r>
        <w:rPr>
          <w:rFonts w:hint="eastAsia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</w:t>
      </w:r>
      <w:r>
        <w:rPr>
          <w:rFonts w:eastAsia="仿宋"/>
          <w:b/>
          <w:bCs/>
          <w:szCs w:val="21"/>
          <w:highlight w:val="none"/>
        </w:rPr>
        <w:t>according to their potential uses</w:t>
      </w:r>
      <w:r>
        <w:rPr>
          <w:rFonts w:hint="eastAsia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in the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MNSCS</w:t>
      </w:r>
      <w:bookmarkEnd w:id="25"/>
    </w:p>
    <w:tbl>
      <w:tblPr>
        <w:tblStyle w:val="17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1760"/>
        <w:gridCol w:w="772"/>
        <w:gridCol w:w="1419"/>
        <w:gridCol w:w="991"/>
        <w:gridCol w:w="893"/>
        <w:gridCol w:w="609"/>
        <w:gridCol w:w="1621"/>
        <w:gridCol w:w="890"/>
        <w:gridCol w:w="89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20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Sources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Types</w:t>
            </w:r>
          </w:p>
        </w:tc>
        <w:tc>
          <w:tcPr>
            <w:tcW w:w="7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Wts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Ms</w:t>
            </w:r>
          </w:p>
        </w:tc>
        <w:tc>
          <w:tcPr>
            <w:tcW w:w="1884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Ms-p.c.</w:t>
            </w:r>
          </w:p>
        </w:tc>
        <w:tc>
          <w:tcPr>
            <w:tcW w:w="6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  <w:shd w:val="clear" w:color="auto" w:fill="FFFFFF"/>
              </w:rPr>
              <w:t>Qt</w:t>
            </w: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s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Qt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Qt-p.c.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restart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Coastal/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Recreational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26" w:name="OLE_LINK38"/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activity</w:t>
            </w:r>
            <w:bookmarkEnd w:id="26"/>
          </w:p>
        </w:tc>
        <w:tc>
          <w:tcPr>
            <w:tcW w:w="176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77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29828</w:t>
            </w:r>
          </w:p>
        </w:tc>
        <w:tc>
          <w:tcPr>
            <w:tcW w:w="141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6.925(±0.120)</w:t>
            </w:r>
          </w:p>
        </w:tc>
        <w:tc>
          <w:tcPr>
            <w:tcW w:w="99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48.84%</w:t>
            </w:r>
          </w:p>
        </w:tc>
        <w:tc>
          <w:tcPr>
            <w:tcW w:w="89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35.42%</w:t>
            </w:r>
          </w:p>
        </w:tc>
        <w:tc>
          <w:tcPr>
            <w:tcW w:w="60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305</w:t>
            </w:r>
          </w:p>
        </w:tc>
        <w:tc>
          <w:tcPr>
            <w:tcW w:w="16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0.071(±0.012)</w:t>
            </w:r>
          </w:p>
        </w:tc>
        <w:tc>
          <w:tcPr>
            <w:tcW w:w="89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52.95%</w:t>
            </w:r>
          </w:p>
        </w:tc>
        <w:tc>
          <w:tcPr>
            <w:tcW w:w="89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48.72%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7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6821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1.584(±0.058)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11.17%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8.10%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211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0.049(±0.010)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36.63%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33.71%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7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5130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1.191(±0.050)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8.40%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6.09%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0.005(±0.003)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3.99%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3.67%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7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530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0.123(±0.016)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0.87%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0.63%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0.0014(±0.0020)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1.04%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0.96%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7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9760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2.266(±0.069)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15.98%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11.59%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0.003(±0.003 )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2.60%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2.40%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7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9005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2.091(±0.066)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14.74%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10.69%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0.004(±0.003)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2.78%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2.56%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Total</w:t>
            </w:r>
          </w:p>
        </w:tc>
        <w:tc>
          <w:tcPr>
            <w:tcW w:w="77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61074</w:t>
            </w:r>
          </w:p>
        </w:tc>
        <w:tc>
          <w:tcPr>
            <w:tcW w:w="2410" w:type="dxa"/>
            <w:gridSpan w:val="2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14.180(±0.172)</w:t>
            </w:r>
          </w:p>
        </w:tc>
        <w:tc>
          <w:tcPr>
            <w:tcW w:w="8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72.52%</w:t>
            </w:r>
          </w:p>
        </w:tc>
        <w:tc>
          <w:tcPr>
            <w:tcW w:w="60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576</w:t>
            </w:r>
          </w:p>
        </w:tc>
        <w:tc>
          <w:tcPr>
            <w:tcW w:w="2511" w:type="dxa"/>
            <w:gridSpan w:val="2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0.134(±0.017)</w:t>
            </w:r>
          </w:p>
        </w:tc>
        <w:tc>
          <w:tcPr>
            <w:tcW w:w="8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92.01%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27" w:name="OLE_LINK19"/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Navigation/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fishing activity</w:t>
            </w:r>
            <w:bookmarkEnd w:id="27"/>
          </w:p>
        </w:tc>
        <w:tc>
          <w:tcPr>
            <w:tcW w:w="176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77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21880</w:t>
            </w:r>
          </w:p>
        </w:tc>
        <w:tc>
          <w:tcPr>
            <w:tcW w:w="141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5.080(±0.103)</w:t>
            </w:r>
          </w:p>
        </w:tc>
        <w:tc>
          <w:tcPr>
            <w:tcW w:w="99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97.20%</w:t>
            </w:r>
          </w:p>
        </w:tc>
        <w:tc>
          <w:tcPr>
            <w:tcW w:w="89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25.98%</w:t>
            </w:r>
          </w:p>
        </w:tc>
        <w:tc>
          <w:tcPr>
            <w:tcW w:w="60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39</w:t>
            </w:r>
          </w:p>
        </w:tc>
        <w:tc>
          <w:tcPr>
            <w:tcW w:w="16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0.009(±0.004)</w:t>
            </w:r>
          </w:p>
        </w:tc>
        <w:tc>
          <w:tcPr>
            <w:tcW w:w="89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6.23%</w:t>
            </w:r>
          </w:p>
        </w:tc>
        <w:tc>
          <w:tcPr>
            <w:tcW w:w="89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6.23%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7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630</w:t>
            </w:r>
          </w:p>
        </w:tc>
        <w:tc>
          <w:tcPr>
            <w:tcW w:w="14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0.146(±0.017)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2.80%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0.75%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0.0012(±0.0020)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0.80%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0.80%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Wood products</w:t>
            </w:r>
          </w:p>
        </w:tc>
        <w:tc>
          <w:tcPr>
            <w:tcW w:w="4075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Unable to weight</w:t>
            </w:r>
          </w:p>
        </w:tc>
        <w:tc>
          <w:tcPr>
            <w:tcW w:w="6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6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0.0002(±0.0010)</w:t>
            </w:r>
          </w:p>
        </w:tc>
        <w:tc>
          <w:tcPr>
            <w:tcW w:w="89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0.16%</w:t>
            </w:r>
          </w:p>
        </w:tc>
        <w:tc>
          <w:tcPr>
            <w:tcW w:w="8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6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Total</w:t>
            </w:r>
          </w:p>
        </w:tc>
        <w:tc>
          <w:tcPr>
            <w:tcW w:w="77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22510</w:t>
            </w:r>
          </w:p>
        </w:tc>
        <w:tc>
          <w:tcPr>
            <w:tcW w:w="141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5.226(±0.104)</w:t>
            </w:r>
          </w:p>
        </w:tc>
        <w:tc>
          <w:tcPr>
            <w:tcW w:w="99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100.00%</w:t>
            </w:r>
          </w:p>
        </w:tc>
        <w:tc>
          <w:tcPr>
            <w:tcW w:w="8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26.73%</w:t>
            </w:r>
          </w:p>
        </w:tc>
        <w:tc>
          <w:tcPr>
            <w:tcW w:w="60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</w:t>
            </w:r>
          </w:p>
        </w:tc>
        <w:tc>
          <w:tcPr>
            <w:tcW w:w="16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0.010(±0.005)</w:t>
            </w:r>
          </w:p>
        </w:tc>
        <w:tc>
          <w:tcPr>
            <w:tcW w:w="89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7.19%</w:t>
            </w:r>
          </w:p>
        </w:tc>
        <w:tc>
          <w:tcPr>
            <w:tcW w:w="8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7.19%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bookmarkStart w:id="28" w:name="OLE_LINK20" w:colFirst="0" w:colLast="0"/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Medical or sanitary activity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7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0.003(±0.002)</w:t>
            </w:r>
          </w:p>
        </w:tc>
        <w:tc>
          <w:tcPr>
            <w:tcW w:w="9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0.01%</w:t>
            </w:r>
          </w:p>
        </w:tc>
        <w:tc>
          <w:tcPr>
            <w:tcW w:w="6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0.0007(±0.0010)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0.48%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2048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Other disposal source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Wood products</w:t>
            </w:r>
          </w:p>
        </w:tc>
        <w:tc>
          <w:tcPr>
            <w:tcW w:w="7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620</w:t>
            </w:r>
          </w:p>
        </w:tc>
        <w:tc>
          <w:tcPr>
            <w:tcW w:w="14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0.144(±0.017)</w:t>
            </w:r>
          </w:p>
        </w:tc>
        <w:tc>
          <w:tcPr>
            <w:tcW w:w="9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0.74%</w:t>
            </w:r>
          </w:p>
        </w:tc>
        <w:tc>
          <w:tcPr>
            <w:tcW w:w="6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0.000(±0.0010)</w:t>
            </w:r>
          </w:p>
        </w:tc>
        <w:tc>
          <w:tcPr>
            <w:tcW w:w="8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0.32%</w:t>
            </w:r>
          </w:p>
        </w:tc>
      </w:tr>
      <w:bookmarkEnd w:id="28"/>
    </w:tbl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  <w:t xml:space="preserve">Note: the debris items were classified into four different sources as follows: Coastal/Recreational activity, navigation/fishing activity, medical or sanitary activity,Other disposal source (e.g., wood, ceramics, plastic pieces, glass slices). </w:t>
      </w:r>
    </w:p>
    <w:p>
      <w:pPr>
        <w:pStyle w:val="47"/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</w:pPr>
    </w:p>
    <w:p>
      <w:pPr>
        <w:pStyle w:val="47"/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</w:pPr>
    </w:p>
    <w:p>
      <w:pPr>
        <w:pStyle w:val="47"/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</w:pPr>
    </w:p>
    <w:p>
      <w:pPr>
        <w:pStyle w:val="47"/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29" w:name="_Toc28829"/>
      <w:bookmarkStart w:id="30" w:name="OLE_LINK17"/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SI Table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-1.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de-DE"/>
        </w:rPr>
        <w:t>Current estimates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of marine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debris</w:t>
      </w:r>
      <w:bookmarkStart w:id="31" w:name="OLE_LINK27"/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in the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MNSCS</w:t>
      </w:r>
      <w:bookmarkEnd w:id="29"/>
    </w:p>
    <w:tbl>
      <w:tblPr>
        <w:tblStyle w:val="18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1"/>
        <w:gridCol w:w="1255"/>
        <w:gridCol w:w="321"/>
        <w:gridCol w:w="995"/>
        <w:gridCol w:w="1047"/>
        <w:gridCol w:w="740"/>
        <w:gridCol w:w="798"/>
        <w:gridCol w:w="911"/>
        <w:gridCol w:w="854"/>
        <w:gridCol w:w="80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195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Study Area</w:t>
            </w:r>
          </w:p>
        </w:tc>
        <w:tc>
          <w:tcPr>
            <w:tcW w:w="125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>Classification</w:t>
            </w:r>
          </w:p>
        </w:tc>
        <w:tc>
          <w:tcPr>
            <w:tcW w:w="32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eastAsia="zh-CN"/>
              </w:rPr>
              <w:t>Astd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>D-Ms</w:t>
            </w:r>
            <w:r>
              <w:rPr>
                <w:rFonts w:hint="eastAsia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eastAsia="zh-CN"/>
              </w:rPr>
              <w:t>（g/m</w:t>
            </w:r>
            <w:r>
              <w:rPr>
                <w:rFonts w:hint="eastAsia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vertAlign w:val="superscript"/>
                <w:lang w:eastAsia="zh-CN"/>
              </w:rPr>
              <w:t>2</w:t>
            </w:r>
            <w:r>
              <w:rPr>
                <w:rFonts w:hint="eastAsia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740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Total </w:t>
            </w:r>
            <w:r>
              <w:rPr>
                <w:rFonts w:hint="eastAsia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rea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>× 10</w:t>
            </w:r>
            <w:r>
              <w:rPr>
                <w:rFonts w:hint="eastAsia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vertAlign w:val="superscript"/>
                <w:lang w:val="en-US" w:eastAsia="zh-CN"/>
              </w:rPr>
              <w:t xml:space="preserve">4 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Debris Weights (</w:t>
            </w:r>
            <w:r>
              <w:rPr>
                <w:rFonts w:hint="eastAsia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tons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lastic-carbon (</w:t>
            </w:r>
            <w:r>
              <w:rPr>
                <w:rFonts w:hint="eastAsia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tons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321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>Mean</w:t>
            </w:r>
          </w:p>
        </w:tc>
        <w:tc>
          <w:tcPr>
            <w:tcW w:w="104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>Range</w:t>
            </w:r>
          </w:p>
        </w:tc>
        <w:tc>
          <w:tcPr>
            <w:tcW w:w="74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Mean</w:t>
            </w:r>
          </w:p>
        </w:tc>
        <w:tc>
          <w:tcPr>
            <w:tcW w:w="91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Range</w:t>
            </w:r>
          </w:p>
        </w:tc>
        <w:tc>
          <w:tcPr>
            <w:tcW w:w="85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Mean</w:t>
            </w:r>
          </w:p>
        </w:tc>
        <w:tc>
          <w:tcPr>
            <w:tcW w:w="80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Range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Qi´ao Island</w:t>
            </w:r>
            <w:r>
              <w:rPr>
                <w:rFonts w:hint="eastAsia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in Zhuhai</w:t>
            </w:r>
          </w:p>
        </w:tc>
        <w:tc>
          <w:tcPr>
            <w:tcW w:w="125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657</w:t>
            </w:r>
          </w:p>
        </w:tc>
        <w:tc>
          <w:tcPr>
            <w:tcW w:w="99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37.230</w:t>
            </w:r>
          </w:p>
        </w:tc>
        <w:tc>
          <w:tcPr>
            <w:tcW w:w="104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8.500~425.000 </w:t>
            </w:r>
          </w:p>
        </w:tc>
        <w:tc>
          <w:tcPr>
            <w:tcW w:w="740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496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184.7</w:t>
            </w:r>
          </w:p>
        </w:tc>
        <w:tc>
          <w:tcPr>
            <w:tcW w:w="91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42.2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2108.0</w:t>
            </w:r>
          </w:p>
        </w:tc>
        <w:tc>
          <w:tcPr>
            <w:tcW w:w="85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153.3 </w:t>
            </w:r>
          </w:p>
        </w:tc>
        <w:tc>
          <w:tcPr>
            <w:tcW w:w="80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35.0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1749.6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2.938</w:t>
            </w:r>
          </w:p>
        </w:tc>
        <w:tc>
          <w:tcPr>
            <w:tcW w:w="104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0.150 ~232.857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14.6 </w:t>
            </w:r>
          </w:p>
        </w:tc>
        <w:tc>
          <w:tcPr>
            <w:tcW w:w="91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0.740~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1155.0</w:t>
            </w:r>
          </w:p>
        </w:tc>
        <w:tc>
          <w:tcPr>
            <w:tcW w:w="85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12.1 </w:t>
            </w:r>
          </w:p>
        </w:tc>
        <w:tc>
          <w:tcPr>
            <w:tcW w:w="80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0.6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958.6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4.490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0~360.000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22.3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1,785.6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0.076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0~0.200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0.4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1.0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0.183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0~5.714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0.9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28.3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0.761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0~2.000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3.8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9.9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45.677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8.800~1023.571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226.6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43.6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5076.9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175.4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35.6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2708.2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Hengmen waterway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in the Pearl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River Estuary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200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6.000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1.000 ~11.000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4.2#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0.25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0.04 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0.46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0.21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0.03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0.400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0~0.800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0.02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0.03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0.01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Fabrics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0.225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0~0.450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0.01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0.02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6.625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1.450~11.800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0.28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0.06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0.50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0.22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0.03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~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0.</w:t>
            </w:r>
            <w:r>
              <w:rPr>
                <w:rFonts w:hint="eastAsia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Futian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in Shenzhen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450</w:t>
            </w: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 xml:space="preserve"> 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2.167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0.033~5.367 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292*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6.3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15.7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5.3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13.0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4.511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~8.000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13.2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23.4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10.9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19.4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0.044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0~0.133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0.1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0.4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6.667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0~20.000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19.5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58.4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8.889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0~26.667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26.0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77.9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204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Unable to weigh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Unable to weigh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22.278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9.233~37.567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65.1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27.0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109.7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16.2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0.08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22.4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Fanhegang,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Daya bay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in Huizhou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300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7.433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6.867~8.000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26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1.9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1.8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2.1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1.6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1.5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2.333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2.000 ~2.667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0.0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0.5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0.5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12.667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0~25.333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0.6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0.7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22.433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9.534 ~35.333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3.3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2.5-6.6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2.1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1.9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Beilun Estuary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in Fangchenggang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 xml:space="preserve">1200 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13.329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2.333~38.940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13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00**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173.3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30.3~506.2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143.8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25.2-420.2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2.128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0.022~7.323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27.7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0.3~95.2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23.0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0.2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79.0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  <w:t>Fabrics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3.783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0~10.00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49.2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0~130,0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  <w:t>Rubbers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0.417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0~1.538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5.4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0~20.0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  <w:t>Metals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0.217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0~0.800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2.8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0~10.4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  <w:t>Glasses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1.250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0~2.400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16.2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0~31.2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21.123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2.355~51.760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274.6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30.6~672.9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266.8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25.4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499.2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Qinglan port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>in Wenchang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 xml:space="preserve">00 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6.783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1.367 ~9.967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743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50.4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10.2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74.1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41.8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8.4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61.5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0.176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0~0.460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1.3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3.4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1.1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2.8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Glasses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ab/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0.589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0~0.167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4.4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1.2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Metals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ab/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0.222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0~0.667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1.6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5.0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2.333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0~6.667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17.3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49.5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Fabrics 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0.178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0~0.533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1.3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4.0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0.689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0~1.867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5.1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13.9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10.970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1.933~18.500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81.5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14.4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137.5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42.9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8.4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64.3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Qingmei bay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16"/>
                <w:szCs w:val="16"/>
                <w:highlight w:val="none"/>
                <w:lang w:val="en-US" w:eastAsia="zh-CN"/>
              </w:rPr>
              <w:t xml:space="preserve">in Sanya 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</w:rPr>
              <w:t>00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1.288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0.410~2.167 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.04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0.20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0.03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0.16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0.250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0~0.500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0.02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0.05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1.538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0.410~2.667 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.04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0.25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0.03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0.16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Study area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in 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the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MNSCS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4307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12.013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±0.158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1.288~37.23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2890.2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347.2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4.6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37.2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1,076.0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288.2(±3.8)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30.9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893.1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1.730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±0.06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0~4.511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50.0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1.7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130.4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41.5(±1.4） 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108.2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Glasses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1.191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±0.05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0~4.49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34.4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1.4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129.8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Metals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0.123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16)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0~0.222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6.4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Rubbers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1.328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53)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0~6.667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38.4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1.5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192.7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Fabrics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3.029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80)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0~12.667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87.5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2.3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366.1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Woodware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0.144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17)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0~0.689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4.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16(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0.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49)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19.9 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13.743(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17)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1.288~40.167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397.2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4.9)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37.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1160.9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329.7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4.1)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30.9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963.6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951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55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19.557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202)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1047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1.538~45.677</w:t>
            </w:r>
          </w:p>
        </w:tc>
        <w:tc>
          <w:tcPr>
            <w:tcW w:w="740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565.2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±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5.8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44.4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1320.2</w:t>
            </w:r>
          </w:p>
        </w:tc>
        <w:tc>
          <w:tcPr>
            <w:tcW w:w="85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807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95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China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Mangrove 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</w:p>
        </w:tc>
        <w:tc>
          <w:tcPr>
            <w:tcW w:w="32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12.013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±0.158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1.288~37.23</w:t>
            </w:r>
          </w:p>
        </w:tc>
        <w:tc>
          <w:tcPr>
            <w:tcW w:w="7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34472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4141 (±5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) 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343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(±45）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1.730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±0.06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0~4.511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596 (± 2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495(±17）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95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Plastics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+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Styrofoam</w:t>
            </w:r>
          </w:p>
        </w:tc>
        <w:tc>
          <w:tcPr>
            <w:tcW w:w="32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13.743(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169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10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1.288~40.167</w:t>
            </w:r>
          </w:p>
        </w:tc>
        <w:tc>
          <w:tcPr>
            <w:tcW w:w="74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40404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4737(±5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444-13846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3932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48)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36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~11492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51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55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Total-Mean</w:t>
            </w:r>
          </w:p>
        </w:tc>
        <w:tc>
          <w:tcPr>
            <w:tcW w:w="321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995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19.557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202)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</w:t>
            </w:r>
          </w:p>
        </w:tc>
        <w:tc>
          <w:tcPr>
            <w:tcW w:w="1047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1.538~45.677</w:t>
            </w:r>
          </w:p>
        </w:tc>
        <w:tc>
          <w:tcPr>
            <w:tcW w:w="740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98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674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(</w:t>
            </w: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70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  <w:shd w:val="clear" w:color="auto" w:fill="FFFFFF"/>
                <w:lang w:val="en-US" w:eastAsia="zh-CN"/>
              </w:rPr>
              <w:t xml:space="preserve">  </w:t>
            </w:r>
          </w:p>
        </w:tc>
        <w:tc>
          <w:tcPr>
            <w:tcW w:w="911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807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shd w:val="clear" w:color="auto" w:fill="FFFFFF"/>
                <w:lang w:val="en-US" w:eastAsia="zh-CN" w:bidi="ar-SA"/>
              </w:rPr>
            </w:pPr>
          </w:p>
        </w:tc>
      </w:tr>
    </w:tbl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Notes：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In our study, according to remote sensing data, the study area in the north South China Sea is ~28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90.2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hectares, including Qi'ao Island of ~496 hectares,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Futian of ~292 hectares (excluding Mai Po mangrove in Hong Kong), Daya Bay (Fanhegang port) of ~26 hectares, Qinglan port of ~743 hectares, and Qingmei port of ~9 hectares, respectively.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 # the data come from the reference: Leng Qidi.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Mangroves have grown up and become forests!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Guangdong 2020 World Ocean Day was held in Zhongshan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Zhongshan 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aily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 https://zsrbapp.zsnews.cn/home/content/newsContent/1/545795.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>2020-06-08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  <w:t xml:space="preserve">. *Excluding mangrove in Mai Po, Hong Kong; ** data is refereed from Li et al., 2021. </w:t>
      </w:r>
    </w:p>
    <w:p>
      <w:pPr>
        <w:pStyle w:val="47"/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</w:pPr>
    </w:p>
    <w:p>
      <w:pPr>
        <w:pStyle w:val="47"/>
        <w:rPr>
          <w:rFonts w:hint="eastAsia" w:ascii="Times New Roman" w:hAnsi="Times New Roman" w:cs="Times New Roman"/>
          <w:b w:val="0"/>
          <w:bCs w:val="0"/>
          <w:i w:val="0"/>
          <w:caps w:val="0"/>
          <w:color w:val="404040"/>
          <w:spacing w:val="0"/>
          <w:sz w:val="16"/>
          <w:szCs w:val="16"/>
          <w:highlight w:val="none"/>
          <w:shd w:val="clear" w:fill="FFFFFF"/>
          <w:lang w:val="en-US" w:eastAsia="zh-CN"/>
        </w:rPr>
      </w:pPr>
    </w:p>
    <w:bookmarkEnd w:id="30"/>
    <w:bookmarkEnd w:id="31"/>
    <w:p>
      <w:pPr>
        <w:keepNext w:val="0"/>
        <w:keepLines w:val="0"/>
        <w:pageBreakBefore w:val="0"/>
        <w:kinsoku/>
        <w:overflowPunct/>
        <w:topLinePunct w:val="0"/>
        <w:bidi w:val="0"/>
        <w:ind w:left="0" w:right="0"/>
        <w:rPr>
          <w:rFonts w:hint="default" w:ascii="宋体" w:hAnsi="宋体" w:eastAsia="宋体" w:cs="宋体"/>
          <w:b/>
          <w:bCs/>
          <w:i w:val="0"/>
          <w:caps w:val="0"/>
          <w:color w:val="404040"/>
          <w:spacing w:val="0"/>
          <w:sz w:val="21"/>
          <w:szCs w:val="21"/>
          <w:highlight w:val="none"/>
          <w:shd w:val="clear" w:fill="FFFFFF"/>
          <w:lang w:val="en-US" w:eastAsia="zh-CN"/>
        </w:rPr>
      </w:pPr>
      <w:bookmarkStart w:id="32" w:name="OLE_LINK25"/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</w:pPr>
      <w:bookmarkStart w:id="33" w:name="_Toc5551"/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SI Table </w:t>
      </w:r>
      <w:r>
        <w:rPr>
          <w:rFonts w:hint="eastAsia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. Marine debris items by sizes in 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the MNSCS</w:t>
      </w:r>
      <w:bookmarkEnd w:id="33"/>
    </w:p>
    <w:tbl>
      <w:tblPr>
        <w:tblStyle w:val="18"/>
        <w:tblW w:w="863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639"/>
        <w:gridCol w:w="1416"/>
        <w:gridCol w:w="833"/>
        <w:gridCol w:w="933"/>
        <w:gridCol w:w="833"/>
        <w:gridCol w:w="833"/>
        <w:gridCol w:w="833"/>
        <w:gridCol w:w="83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Study Area</w:t>
            </w:r>
          </w:p>
        </w:tc>
        <w:tc>
          <w:tcPr>
            <w:tcW w:w="2055" w:type="dxa"/>
            <w:gridSpan w:val="2"/>
            <w:vMerge w:val="restart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Transect</w:t>
            </w:r>
          </w:p>
        </w:tc>
        <w:tc>
          <w:tcPr>
            <w:tcW w:w="2599" w:type="dxa"/>
            <w:gridSpan w:val="3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 xml:space="preserve">Mass 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eights</w:t>
            </w:r>
          </w:p>
        </w:tc>
        <w:tc>
          <w:tcPr>
            <w:tcW w:w="2499" w:type="dxa"/>
            <w:gridSpan w:val="3"/>
            <w:tcBorders>
              <w:left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Quantity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items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vMerge w:val="continue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</w:t>
            </w:r>
          </w:p>
        </w:tc>
        <w:tc>
          <w:tcPr>
            <w:tcW w:w="93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B-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sz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B-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</w:t>
            </w:r>
          </w:p>
        </w:tc>
        <w:tc>
          <w:tcPr>
            <w:tcW w:w="833" w:type="dxa"/>
            <w:tcBorders>
              <w:top w:val="nil"/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sz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Qi´ao Island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in Zhuhai</w:t>
            </w:r>
          </w:p>
        </w:tc>
        <w:tc>
          <w:tcPr>
            <w:tcW w:w="639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QA5</w:t>
            </w:r>
          </w:p>
        </w:tc>
        <w:tc>
          <w:tcPr>
            <w:tcW w:w="1416" w:type="dxa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Wt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/Qt</w:t>
            </w:r>
          </w:p>
        </w:tc>
        <w:tc>
          <w:tcPr>
            <w:tcW w:w="833" w:type="dxa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480</w:t>
            </w:r>
          </w:p>
        </w:tc>
        <w:tc>
          <w:tcPr>
            <w:tcW w:w="933" w:type="dxa"/>
            <w:tcBorders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6685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833" w:type="dxa"/>
            <w:tcBorders>
              <w:left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68.571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955.000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17.714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9.143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6.70%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93.30%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65.96%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34.04%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QA1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7895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0.120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31.580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4.000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0.112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0.34%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88.46%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11.20%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3.33%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93.33%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3.33%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QA3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10.800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50.000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17.76%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82.24%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85.71%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14.29%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QA4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3.800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5.000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0.055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0.010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43.18%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56.82%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84.62%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15.38%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510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17500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0.776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26.636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18.265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0.190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0.166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1.70%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58.31%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39.99%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52.52%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45.80%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1.68%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Hengmen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waterway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in the Pearl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River Estuary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HM1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7.300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4.500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0.020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61.86%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38.14%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75.00%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25.00%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HM2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0.650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0.800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0.070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44.83%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55.17%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87.5%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12.5%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3.975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2.650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0.065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0.015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60.00%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40.00%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81.25%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18.75%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Futian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in Shenzhen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FT1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5635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unable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37.567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unable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0.120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unable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94.74%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5.26%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FT2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1365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0.133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9.100 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1.44%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98.56%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6.25%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93.75%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FT3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0.033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20.000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0.007 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0.17%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99.83%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50.00%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br w:type="page"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10000</w:t>
            </w:r>
          </w:p>
        </w:tc>
        <w:tc>
          <w:tcPr>
            <w:tcW w:w="833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Unable to weight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0.056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22.222 </w:t>
            </w:r>
          </w:p>
        </w:tc>
        <w:tc>
          <w:tcPr>
            <w:tcW w:w="83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0.076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0.25%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99.75%</w:t>
            </w:r>
          </w:p>
        </w:tc>
        <w:tc>
          <w:tcPr>
            <w:tcW w:w="833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5.41%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91.89%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2.70%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Daya bay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 in Huizhou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DY1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br w:type="page"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5300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35.333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DY2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1430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Dt-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9.533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6730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14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22.433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Beilun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Estuary in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Fangchenggang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J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1450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0.046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8.286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2.286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0.063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0.43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78.04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21.53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40.00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55.00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5.00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J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D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0.022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0.94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99.06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33.33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66.67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Z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195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9245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3500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0.780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36.980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1.51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71.45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27.05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10.48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81.90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7.62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R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ST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80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6550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2860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0.246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20.154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8.800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0.84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69.02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30.14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7.81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75.00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17.19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293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18295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6760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0.244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15.246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5.633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0.022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0.124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1.16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72.18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26.67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13.33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76.41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</w:rPr>
              <w:t>10.26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uto"/>
              <w:ind w:left="0" w:leftChars="0" w:right="0" w:rightChars="0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Qinglan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uto"/>
              <w:ind w:left="0" w:leftChars="0" w:right="0" w:rightChars="0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port in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uto"/>
              <w:ind w:left="0" w:leftChars="0" w:right="0" w:rightChars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Wenchang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QL1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11.833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6.667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0.070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63.96%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36.04%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95.45%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4.55%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QL2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1.933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0.043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QL3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3735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0.027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12.450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0.190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0.21%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99.79%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1.72%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98.28%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7865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8.7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0.101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0.08%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79.66%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20.26%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97.85%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uto"/>
              <w:ind w:left="0" w:leftChars="0" w:right="0" w:rightChars="0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Qingmei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uto"/>
              <w:ind w:left="0" w:leftChars="0" w:right="0" w:rightChars="0"/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 xml:space="preserve">bay in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40" w:lineRule="auto"/>
              <w:ind w:left="0" w:leftChars="0" w:right="0" w:rightChars="0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Sanya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QM1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68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0.227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0.183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0.013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0.010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55.28%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44.72%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57.14%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42.86%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restart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QM2</w:t>
            </w: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26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2.667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0.087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639" w:type="dxa"/>
            <w:vMerge w:val="continue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100.0%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68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855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 4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0.1133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1.4250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0.007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 xml:space="preserve">0.048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7.37%</w:t>
            </w:r>
          </w:p>
        </w:tc>
        <w:tc>
          <w:tcPr>
            <w:tcW w:w="933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92.63%</w:t>
            </w:r>
          </w:p>
        </w:tc>
        <w:tc>
          <w:tcPr>
            <w:tcW w:w="833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  <w:tc>
          <w:tcPr>
            <w:tcW w:w="833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12.12%</w:t>
            </w:r>
          </w:p>
        </w:tc>
        <w:tc>
          <w:tcPr>
            <w:tcW w:w="833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87.88%</w:t>
            </w:r>
          </w:p>
        </w:tc>
        <w:tc>
          <w:tcPr>
            <w:tcW w:w="833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restart"/>
            <w:tcBorders>
              <w:top w:val="single" w:color="auto" w:sz="8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the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1"/>
                <w:szCs w:val="21"/>
                <w:highlight w:val="none"/>
                <w:lang w:val="en-US" w:eastAsia="zh-CN"/>
              </w:rPr>
              <w:t>MNSCS</w:t>
            </w:r>
          </w:p>
        </w:tc>
        <w:tc>
          <w:tcPr>
            <w:tcW w:w="2055" w:type="dxa"/>
            <w:gridSpan w:val="2"/>
            <w:tcBorders>
              <w:top w:val="single" w:color="auto" w:sz="8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Wts/Qt</w:t>
            </w:r>
          </w:p>
        </w:tc>
        <w:tc>
          <w:tcPr>
            <w:tcW w:w="83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904</w:t>
            </w:r>
          </w:p>
        </w:tc>
        <w:tc>
          <w:tcPr>
            <w:tcW w:w="93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62040</w:t>
            </w:r>
          </w:p>
        </w:tc>
        <w:tc>
          <w:tcPr>
            <w:tcW w:w="83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21290</w:t>
            </w:r>
          </w:p>
        </w:tc>
        <w:tc>
          <w:tcPr>
            <w:tcW w:w="83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83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292</w:t>
            </w:r>
          </w:p>
        </w:tc>
        <w:tc>
          <w:tcPr>
            <w:tcW w:w="83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D-Ms /D-Qt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0.210 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14.404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4.943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0.007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0.068 </w:t>
            </w: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0.006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ind w:right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0"/>
                <w:szCs w:val="20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55" w:type="dxa"/>
            <w:gridSpan w:val="2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0" w:rightChars="0"/>
              <w:jc w:val="righ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eastAsia="zh-CN"/>
              </w:rPr>
              <w:t>Ms/Qt-p.c</w:t>
            </w:r>
          </w:p>
        </w:tc>
        <w:tc>
          <w:tcPr>
            <w:tcW w:w="83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1.07</w:t>
            </w:r>
          </w:p>
        </w:tc>
        <w:tc>
          <w:tcPr>
            <w:tcW w:w="93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73.65</w:t>
            </w:r>
          </w:p>
        </w:tc>
        <w:tc>
          <w:tcPr>
            <w:tcW w:w="83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25.27</w:t>
            </w:r>
          </w:p>
        </w:tc>
        <w:tc>
          <w:tcPr>
            <w:tcW w:w="83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8.65</w:t>
            </w:r>
          </w:p>
        </w:tc>
        <w:tc>
          <w:tcPr>
            <w:tcW w:w="83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84.15</w:t>
            </w:r>
          </w:p>
        </w:tc>
        <w:tc>
          <w:tcPr>
            <w:tcW w:w="833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7.20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ind w:left="0" w:right="0"/>
        <w:rPr>
          <w:rFonts w:hint="default" w:ascii="宋体" w:hAnsi="宋体" w:eastAsia="宋体" w:cs="宋体"/>
          <w:b/>
          <w:bCs/>
          <w:i w:val="0"/>
          <w:caps w:val="0"/>
          <w:color w:val="404040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bookmarkEnd w:id="32"/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center"/>
        <w:textAlignment w:val="center"/>
        <w:outlineLvl w:val="1"/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</w:pPr>
      <w:bookmarkStart w:id="34" w:name="_Toc18796"/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SI Table 6-1. 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Marine debris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w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eights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and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items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in 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the MNSCS</w:t>
      </w:r>
      <w:bookmarkEnd w:id="34"/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662"/>
        <w:gridCol w:w="478"/>
        <w:gridCol w:w="733"/>
        <w:gridCol w:w="501"/>
        <w:gridCol w:w="493"/>
        <w:gridCol w:w="563"/>
        <w:gridCol w:w="563"/>
        <w:gridCol w:w="640"/>
        <w:gridCol w:w="610"/>
        <w:gridCol w:w="610"/>
        <w:gridCol w:w="610"/>
        <w:gridCol w:w="610"/>
        <w:gridCol w:w="606"/>
        <w:gridCol w:w="501"/>
        <w:gridCol w:w="493"/>
        <w:gridCol w:w="563"/>
        <w:gridCol w:w="563"/>
        <w:gridCol w:w="640"/>
        <w:gridCol w:w="610"/>
        <w:gridCol w:w="610"/>
        <w:gridCol w:w="610"/>
        <w:gridCol w:w="610"/>
        <w:gridCol w:w="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tblHeader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Transect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Stations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Astd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ide</w:t>
            </w:r>
          </w:p>
        </w:tc>
        <w:tc>
          <w:tcPr>
            <w:tcW w:w="0" w:type="auto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All marine debris</w:t>
            </w:r>
          </w:p>
        </w:tc>
        <w:tc>
          <w:tcPr>
            <w:tcW w:w="0" w:type="auto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Plastics+Styrofoam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Wts 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Ms-p.c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Qts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Qt-p.c.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Wts (g)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Ms-p.c.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B-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sz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Qts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items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Qt-p.c.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QA1-3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960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QA1-1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75.80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63.33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5725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5755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73.17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FT1-3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4750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Style w:val="54"/>
                <w:rFonts w:eastAsia="宋体"/>
                <w:b w:val="0"/>
                <w:bCs w:val="0"/>
                <w:sz w:val="16"/>
                <w:szCs w:val="16"/>
                <w:highlight w:val="none"/>
                <w:lang w:val="en-US" w:eastAsia="zh-CN" w:bidi="ar"/>
              </w:rPr>
              <w:t>*un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4750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84.29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47.37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750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45.87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52.63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885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54.13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58.82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FT1-1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FT2-3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FT2-2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FT2-1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FT3-3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FT3-2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FT3-1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93.86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62.50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1300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95.24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DW1-3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4950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4950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93.40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95.83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DW1-1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DW3-3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76.92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1100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82.71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DW2-2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10.49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DW2-1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42.86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13.53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SJ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SJ-3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59.63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608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57.47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SJ-2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SJ-1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JD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JD-3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JD-2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94.34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94.34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JD-1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ZS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ZS-3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4365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7880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60.90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63.81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4780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48.58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62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ZS-2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3860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26.67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3860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ZS-1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9.27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12.20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5.02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2710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2710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90.64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QL2-3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31.71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QL2-2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QL2-1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60.34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52.10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37.93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1620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56.98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22.25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32.76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593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20.86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QL1-1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25.65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630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22.16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QM1-3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14.29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QM1-1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83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67.48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QM2-3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7.69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QM2-2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38.46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235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QM2-1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66.88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385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Stations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tide)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#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26.40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30.47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26.60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36.52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40.82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44.79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44.56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QA5-2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M/L-tide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66.55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57.83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1540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QA5-1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H/M-tide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4425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4785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33.45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42.17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2725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3065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66.56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135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75.42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QA3-2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M/L-tide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11110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91.37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71.43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11110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91.37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QA3-1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H/M-tide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28.57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1050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QA4-2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M/L-tide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76.92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690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1190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67.61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76.92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QA4-1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H/M-tide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23.08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570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RST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RST-2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M/L-tide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5120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53.95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46.88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3280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49.77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RST-1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H/M-tide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4370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4370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46.05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3310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3310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0" w:type="auto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All stations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&amp;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31.15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31.26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29.23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30.85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35.77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H-tide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40.39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34.99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HM1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U-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  <w:shd w:val="clear" w:color="auto" w:fill="FFFFFF"/>
                <w:lang w:val="en-US" w:eastAsia="zh-CN"/>
              </w:rPr>
              <w:t>tide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89.06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1180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92.19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72.73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HM1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10.94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7.81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27.27</w:t>
            </w:r>
          </w:p>
        </w:tc>
      </w:tr>
    </w:tbl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Note: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(1)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In our study, the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mall-size (＜2.5 cm ) debris items were not found. M-sz, B-sz, and O-sz represent the debris item size of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 -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ize ( ≥2.5 cm and ≤10 cm),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b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ig -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ize (＞10cm and≤1m)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and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ver size (＞1 m).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(2) 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 and U-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r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the l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ow-tide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 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igh-tide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and unable identified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stations,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respectively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r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igh-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 (the area between 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igh-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tide and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stations),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l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ow-tide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 (the area between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tide and l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ow-tide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stations),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respectively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.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(3)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*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un,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An old wooded boat that is unable to weigh.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(4)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#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In a given t</w:t>
      </w:r>
      <w:r>
        <w:rPr>
          <w:rFonts w:hint="default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ransect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for all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L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tide Stations (including three tide station), the mean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Ms-p.c.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Qt-p.c.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is followed as:</w:t>
      </w:r>
    </w:p>
    <w:p>
      <w:pPr>
        <w:pStyle w:val="4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right="0"/>
        <w:jc w:val="both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(Wights or Quantity)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i=1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(Wights or Quantity)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(1)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where, in a given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Transect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(including three stations of 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or two stations of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s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percentage of Mass Weights (g)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Quantity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of marine debris at a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 (h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igh-tide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or l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ow-tide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station);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(Wights or Quantity)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represent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Weights (g)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Quantity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of marine debris at a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station.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 w:firstLine="440" w:firstLineChars="200"/>
        <w:jc w:val="both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At a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sum of all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the percentage of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mass or quantity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of marine debris (including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 ,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with name of the weighted factor of all marine debris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calculation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is followed as:</w:t>
      </w:r>
    </w:p>
    <w:p>
      <w:pPr>
        <w:pStyle w:val="4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right="0"/>
        <w:jc w:val="both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i=1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           (2)           </w:t>
      </w:r>
    </w:p>
    <w:p>
      <w:pPr>
        <w:pStyle w:val="47"/>
        <w:ind w:left="0" w:leftChars="0" w:firstLine="0" w:firstLineChars="0"/>
        <w:jc w:val="left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For marine debris items at all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the weighted factor of all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 the calculation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is followed as: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 xml:space="preserve"> 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×100%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     (3)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 xml:space="preserve"> 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×100%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         (4)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 xml:space="preserve"> 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×100%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           (5)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Where, 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 at all H-tide stations;  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)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WTL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) at all L-tide stations.</w:t>
      </w:r>
    </w:p>
    <w:p>
      <w:pPr>
        <w:pStyle w:val="4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right="0"/>
        <w:jc w:val="both"/>
        <w:textAlignment w:val="auto"/>
        <w:rPr>
          <w:rFonts w:hint="eastAsia" w:ascii="Times New Roman" w:hAnsi="Times New Roman" w:cs="Times New Roman" w:eastAsiaTheme="minorEastAsia"/>
          <w:b w:val="0"/>
          <w:bCs w:val="0"/>
          <w:color w:val="auto"/>
          <w:sz w:val="16"/>
          <w:szCs w:val="16"/>
          <w:highlight w:val="none"/>
          <w:shd w:val="clear" w:color="auto" w:fill="FFFFFF"/>
          <w:lang w:val="en-US" w:eastAsia="zh-CN" w:bidi="ar-SA"/>
        </w:rPr>
      </w:pP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(5)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&amp;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For the all Stations (including three tide station,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 should be normalized to the 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igh-tide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,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edium-tide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or l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ow-tide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station, followed as: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Higℎtide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+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r=1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n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r−High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/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Medium−tide staton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    (6)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Lowtide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+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r=1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n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r−Medium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/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Low−tide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 xml:space="preserve"> station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             (7)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Mediumtide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i=1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 xml:space="preserve"> </m:t>
        </m:r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m:oMath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2"/>
            <w:szCs w:val="22"/>
            <w:highlight w:val="none"/>
            <w:shd w:val="clear" w:color="auto" w:fill="FFFFFF"/>
            <w:lang w:val="en-US" w:eastAsia="zh-CN" w:bidi="ar-SA"/>
          </w:rPr>
          <m:t xml:space="preserve">                  +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4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d>
          <m:d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dPr>
          <m:e>
            <m:nary>
              <m:naryPr>
                <m:chr m:val="∑"/>
                <m:limLoc m:val="undOvr"/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r=1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n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p.c.(%)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r−High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/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Medium−tide staton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+</m:t>
            </m:r>
            <m:nary>
              <m:naryPr>
                <m:chr m:val="∑"/>
                <m:limLoc m:val="undOvr"/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r=1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n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p.c.(%)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k−Medium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/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>Low−tide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Times New Roman" w:eastAsiaTheme="minorEastAsia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  <m:t xml:space="preserve"> station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2"/>
                        <w:szCs w:val="22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d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       (8)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where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m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s quantity of t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ransec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ts with three tides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);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n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quantity of t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ransec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es with two tides (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);</w:t>
      </w:r>
    </w:p>
    <w:p>
      <w:pPr>
        <w:pStyle w:val="4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At all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stations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), sum of all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of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mass or quantity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of all marine debris,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with name of the weighted factor of mass or quantity</w:t>
      </w:r>
      <w:r>
        <w:rPr>
          <w:rFonts w:hint="default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of marine debris,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the calculation of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can be seen in Equation (2). Additionally, the calculation of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, and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  <m:t>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2"/>
                    <w:szCs w:val="22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2"/>
                <w:szCs w:val="22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2"/>
          <w:szCs w:val="22"/>
          <w:highlight w:val="none"/>
          <w:shd w:val="clear" w:color="auto" w:fill="FFFFFF"/>
          <w:lang w:val="en-US" w:eastAsia="zh-CN" w:bidi="ar-SA"/>
        </w:rPr>
        <w:t>can be seen in Equation (6)-(8).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</w:pPr>
      <w:bookmarkStart w:id="35" w:name="_Toc10122"/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SI Table 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6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-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. Marine debris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w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eights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and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items by size in 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the MNSCS</w:t>
      </w:r>
      <w:bookmarkEnd w:id="35"/>
    </w:p>
    <w:tbl>
      <w:tblPr>
        <w:tblStyle w:val="18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994"/>
        <w:gridCol w:w="564"/>
        <w:gridCol w:w="693"/>
        <w:gridCol w:w="780"/>
        <w:gridCol w:w="693"/>
        <w:gridCol w:w="612"/>
        <w:gridCol w:w="693"/>
        <w:gridCol w:w="780"/>
        <w:gridCol w:w="607"/>
        <w:gridCol w:w="612"/>
        <w:gridCol w:w="693"/>
        <w:gridCol w:w="780"/>
        <w:gridCol w:w="693"/>
        <w:gridCol w:w="613"/>
        <w:gridCol w:w="694"/>
        <w:gridCol w:w="781"/>
        <w:gridCol w:w="694"/>
        <w:gridCol w:w="61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tblHeader/>
        </w:trPr>
        <w:tc>
          <w:tcPr>
            <w:tcW w:w="0" w:type="auto"/>
            <w:vMerge w:val="restart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Tide types</w:t>
            </w:r>
          </w:p>
        </w:tc>
        <w:tc>
          <w:tcPr>
            <w:tcW w:w="0" w:type="auto"/>
            <w:vMerge w:val="restart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Stations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Astd</w:t>
            </w:r>
          </w:p>
        </w:tc>
        <w:tc>
          <w:tcPr>
            <w:tcW w:w="0" w:type="auto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All marine debris</w:t>
            </w:r>
          </w:p>
        </w:tc>
        <w:tc>
          <w:tcPr>
            <w:tcW w:w="0" w:type="auto"/>
            <w:gridSpan w:val="8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Plastics+Styrofoam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tblHeader/>
        </w:trPr>
        <w:tc>
          <w:tcPr>
            <w:tcW w:w="0" w:type="auto"/>
            <w:vMerge w:val="continue"/>
            <w:tcBorders>
              <w:right w:val="single" w:color="000000" w:sz="8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8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gridSpan w:val="4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Ms-p.c.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gridSpan w:val="4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Qt-p.c.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gridSpan w:val="4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Ms-p.c.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gridSpan w:val="4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Qt-p.c.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  <w:tblHeader/>
        </w:trPr>
        <w:tc>
          <w:tcPr>
            <w:tcW w:w="0" w:type="auto"/>
            <w:vMerge w:val="continue"/>
            <w:tcBorders>
              <w:right w:val="single" w:color="000000" w:sz="8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8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0" w:lineRule="atLeast"/>
              <w:ind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M-sz</w:t>
            </w:r>
          </w:p>
        </w:tc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B-sz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O-sz</w:t>
            </w:r>
          </w:p>
        </w:tc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O-sz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O-sz</w:t>
            </w:r>
          </w:p>
        </w:tc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O-sz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Total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vMerge w:val="restart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High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Medium-tide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station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QA5-1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92.48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78.57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88.91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vMerge w:val="continue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QA3-1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vMerge w:val="continue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QA4-1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vMerge w:val="continue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RST-1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WT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gSi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e−H/M−tide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ub>
                </m:sSub>
              </m:oMath>
            </m:oMathPara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304.76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78.57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288.10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301.19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347.41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Medium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Low-tide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station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QA5-2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92.21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68.18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QA3-2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QA4-2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57.98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57.98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RST-2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38.46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WT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gSi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e−M/L−tide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ub>
                </m:sSub>
              </m:oMath>
            </m:oMathPara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205.51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187.89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287.50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170.55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219.22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276.64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High-tide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station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QA1-1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FT1-1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FT2-1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FT3-1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DW1-1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DW2-1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SJ-1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JD-1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ZS-1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QL1-1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QL2-1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QL1-1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QM1-1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QM2-1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WT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gSi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e−H−tide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ub>
                </m:sSub>
              </m:oMath>
            </m:oMathPara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116.77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1183.23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241.93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1058.07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216.69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1083.31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Medium-tide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station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FT2-2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FT3-2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DW1-2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DW2-2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SJ-2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JD-2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ZS-2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97.93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85.71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97.93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85.71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QL2-2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94.74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98.65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QM1-2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QM2-2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WT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gSi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e−M−tide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ub>
                </m:sSub>
              </m:oMath>
            </m:oMathPara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183.03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899.07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217.90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169.55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1047.95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103.42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935.82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260.76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1046.55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Low-tide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station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QA1-3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FT1-3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88.89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FT2-3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FT3-3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DW1-3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DW3-3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SJ-3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99.28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98.68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72.73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JD-3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ZS-3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55.39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86.57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47.38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QL1-3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QL2-3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QL1-3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QM1-3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QM2-3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WT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gSi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e−L−tide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ub>
                </m:sSub>
              </m:oMath>
            </m:oMathPara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1154.67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68.16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1108.79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1146.07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74.34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1117.60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Unable identified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tide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station</w:t>
            </w: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HM1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HM1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WT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GS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eastAsia="宋体" w:cs="Times New Roman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  <m:t>z</m:t>
                    </m:r>
                    <m:ctrlPr>
                      <w:rPr>
                        <w:rFonts w:hint="default" w:ascii="Cambria Math" w:hAnsi="Cambria Math" w:eastAsia="宋体" w:cs="Times New Roman"/>
                        <w:b w:val="0"/>
                        <w:bCs w:val="0"/>
                        <w:i w:val="0"/>
                        <w:iCs w:val="0"/>
                        <w:color w:val="000000"/>
                        <w:kern w:val="0"/>
                        <w:sz w:val="18"/>
                        <w:szCs w:val="18"/>
                        <w:highlight w:val="none"/>
                        <w:u w:val="none"/>
                        <w:lang w:val="en-US" w:eastAsia="zh-CN" w:bidi="ar"/>
                      </w:rPr>
                    </m:ctrlPr>
                  </m:sub>
                </m:sSub>
              </m:oMath>
            </m:oMathPara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106.69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141.67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Low-tide</w:t>
            </w:r>
          </w:p>
        </w:tc>
        <w:tc>
          <w:tcPr>
            <w:tcW w:w="0" w:type="auto"/>
            <w:vMerge w:val="restart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cs="Times New Roman" w:eastAsiaTheme="minorEastAsia"/>
                <w:b/>
                <w:bCs/>
                <w:snapToGrid w:val="0"/>
                <w:color w:val="auto"/>
                <w:sz w:val="28"/>
                <w:szCs w:val="28"/>
                <w:highlight w:val="none"/>
                <w:shd w:val="clear" w:color="auto" w:fill="FFFFFF"/>
                <w:vertAlign w:val="superscript"/>
                <w:lang w:val="en-US" w:eastAsia="zh-CN" w:bidi="ar-SA"/>
                <w:oMath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Stations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tide)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napToGrid w:val="0"/>
                <w:color w:val="auto"/>
                <w:sz w:val="28"/>
                <w:szCs w:val="28"/>
                <w:highlight w:val="none"/>
                <w:shd w:val="clear" w:color="auto" w:fill="FFFFFF"/>
                <w:vertAlign w:val="superscript"/>
                <w:lang w:val="en-US" w:eastAsia="zh-CN" w:bidi="ar-SA"/>
              </w:rPr>
              <w:t>#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29.24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Medium-tide</w:t>
            </w:r>
          </w:p>
        </w:tc>
        <w:tc>
          <w:tcPr>
            <w:tcW w:w="0" w:type="auto"/>
            <w:vMerge w:val="continue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24.63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26.20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High-tide</w:t>
            </w:r>
          </w:p>
        </w:tc>
        <w:tc>
          <w:tcPr>
            <w:tcW w:w="0" w:type="auto"/>
            <w:vMerge w:val="continue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44.56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Low-tide</w:t>
            </w:r>
          </w:p>
        </w:tc>
        <w:tc>
          <w:tcPr>
            <w:tcW w:w="0" w:type="auto"/>
            <w:vMerge w:val="restart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All stations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napToGrid w:val="0"/>
                <w:color w:val="auto"/>
                <w:sz w:val="28"/>
                <w:szCs w:val="28"/>
                <w:highlight w:val="none"/>
                <w:shd w:val="clear" w:color="auto" w:fill="FFFFFF"/>
                <w:vertAlign w:val="superscript"/>
                <w:lang w:val="en-US" w:eastAsia="zh-CN" w:bidi="ar-SA"/>
              </w:rPr>
              <w:t>&amp;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30.84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Medium-tide</w:t>
            </w:r>
          </w:p>
        </w:tc>
        <w:tc>
          <w:tcPr>
            <w:tcW w:w="0" w:type="auto"/>
            <w:vMerge w:val="continue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23.95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0" w:type="auto"/>
            <w:tcBorders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High-tide</w:t>
            </w:r>
          </w:p>
        </w:tc>
        <w:tc>
          <w:tcPr>
            <w:tcW w:w="0" w:type="auto"/>
            <w:vMerge w:val="continue"/>
            <w:tcBorders>
              <w:left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Cambria Math" w:hAnsi="Cambria Math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:oMath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37.99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34.99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41.12</w:t>
            </w:r>
          </w:p>
        </w:tc>
      </w:tr>
    </w:tbl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8"/>
          <w:szCs w:val="28"/>
          <w:highlight w:val="none"/>
          <w:shd w:val="clear" w:color="auto" w:fill="FFFFFF"/>
          <w:lang w:val="en-US" w:eastAsia="zh-CN" w:bidi="ar-SA"/>
        </w:rPr>
      </w:pP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Note: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(1)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#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for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 of Mass Weights (g)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Quantity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marine debris at all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station, its calculation steps are as follows: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leftChars="0" w:right="0" w:firstLine="0" w:firstLineChars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At a given</w:t>
      </w:r>
      <w:r>
        <w:rPr>
          <w:rFonts w:hint="default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 of Mass Weights (g)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Quantity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marine debris by a different given size (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.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, the calculation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is followed as:</w:t>
      </w:r>
    </w:p>
    <w:p>
      <w:pPr>
        <w:pStyle w:val="47"/>
        <w:ind w:left="0" w:leftChars="0" w:firstLine="0" w:firstLineChars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(Wights or Quantity)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s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(Wights or Quantity)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+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(Wights or Quantity)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B−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+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(</m:t>
            </m:r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Wights or Quantity)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H−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(1)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hAnsi="Cambria Math" w:cs="Times New Roman" w:eastAsiaTheme="minorEastAsia"/>
          <w:b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where, </w:t>
      </w:r>
      <m:oMath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(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Wights or Quantity)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H−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(Wights or Quantity)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(Wights or Quantity)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Mass Weights (g)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Quantity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marine debris by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, respectively.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 w:firstLine="480" w:firstLineChars="200"/>
        <w:jc w:val="both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At a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sum of all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the percentage of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mass or quantity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marine debris by a different given size (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,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with name of the weighted factor of marine debris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, the calculation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is followed as: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 w:firstLine="1200" w:firstLineChars="50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gSize−i−tide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i=1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(2)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where,m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s quantity of t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ransec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ts with three tides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).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 w:firstLine="480" w:firstLineChars="20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At all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), sum of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) by all different given sizes (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the calculation of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is followed as:</w:t>
      </w:r>
    </w:p>
    <w:p>
      <w:pPr>
        <w:pStyle w:val="47"/>
        <w:ind w:left="0" w:leftChars="0" w:firstLine="1200" w:firstLineChars="500"/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</w:p>
    <w:p>
      <w:pPr>
        <w:pStyle w:val="47"/>
        <w:ind w:left="0" w:leftChars="0" w:firstLine="1920" w:firstLineChars="800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=</w:t>
      </w:r>
      <m:oMath>
        <m:nary>
          <m:naryPr>
            <m:chr m:val="∑"/>
            <m:limLoc m:val="subSup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g=1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gSize−Hightide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nary>
          <m:naryPr>
            <m:chr m:val="∑"/>
            <m:limLoc m:val="subSup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g=1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gSize−M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edium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nary>
          <m:naryPr>
            <m:chr m:val="∑"/>
            <m:limLoc m:val="subSup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g=1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low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</w:p>
    <w:p>
      <w:pPr>
        <w:pStyle w:val="47"/>
        <w:ind w:left="0" w:leftChars="0" w:firstLine="1920" w:firstLineChars="800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=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−Higℎtide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</w:p>
    <w:p>
      <w:pPr>
        <w:pStyle w:val="47"/>
        <w:ind w:left="0" w:leftChars="0" w:firstLine="2160" w:firstLineChars="900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+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</w:p>
    <w:p>
      <w:pPr>
        <w:pStyle w:val="47"/>
        <w:ind w:left="0" w:leftChars="0" w:firstLine="2160" w:firstLineChars="900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+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low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−lowtide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 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(4)</w:t>
      </w:r>
    </w:p>
    <w:p>
      <w:pPr>
        <w:pStyle w:val="47"/>
        <w:ind w:left="0" w:leftChars="0" w:firstLine="0" w:firstLineChars="0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where,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−Higℎtide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H-tide stations; 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H-tide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H-tide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L-tide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low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L-tide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−lowtide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L-tide stations;</w:t>
      </w:r>
    </w:p>
    <w:p>
      <w:pPr>
        <w:pStyle w:val="47"/>
        <w:ind w:left="0" w:leftChars="0" w:firstLine="0" w:firstLineChars="0"/>
        <w:jc w:val="left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For marine debris items at all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a given size,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, the calculation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is followed as: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 xml:space="preserve"> 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(5)</w:t>
      </w:r>
    </w:p>
    <w:p>
      <w:pPr>
        <w:pStyle w:val="47"/>
        <w:ind w:left="0" w:leftChars="0" w:firstLine="480" w:firstLineChars="200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At high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station, at Medium-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station, and at low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a given size items (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) are followed as: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(6)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(7)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O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O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(8)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(9)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(10)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O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O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(11)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(12)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B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(13)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center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O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O</m:t>
                </m:r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WT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gSize−i−tide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i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×</m:t>
        </m:r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100%</m:t>
        </m:r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(14)</w:t>
      </w:r>
    </w:p>
    <w:p>
      <w:pPr>
        <w:pStyle w:val="47"/>
        <w:ind w:left="0" w:leftChars="0" w:firstLine="480" w:firstLineChars="200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</w:p>
    <w:p>
      <w:pPr>
        <w:pStyle w:val="47"/>
        <w:ind w:left="0" w:leftChars="0" w:firstLine="0" w:firstLineChars="0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where,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H-tide stations;  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H-tide stations; 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 at all H-tide stations; 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M-tide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L-tide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low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L-tide stations;</w:t>
      </w:r>
    </w:p>
    <w:p>
      <w:pPr>
        <w:pStyle w:val="47"/>
        <w:ind w:left="0" w:leftChars="0" w:firstLine="0" w:firstLineChars="0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−lowtide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(%)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of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the weighted factor of marine debris ( mass or q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uantity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by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 at all L-tide stations;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</w:p>
    <w:p>
      <w:pPr>
        <w:pStyle w:val="46"/>
        <w:keepNext w:val="0"/>
        <w:keepLines w:val="0"/>
        <w:pageBreakBefore w:val="0"/>
        <w:numPr>
          <w:ilvl w:val="0"/>
          <w:numId w:val="3"/>
        </w:numPr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&amp;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For the all stations (including three tide station,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the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 should be normalized to the h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igh-tide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, m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edium-tide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or l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ow-tide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station, followed as: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 w:firstLine="480" w:firstLineChars="200"/>
        <w:jc w:val="both"/>
        <w:rPr>
          <w:rFonts w:hint="default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At a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sum of all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the percentage of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mass or quantity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marine debris by a different given size (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or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 ,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calculations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are followed as: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w:bookmarkStart w:id="36" w:name="OLE_LINK37"/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gSize−Higℎtide</m:t>
            </m:r>
            <w:bookmarkEnd w:id="36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r=1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n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gSize−High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/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Medium−tide staton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(15)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gSize−Lowtide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gSize−Lowtide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+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r=1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n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gSize−Medium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/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Low−tide</m:t>
                </m:r>
                <m:r>
                  <m:rPr>
                    <m:sty m:val="p"/>
                  </m:rPr>
                  <w:rPr>
                    <w:rFonts w:hint="eastAsia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 xml:space="preserve"> station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             (16)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bookmarkStart w:id="37" w:name="OLE_LINK31"/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gSize−Mediumtide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>=</m:t>
        </m:r>
        <m:nary>
          <m:naryPr>
            <m:chr m:val="∑"/>
            <m:limLoc m:val="undOvr"/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i=1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</m:t>
            </m:r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p.c.(%)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gSize−Mediumtide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eastAsia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 xml:space="preserve"> </m:t>
        </m:r>
      </m:oMath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m:oMath>
        <m:r>
          <m:rPr>
            <m:sty m:val="p"/>
          </m:rPr>
          <w:rPr>
            <w:rFonts w:hint="default" w:ascii="Cambria Math" w:hAnsi="Cambria Math" w:cs="Times New Roman" w:eastAsiaTheme="minorEastAsia"/>
            <w:snapToGrid w:val="0"/>
            <w:color w:val="auto"/>
            <w:sz w:val="24"/>
            <w:szCs w:val="24"/>
            <w:highlight w:val="none"/>
            <w:shd w:val="clear" w:color="auto" w:fill="FFFFFF"/>
            <w:lang w:val="en-US" w:eastAsia="zh-CN" w:bidi="ar-SA"/>
          </w:rPr>
          <m:t xml:space="preserve">                  +</m:t>
        </m:r>
        <m:f>
          <m:f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um>
          <m:den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4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en>
        </m:f>
        <m:d>
          <m:d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dPr>
          <m:e>
            <m:nary>
              <m:naryPr>
                <m:chr m:val="∑"/>
                <m:limLoc m:val="undOvr"/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r=1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n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p.c.(%)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gSize−High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/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Medium−tide staton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+</m:t>
            </m:r>
            <w:bookmarkStart w:id="38" w:name="OLE_LINK36"/>
            <m:nary>
              <m:naryPr>
                <m:chr m:val="∑"/>
                <m:limLoc m:val="undOvr"/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naryPr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r=1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  <m:sup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n</m:t>
                </m:r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p>
              <m:e>
                <m:sSub>
                  <m:sSubP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p.c.(%)</m:t>
                    </m:r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gSize−Medium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/</m:t>
                    </m:r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>Low−tide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Times New Roman" w:eastAsiaTheme="minorEastAsia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  <m:t xml:space="preserve"> station</m:t>
                    </m:r>
                    <w:bookmarkEnd w:id="38"/>
                    <m:ctrlPr>
                      <w:rPr>
                        <w:rFonts w:hint="default" w:ascii="Cambria Math" w:hAnsi="Cambria Math" w:cs="Times New Roman" w:eastAsiaTheme="minorEastAsia"/>
                        <w:b w:val="0"/>
                        <w:bCs w:val="0"/>
                        <w:snapToGrid w:val="0"/>
                        <w:color w:val="auto"/>
                        <w:sz w:val="24"/>
                        <w:szCs w:val="24"/>
                        <w:highlight w:val="none"/>
                        <w:shd w:val="clear" w:color="auto" w:fill="FFFFFF"/>
                        <w:lang w:val="en-US" w:eastAsia="zh-CN" w:bidi="ar-SA"/>
                      </w:rPr>
                    </m:ctrlPr>
                  </m:sub>
                </m:sSub>
                <m:ctrlPr>
                  <w:rPr>
                    <w:rFonts w:hint="eastAsia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</m:nary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d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       (17)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Where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m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s quantity of t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ransec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ts with three tides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); 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right="0"/>
        <w:jc w:val="both"/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n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represent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quantity of t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ransec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es with two tides (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M/L-tide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H/M-tide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);</w:t>
      </w:r>
    </w:p>
    <w:p>
      <w:pPr>
        <w:pStyle w:val="46"/>
        <w:keepNext w:val="0"/>
        <w:keepLines w:val="0"/>
        <w:pageBreakBefore w:val="0"/>
        <w:kinsoku/>
        <w:overflowPunct/>
        <w:topLinePunct w:val="0"/>
        <w:bidi w:val="0"/>
        <w:spacing w:after="0"/>
        <w:ind w:left="0" w:leftChars="0" w:right="0" w:firstLine="480" w:firstLineChars="200"/>
        <w:jc w:val="both"/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At all given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stations (L-tide,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H-tide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sum of all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the percentage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mass or quantity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items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of marine debris by all different given sizes (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M-sz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B-sz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and </w:t>
      </w:r>
      <w:r>
        <w:rPr>
          <w:rFonts w:hint="default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O-sz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), ),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with name of the weighted factor of mass or quantity</w:t>
      </w:r>
      <w:r>
        <w:rPr>
          <w:rFonts w:hint="default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bCs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of marine debris,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the calculation of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naryPr>
          <m: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  <m:sup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p>
          <m:e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gSize−i−tide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i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</m:nary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can be seen in Equation (4). Additionally, the calculation of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sSub>
              <m:sSubP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WT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Times New Roman" w:hAnsi="Times New Roman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M−sz</m:t>
                </m:r>
                <m:r>
                  <m:rPr>
                    <m:sty m:val="p"/>
                  </m:rPr>
                  <w:rPr>
                    <w:rFonts w:hint="default" w:ascii="Cambria Math" w:hAnsi="Cambria Math" w:cs="Times New Roman" w:eastAsiaTheme="minorEastAsia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  <m:t>−Higℎtide</m:t>
                </m:r>
                <m:ctrlPr>
                  <w:rPr>
                    <w:rFonts w:hint="default" w:ascii="Cambria Math" w:hAnsi="Cambria Math" w:cs="Times New Roman" w:eastAsiaTheme="minorEastAsia"/>
                    <w:b w:val="0"/>
                    <w:bCs w:val="0"/>
                    <w:snapToGrid w:val="0"/>
                    <w:color w:val="auto"/>
                    <w:sz w:val="24"/>
                    <w:szCs w:val="24"/>
                    <w:highlight w:val="none"/>
                    <w:shd w:val="clear" w:color="auto" w:fill="FFFFFF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−H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igh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−M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edium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M−sz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, </w:t>
      </w: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WTB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</m:t>
            </m:r>
            <m:r>
              <m:rPr>
                <m:sty m:val="p"/>
              </m:rPr>
              <w:rPr>
                <w:rFonts w:hint="eastAsia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low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and</w:t>
      </w:r>
    </w:p>
    <w:p>
      <w:pPr>
        <w:pStyle w:val="47"/>
        <w:ind w:left="0" w:leftChars="0" w:firstLine="0" w:firstLineChars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</w:pPr>
      <m:oMath>
        <m:sSub>
          <m:sSubP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SubPr>
          <m:e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p.c.(%)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WTO</m:t>
            </m:r>
            <m:r>
              <m:rPr>
                <m:sty m:val="p"/>
              </m:rPr>
              <w:rPr>
                <w:rFonts w:hint="default" w:ascii="Times New Roman" w:hAnsi="Times New Roman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−sz</m:t>
            </m:r>
            <m:r>
              <m:rPr>
                <m:sty m:val="p"/>
              </m:rPr>
              <w:rPr>
                <w:rFonts w:hint="default" w:ascii="Cambria Math" w:hAnsi="Cambria Math" w:cs="Times New Roman" w:eastAsiaTheme="minorEastAsia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  <m:t>−lowtide</m:t>
            </m:r>
            <m:ctrlPr>
              <w:rPr>
                <w:rFonts w:hint="default" w:ascii="Cambria Math" w:hAnsi="Cambria Math" w:cs="Times New Roman" w:eastAsiaTheme="minorEastAsia"/>
                <w:b w:val="0"/>
                <w:bCs w:val="0"/>
                <w:snapToGrid w:val="0"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m:ctrlPr>
          </m:sub>
        </m:sSub>
      </m:oMath>
      <w:r>
        <w:rPr>
          <w:rFonts w:hint="eastAsia" w:ascii="Times New Roman" w:hAnsi="Times New Roman" w:cs="Times New Roman" w:eastAsiaTheme="minorEastAsia"/>
          <w:b w:val="0"/>
          <w:bCs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hAnsi="Cambria Math" w:cs="Times New Roman" w:eastAsiaTheme="minorEastAsia"/>
          <w:b w:val="0"/>
          <w:bCs w:val="0"/>
          <w:i w:val="0"/>
          <w:snapToGrid w:val="0"/>
          <w:color w:val="auto"/>
          <w:sz w:val="24"/>
          <w:szCs w:val="24"/>
          <w:highlight w:val="none"/>
          <w:shd w:val="clear" w:color="auto" w:fill="FFFFFF"/>
          <w:lang w:val="en-US" w:eastAsia="zh-CN" w:bidi="ar-SA"/>
        </w:rPr>
        <w:t>can be seen in Equation (6)-(14).</w:t>
      </w:r>
      <w:bookmarkEnd w:id="37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both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bookmarkStart w:id="39" w:name="_Toc15001"/>
      <w:r>
        <w:rPr>
          <w:rFonts w:hint="eastAsia"/>
          <w:b/>
          <w:bCs/>
          <w:highlight w:val="none"/>
          <w:lang w:val="en-US" w:eastAsia="zh-CN"/>
        </w:rPr>
        <w:t xml:space="preserve">SI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Fig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. Percentages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of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debris items by size in 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the MNSCS</w:t>
      </w:r>
      <w:r>
        <w:rPr>
          <w:rFonts w:hint="eastAsia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(A) Mass-percentages of debris items, (B)Quantity-percentages of debris items</w:t>
      </w:r>
      <w:bookmarkEnd w:id="39"/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1"/>
        <w:gridCol w:w="4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8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drawing>
                <wp:inline distT="0" distB="0" distL="114300" distR="114300">
                  <wp:extent cx="2988310" cy="1905000"/>
                  <wp:effectExtent l="0" t="0" r="13970" b="0"/>
                  <wp:docPr id="6" name="图表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  <w:tc>
          <w:tcPr>
            <w:tcW w:w="4981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drawing>
                <wp:inline distT="0" distB="0" distL="114300" distR="114300">
                  <wp:extent cx="2967990" cy="1918970"/>
                  <wp:effectExtent l="0" t="0" r="3810" b="1270"/>
                  <wp:docPr id="4" name="图表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81" w:type="dxa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color w:val="000000"/>
                <w:sz w:val="21"/>
                <w:szCs w:val="21"/>
                <w:highlight w:val="none"/>
                <w:vertAlign w:val="baseline"/>
                <w:lang w:val="en-US" w:eastAsia="de-DE" w:bidi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(A) Ms-p.c. (%) for All marine debris by size</w:t>
            </w:r>
          </w:p>
        </w:tc>
        <w:tc>
          <w:tcPr>
            <w:tcW w:w="4981" w:type="dxa"/>
            <w:vAlign w:val="top"/>
          </w:tcPr>
          <w:p>
            <w:pPr>
              <w:pStyle w:val="4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color w:val="000000"/>
                <w:sz w:val="21"/>
                <w:szCs w:val="21"/>
                <w:highlight w:val="none"/>
                <w:vertAlign w:val="baseline"/>
                <w:lang w:val="en-US" w:eastAsia="de-DE" w:bidi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(B) Qt-p.c. (%) for All marine debris by size</w:t>
            </w:r>
          </w:p>
        </w:tc>
      </w:tr>
    </w:tbl>
    <w:p>
      <w:pPr>
        <w:pStyle w:val="8"/>
        <w:spacing w:before="1" w:line="268" w:lineRule="auto"/>
        <w:ind w:right="109"/>
        <w:jc w:val="both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</w:p>
    <w:p>
      <w:pPr>
        <w:rPr>
          <w:highlight w:val="none"/>
        </w:rPr>
      </w:pPr>
    </w:p>
    <w:p>
      <w:pPr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br w:type="page"/>
      </w:r>
    </w:p>
    <w:p>
      <w:pP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 xml:space="preserve">SI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Fig 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. Distribution of debris items by size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affected by the tides in </w:t>
      </w: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the MNSCS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(A)Mass-percentages of debris items, (B)Quantity-percentages of debris items, (C)Mass-percentages of Plastics and Styrofoam items, (D)Quantity-percentages of Plastics and Styrofoam items</w:t>
      </w:r>
    </w:p>
    <w:p>
      <w:pPr>
        <w:rPr>
          <w:rFonts w:hint="eastAsia" w:eastAsia="宋体"/>
          <w:highlight w:val="none"/>
          <w:lang w:eastAsia="zh-CN"/>
        </w:rPr>
      </w:pPr>
      <w:r>
        <w:rPr>
          <w:highlight w:val="none"/>
        </w:rPr>
        <w:drawing>
          <wp:inline distT="0" distB="0" distL="114300" distR="114300">
            <wp:extent cx="6267450" cy="4864735"/>
            <wp:effectExtent l="0" t="0" r="6350" b="1206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486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both"/>
        <w:textAlignment w:val="center"/>
        <w:outlineLvl w:val="1"/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</w:pPr>
    </w:p>
    <w:p>
      <w:pPr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eastAsia" w:eastAsia="仿宋" w:cs="Times New Roman"/>
          <w:b w:val="0"/>
          <w:bCs w:val="0"/>
          <w:sz w:val="21"/>
          <w:szCs w:val="21"/>
          <w:highlight w:val="none"/>
          <w:lang w:val="en-US" w:eastAsia="zh-CN"/>
        </w:rPr>
      </w:pPr>
      <w:bookmarkStart w:id="40" w:name="_Toc27873"/>
      <w:r>
        <w:rPr>
          <w:rFonts w:hint="eastAsia"/>
          <w:b/>
          <w:bCs/>
          <w:highlight w:val="none"/>
          <w:lang w:val="en-US" w:eastAsia="zh-CN"/>
        </w:rPr>
        <w:t xml:space="preserve">SI Fig. 3-1 </w:t>
      </w:r>
      <w:r>
        <w:rPr>
          <w:rFonts w:hint="default"/>
          <w:b/>
          <w:bCs/>
          <w:highlight w:val="none"/>
          <w:lang w:val="en-US" w:eastAsia="zh-CN"/>
        </w:rPr>
        <w:t>Distribution of debris items by size</w:t>
      </w:r>
      <w:r>
        <w:rPr>
          <w:rFonts w:hint="eastAsia"/>
          <w:b/>
          <w:bCs/>
          <w:highlight w:val="none"/>
          <w:lang w:val="en-US" w:eastAsia="zh-CN"/>
        </w:rPr>
        <w:t xml:space="preserve"> </w:t>
      </w:r>
      <w:r>
        <w:rPr>
          <w:rFonts w:hint="default"/>
          <w:b/>
          <w:bCs/>
          <w:highlight w:val="none"/>
          <w:lang w:val="en-US" w:eastAsia="zh-CN"/>
        </w:rPr>
        <w:t>affected by the tides in mangrove fore</w:t>
      </w:r>
      <w:r>
        <w:rPr>
          <w:rFonts w:hint="eastAsia"/>
          <w:b/>
          <w:bCs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of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Penang Island, Malaysia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 (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data from 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>Chee et al. 2020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)</w:t>
      </w:r>
      <w: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  <w:t>.</w:t>
      </w:r>
      <w:bookmarkEnd w:id="40"/>
    </w:p>
    <w:p>
      <w:pPr>
        <w:rPr>
          <w:highlight w:val="none"/>
        </w:rPr>
      </w:pPr>
      <w:r>
        <w:rPr>
          <w:highlight w:val="none"/>
        </w:rPr>
        <w:drawing>
          <wp:inline distT="0" distB="0" distL="114300" distR="114300">
            <wp:extent cx="2426970" cy="1776095"/>
            <wp:effectExtent l="4445" t="4445" r="6985" b="10160"/>
            <wp:docPr id="5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ind w:left="0" w:right="0"/>
        <w:jc w:val="left"/>
        <w:textAlignment w:val="center"/>
        <w:outlineLvl w:val="1"/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highlight w:val="none"/>
          <w:lang w:val="en-US" w:eastAsia="zh-CN"/>
        </w:rPr>
      </w:pPr>
      <w:bookmarkStart w:id="41" w:name="_Toc30877"/>
      <w: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  <w:t>SI Fig</w:t>
      </w:r>
      <w:r>
        <w:rPr>
          <w:rFonts w:hint="eastAsia" w:cs="Times New Roman"/>
          <w:b/>
          <w:bCs/>
          <w:highlight w:val="none"/>
          <w:lang w:val="en-US" w:eastAsia="zh-CN"/>
        </w:rPr>
        <w:t>. 3</w:t>
      </w:r>
      <w: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  <w:t xml:space="preserve">-2 Distribution of debris items by size affected by the tides </w:t>
      </w:r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>in mangrove forests of Mauritius</w:t>
      </w:r>
      <w: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 xml:space="preserve">(data from 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>Seeruttun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i/>
          <w:i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>et al.</w:t>
      </w:r>
      <w:r>
        <w:rPr>
          <w:rFonts w:hint="eastAsia" w:eastAsia="Times New Roman" w:cs="Times New Roman"/>
          <w:b/>
          <w:bCs/>
          <w:i/>
          <w:i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 xml:space="preserve">, </w:t>
      </w:r>
      <w:r>
        <w:rPr>
          <w:rFonts w:hint="default" w:ascii="Times New Roman" w:hAnsi="Times New Roman" w:eastAsia="Times New Roman" w:cs="Times New Roman"/>
          <w:b/>
          <w:b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>202</w:t>
      </w:r>
      <w:r>
        <w:rPr>
          <w:rFonts w:hint="eastAsia" w:ascii="Times New Roman" w:hAnsi="Times New Roman" w:eastAsia="Times New Roman" w:cs="Times New Roman"/>
          <w:b/>
          <w:bCs/>
          <w:snapToGrid w:val="0"/>
          <w:color w:val="0000FF"/>
          <w:kern w:val="2"/>
          <w:sz w:val="20"/>
          <w:szCs w:val="22"/>
          <w:highlight w:val="none"/>
          <w:lang w:val="en-US" w:eastAsia="zh-CN" w:bidi="en-US"/>
        </w:rPr>
        <w:t>1</w:t>
      </w:r>
      <w:r>
        <w:rPr>
          <w:rFonts w:hint="default" w:ascii="Times New Roman" w:hAnsi="Times New Roman" w:eastAsia="仿宋" w:cs="Times New Roman"/>
          <w:b/>
          <w:bCs/>
          <w:sz w:val="21"/>
          <w:szCs w:val="21"/>
          <w:highlight w:val="none"/>
          <w:lang w:val="en-US" w:eastAsia="zh-CN"/>
        </w:rPr>
        <w:t>).</w:t>
      </w:r>
      <w:bookmarkEnd w:id="41"/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(A)Plastic+foam items</w:t>
      </w:r>
      <w:r>
        <w:rPr>
          <w:rFonts w:hint="eastAsia"/>
          <w:highlight w:val="none"/>
          <w:lang w:val="en-US" w:eastAsia="zh-CN"/>
        </w:rPr>
        <w:t>, (B) Total debris items, (C) Plastic+foam weights, (D) Total debris weights</w:t>
      </w:r>
    </w:p>
    <w:p>
      <w:pPr>
        <w:rPr>
          <w:highlight w:val="none"/>
        </w:rPr>
      </w:pPr>
    </w:p>
    <w:p>
      <w:pPr>
        <w:rPr>
          <w:rFonts w:hint="eastAsia" w:eastAsia="仿宋" w:cs="Times New Roman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highlight w:val="none"/>
        </w:rPr>
        <w:drawing>
          <wp:inline distT="0" distB="0" distL="114300" distR="114300">
            <wp:extent cx="3011805" cy="3108960"/>
            <wp:effectExtent l="4445" t="4445" r="6350" b="10795"/>
            <wp:docPr id="19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highlight w:val="none"/>
        </w:rPr>
        <w:drawing>
          <wp:inline distT="0" distB="0" distL="114300" distR="114300">
            <wp:extent cx="3017520" cy="3097530"/>
            <wp:effectExtent l="4445" t="4445" r="10795" b="6985"/>
            <wp:docPr id="20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rPr>
          <w:rFonts w:hint="eastAsia" w:eastAsia="仿宋" w:cs="Times New Roman"/>
          <w:b/>
          <w:bCs/>
          <w:sz w:val="21"/>
          <w:szCs w:val="21"/>
          <w:highlight w:val="none"/>
          <w:lang w:val="en-US" w:eastAsia="zh-CN"/>
        </w:rPr>
      </w:pPr>
      <w:r>
        <w:rPr>
          <w:highlight w:val="none"/>
        </w:rPr>
        <w:drawing>
          <wp:inline distT="0" distB="0" distL="114300" distR="114300">
            <wp:extent cx="3021330" cy="3105150"/>
            <wp:effectExtent l="4445" t="4445" r="9525" b="14605"/>
            <wp:docPr id="21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bookmarkStart w:id="42" w:name="_GoBack"/>
      <w:r>
        <w:rPr>
          <w:highlight w:val="none"/>
        </w:rPr>
        <w:drawing>
          <wp:inline distT="0" distB="0" distL="114300" distR="114300">
            <wp:extent cx="2992120" cy="3086735"/>
            <wp:effectExtent l="4445" t="4445" r="13335" b="7620"/>
            <wp:docPr id="24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bookmarkEnd w:id="42"/>
    </w:p>
    <w:p>
      <w:pPr>
        <w:pStyle w:val="47"/>
        <w:ind w:left="0" w:leftChars="0" w:firstLine="0" w:firstLineChars="0"/>
        <w:rPr>
          <w:rFonts w:hint="default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080" w:right="1440" w:bottom="108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roman"/>
    <w:pitch w:val="default"/>
    <w:sig w:usb0="00000000" w:usb1="00000000" w:usb2="00000000" w:usb3="00000000" w:csb0="0001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33C22C"/>
    <w:multiLevelType w:val="singleLevel"/>
    <w:tmpl w:val="F033C22C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00000009"/>
    <w:multiLevelType w:val="multilevel"/>
    <w:tmpl w:val="00000009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4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3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3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Mjg3NzVmYTRjOGU4YjcyMDdhM2E2MTFlZGE1M2QifQ=="/>
  </w:docVars>
  <w:rsids>
    <w:rsidRoot w:val="00172A27"/>
    <w:rsid w:val="00012171"/>
    <w:rsid w:val="00014683"/>
    <w:rsid w:val="00015591"/>
    <w:rsid w:val="0005492F"/>
    <w:rsid w:val="00055A75"/>
    <w:rsid w:val="00063123"/>
    <w:rsid w:val="00064BC0"/>
    <w:rsid w:val="000846F5"/>
    <w:rsid w:val="0008483A"/>
    <w:rsid w:val="000878BE"/>
    <w:rsid w:val="000F1CCF"/>
    <w:rsid w:val="00103C22"/>
    <w:rsid w:val="001664D4"/>
    <w:rsid w:val="00172A27"/>
    <w:rsid w:val="001924F9"/>
    <w:rsid w:val="00193173"/>
    <w:rsid w:val="001A0EEE"/>
    <w:rsid w:val="001D17DC"/>
    <w:rsid w:val="001D7677"/>
    <w:rsid w:val="001F1AC6"/>
    <w:rsid w:val="00212CC0"/>
    <w:rsid w:val="002161A8"/>
    <w:rsid w:val="00235C27"/>
    <w:rsid w:val="002363BD"/>
    <w:rsid w:val="002B765A"/>
    <w:rsid w:val="002E110E"/>
    <w:rsid w:val="002E6732"/>
    <w:rsid w:val="002E746B"/>
    <w:rsid w:val="00303903"/>
    <w:rsid w:val="003039E7"/>
    <w:rsid w:val="003051FC"/>
    <w:rsid w:val="003D5F09"/>
    <w:rsid w:val="003E7214"/>
    <w:rsid w:val="003F0BB1"/>
    <w:rsid w:val="003F5422"/>
    <w:rsid w:val="00430A1B"/>
    <w:rsid w:val="0045145A"/>
    <w:rsid w:val="004811DE"/>
    <w:rsid w:val="004A2A3D"/>
    <w:rsid w:val="004C0240"/>
    <w:rsid w:val="004F2B44"/>
    <w:rsid w:val="005109FA"/>
    <w:rsid w:val="005370F1"/>
    <w:rsid w:val="005420C9"/>
    <w:rsid w:val="005A332E"/>
    <w:rsid w:val="005F137F"/>
    <w:rsid w:val="00602EAC"/>
    <w:rsid w:val="00647FA0"/>
    <w:rsid w:val="006677C1"/>
    <w:rsid w:val="0068231C"/>
    <w:rsid w:val="00687E8D"/>
    <w:rsid w:val="006A5E2E"/>
    <w:rsid w:val="006A6F32"/>
    <w:rsid w:val="006C2DF7"/>
    <w:rsid w:val="006C4179"/>
    <w:rsid w:val="006D3BE9"/>
    <w:rsid w:val="006D5AFF"/>
    <w:rsid w:val="006E1F27"/>
    <w:rsid w:val="006E1FF8"/>
    <w:rsid w:val="006E46D6"/>
    <w:rsid w:val="00735A30"/>
    <w:rsid w:val="00762347"/>
    <w:rsid w:val="00765101"/>
    <w:rsid w:val="00781F21"/>
    <w:rsid w:val="007915DF"/>
    <w:rsid w:val="007D021D"/>
    <w:rsid w:val="008075F2"/>
    <w:rsid w:val="0081044B"/>
    <w:rsid w:val="00815B3D"/>
    <w:rsid w:val="00876844"/>
    <w:rsid w:val="008B024B"/>
    <w:rsid w:val="008C6744"/>
    <w:rsid w:val="009029E7"/>
    <w:rsid w:val="00914806"/>
    <w:rsid w:val="009320E5"/>
    <w:rsid w:val="009633AE"/>
    <w:rsid w:val="009873EE"/>
    <w:rsid w:val="009E486F"/>
    <w:rsid w:val="00A14951"/>
    <w:rsid w:val="00A4199D"/>
    <w:rsid w:val="00A42E7F"/>
    <w:rsid w:val="00AA5FFA"/>
    <w:rsid w:val="00AC2A69"/>
    <w:rsid w:val="00AF3518"/>
    <w:rsid w:val="00AF3B4C"/>
    <w:rsid w:val="00AF5B71"/>
    <w:rsid w:val="00B122FC"/>
    <w:rsid w:val="00B97921"/>
    <w:rsid w:val="00BA3E63"/>
    <w:rsid w:val="00C01AC4"/>
    <w:rsid w:val="00C135E8"/>
    <w:rsid w:val="00C271DE"/>
    <w:rsid w:val="00C324B3"/>
    <w:rsid w:val="00C36E8B"/>
    <w:rsid w:val="00C47653"/>
    <w:rsid w:val="00C531EB"/>
    <w:rsid w:val="00CA3328"/>
    <w:rsid w:val="00CC4841"/>
    <w:rsid w:val="00CD69F9"/>
    <w:rsid w:val="00CE19AE"/>
    <w:rsid w:val="00CF4ED0"/>
    <w:rsid w:val="00D15C7E"/>
    <w:rsid w:val="00DA3F05"/>
    <w:rsid w:val="00DA7E03"/>
    <w:rsid w:val="00DC5D76"/>
    <w:rsid w:val="00DD0B50"/>
    <w:rsid w:val="00E5601F"/>
    <w:rsid w:val="00E57E31"/>
    <w:rsid w:val="00E76B93"/>
    <w:rsid w:val="00E819AB"/>
    <w:rsid w:val="00E87453"/>
    <w:rsid w:val="00E94626"/>
    <w:rsid w:val="00EA22E6"/>
    <w:rsid w:val="00EC0EC8"/>
    <w:rsid w:val="00EE5881"/>
    <w:rsid w:val="00F117F1"/>
    <w:rsid w:val="00F1235B"/>
    <w:rsid w:val="00F33FF3"/>
    <w:rsid w:val="00F7349F"/>
    <w:rsid w:val="00F93247"/>
    <w:rsid w:val="00FC3EDE"/>
    <w:rsid w:val="01135E5B"/>
    <w:rsid w:val="01372D69"/>
    <w:rsid w:val="01520010"/>
    <w:rsid w:val="01943F77"/>
    <w:rsid w:val="01C8488C"/>
    <w:rsid w:val="021345AF"/>
    <w:rsid w:val="02180107"/>
    <w:rsid w:val="026C27CD"/>
    <w:rsid w:val="02E559D1"/>
    <w:rsid w:val="03322FC3"/>
    <w:rsid w:val="038977CE"/>
    <w:rsid w:val="039E4756"/>
    <w:rsid w:val="03B60960"/>
    <w:rsid w:val="044331BC"/>
    <w:rsid w:val="04C60205"/>
    <w:rsid w:val="051E1318"/>
    <w:rsid w:val="059550E1"/>
    <w:rsid w:val="06175FC1"/>
    <w:rsid w:val="061A1265"/>
    <w:rsid w:val="06430CAB"/>
    <w:rsid w:val="06604BA2"/>
    <w:rsid w:val="06FE2689"/>
    <w:rsid w:val="073D4E85"/>
    <w:rsid w:val="074714FF"/>
    <w:rsid w:val="0753174E"/>
    <w:rsid w:val="07DC3C86"/>
    <w:rsid w:val="07FA37CD"/>
    <w:rsid w:val="08113484"/>
    <w:rsid w:val="08555036"/>
    <w:rsid w:val="08CA7312"/>
    <w:rsid w:val="08D87A33"/>
    <w:rsid w:val="08EE6F10"/>
    <w:rsid w:val="095D2BAA"/>
    <w:rsid w:val="09757701"/>
    <w:rsid w:val="09CA25FA"/>
    <w:rsid w:val="0A1B5312"/>
    <w:rsid w:val="0A533BBC"/>
    <w:rsid w:val="0AAF1EFF"/>
    <w:rsid w:val="0AD901C2"/>
    <w:rsid w:val="0B184321"/>
    <w:rsid w:val="0B3850C8"/>
    <w:rsid w:val="0BA01083"/>
    <w:rsid w:val="0C667B79"/>
    <w:rsid w:val="0C8E6FEA"/>
    <w:rsid w:val="0CB53923"/>
    <w:rsid w:val="0CD7200C"/>
    <w:rsid w:val="0CDD2664"/>
    <w:rsid w:val="0D4C43A1"/>
    <w:rsid w:val="0DED64E2"/>
    <w:rsid w:val="0E2C4790"/>
    <w:rsid w:val="0E5C3AFC"/>
    <w:rsid w:val="0E8146F7"/>
    <w:rsid w:val="0FA55B1B"/>
    <w:rsid w:val="0FBC19D8"/>
    <w:rsid w:val="100A0840"/>
    <w:rsid w:val="10707446"/>
    <w:rsid w:val="10AA6766"/>
    <w:rsid w:val="10D35A7E"/>
    <w:rsid w:val="11162CB8"/>
    <w:rsid w:val="112D63BF"/>
    <w:rsid w:val="11493D69"/>
    <w:rsid w:val="11646E99"/>
    <w:rsid w:val="11717988"/>
    <w:rsid w:val="119B604C"/>
    <w:rsid w:val="11D659AD"/>
    <w:rsid w:val="12066A05"/>
    <w:rsid w:val="12101D9C"/>
    <w:rsid w:val="1285528F"/>
    <w:rsid w:val="12A85BB1"/>
    <w:rsid w:val="12CC35C1"/>
    <w:rsid w:val="12DF0A95"/>
    <w:rsid w:val="12EE7090"/>
    <w:rsid w:val="133D4489"/>
    <w:rsid w:val="13684560"/>
    <w:rsid w:val="13F93B6F"/>
    <w:rsid w:val="14315A60"/>
    <w:rsid w:val="14547744"/>
    <w:rsid w:val="145A7160"/>
    <w:rsid w:val="15094752"/>
    <w:rsid w:val="15283040"/>
    <w:rsid w:val="159316FA"/>
    <w:rsid w:val="16702EA9"/>
    <w:rsid w:val="169A1617"/>
    <w:rsid w:val="16A40C48"/>
    <w:rsid w:val="16C82122"/>
    <w:rsid w:val="16DB24A0"/>
    <w:rsid w:val="172B5422"/>
    <w:rsid w:val="178B6E41"/>
    <w:rsid w:val="179555C2"/>
    <w:rsid w:val="17975C3B"/>
    <w:rsid w:val="17AF3D23"/>
    <w:rsid w:val="17CB5114"/>
    <w:rsid w:val="17D72ADF"/>
    <w:rsid w:val="17F31828"/>
    <w:rsid w:val="18A07AED"/>
    <w:rsid w:val="18AC3209"/>
    <w:rsid w:val="18B856AA"/>
    <w:rsid w:val="18E2500A"/>
    <w:rsid w:val="19166482"/>
    <w:rsid w:val="192D1BD6"/>
    <w:rsid w:val="19326203"/>
    <w:rsid w:val="19460D2A"/>
    <w:rsid w:val="197B1493"/>
    <w:rsid w:val="19DC1C23"/>
    <w:rsid w:val="19EA69FF"/>
    <w:rsid w:val="19FD2E60"/>
    <w:rsid w:val="1A344443"/>
    <w:rsid w:val="1A791165"/>
    <w:rsid w:val="1AB34139"/>
    <w:rsid w:val="1AEF16F3"/>
    <w:rsid w:val="1B0259FF"/>
    <w:rsid w:val="1B4D553C"/>
    <w:rsid w:val="1B91321D"/>
    <w:rsid w:val="1BD44AAD"/>
    <w:rsid w:val="1C123009"/>
    <w:rsid w:val="1C6A5179"/>
    <w:rsid w:val="1C897830"/>
    <w:rsid w:val="1CB84035"/>
    <w:rsid w:val="1CF70F84"/>
    <w:rsid w:val="1D700D1B"/>
    <w:rsid w:val="1D903B6D"/>
    <w:rsid w:val="1E1360DC"/>
    <w:rsid w:val="1E6D73D4"/>
    <w:rsid w:val="1E862666"/>
    <w:rsid w:val="1F375529"/>
    <w:rsid w:val="1F675493"/>
    <w:rsid w:val="1F910816"/>
    <w:rsid w:val="1FC66370"/>
    <w:rsid w:val="1FE753C3"/>
    <w:rsid w:val="209B4AC8"/>
    <w:rsid w:val="20FC27AA"/>
    <w:rsid w:val="21182AAF"/>
    <w:rsid w:val="21290ACE"/>
    <w:rsid w:val="21332F5C"/>
    <w:rsid w:val="217E5A66"/>
    <w:rsid w:val="21877FB1"/>
    <w:rsid w:val="21F166AD"/>
    <w:rsid w:val="223C6E49"/>
    <w:rsid w:val="22D4701D"/>
    <w:rsid w:val="22EF78CF"/>
    <w:rsid w:val="22F12438"/>
    <w:rsid w:val="22F25E5A"/>
    <w:rsid w:val="231E31C5"/>
    <w:rsid w:val="238A3594"/>
    <w:rsid w:val="23AA2683"/>
    <w:rsid w:val="23B216AB"/>
    <w:rsid w:val="23B35236"/>
    <w:rsid w:val="23F67E57"/>
    <w:rsid w:val="24137A66"/>
    <w:rsid w:val="24705428"/>
    <w:rsid w:val="24C87E89"/>
    <w:rsid w:val="24F45C6D"/>
    <w:rsid w:val="25056B25"/>
    <w:rsid w:val="253E0A2B"/>
    <w:rsid w:val="25C32547"/>
    <w:rsid w:val="25C83FAB"/>
    <w:rsid w:val="2611408E"/>
    <w:rsid w:val="264C4022"/>
    <w:rsid w:val="267513FB"/>
    <w:rsid w:val="26DA1A99"/>
    <w:rsid w:val="272677F9"/>
    <w:rsid w:val="277B24B7"/>
    <w:rsid w:val="27AE6387"/>
    <w:rsid w:val="282E63E8"/>
    <w:rsid w:val="2832198C"/>
    <w:rsid w:val="288E5767"/>
    <w:rsid w:val="28AB3802"/>
    <w:rsid w:val="29247441"/>
    <w:rsid w:val="292967D0"/>
    <w:rsid w:val="2937501F"/>
    <w:rsid w:val="29667C56"/>
    <w:rsid w:val="2971795E"/>
    <w:rsid w:val="29A23C52"/>
    <w:rsid w:val="29CB74F1"/>
    <w:rsid w:val="29F3192F"/>
    <w:rsid w:val="2A451EB3"/>
    <w:rsid w:val="2A7C1D8C"/>
    <w:rsid w:val="2ADB7BF3"/>
    <w:rsid w:val="2B6F7117"/>
    <w:rsid w:val="2B7E7909"/>
    <w:rsid w:val="2BAB350C"/>
    <w:rsid w:val="2BC40574"/>
    <w:rsid w:val="2BE31F4E"/>
    <w:rsid w:val="2BEA6CE3"/>
    <w:rsid w:val="2C4C7718"/>
    <w:rsid w:val="2C895D0B"/>
    <w:rsid w:val="2C9F3D81"/>
    <w:rsid w:val="2D347946"/>
    <w:rsid w:val="2E58272E"/>
    <w:rsid w:val="30247B4B"/>
    <w:rsid w:val="302C402D"/>
    <w:rsid w:val="31160318"/>
    <w:rsid w:val="311817CA"/>
    <w:rsid w:val="31C94A3F"/>
    <w:rsid w:val="32026818"/>
    <w:rsid w:val="32F035BC"/>
    <w:rsid w:val="331D6A04"/>
    <w:rsid w:val="337C7F2A"/>
    <w:rsid w:val="338642C7"/>
    <w:rsid w:val="33C62BD0"/>
    <w:rsid w:val="33DC7F73"/>
    <w:rsid w:val="341F22BD"/>
    <w:rsid w:val="34A00878"/>
    <w:rsid w:val="34D944AB"/>
    <w:rsid w:val="3501369B"/>
    <w:rsid w:val="35236F7F"/>
    <w:rsid w:val="357237D4"/>
    <w:rsid w:val="36037B36"/>
    <w:rsid w:val="36393223"/>
    <w:rsid w:val="3666580A"/>
    <w:rsid w:val="3673775F"/>
    <w:rsid w:val="36B147E5"/>
    <w:rsid w:val="376E77CE"/>
    <w:rsid w:val="37AA472D"/>
    <w:rsid w:val="37B23CEF"/>
    <w:rsid w:val="37D52287"/>
    <w:rsid w:val="38420D15"/>
    <w:rsid w:val="386C6209"/>
    <w:rsid w:val="3998632C"/>
    <w:rsid w:val="39C2402A"/>
    <w:rsid w:val="3A435005"/>
    <w:rsid w:val="3A466EAD"/>
    <w:rsid w:val="3A7E6017"/>
    <w:rsid w:val="3A8037F0"/>
    <w:rsid w:val="3A82716C"/>
    <w:rsid w:val="3B2C416F"/>
    <w:rsid w:val="3B6034C1"/>
    <w:rsid w:val="3C34483E"/>
    <w:rsid w:val="3C3A247D"/>
    <w:rsid w:val="3C6C72F3"/>
    <w:rsid w:val="3CEA2BC3"/>
    <w:rsid w:val="3DA312AE"/>
    <w:rsid w:val="3DAE615F"/>
    <w:rsid w:val="3DE10B8E"/>
    <w:rsid w:val="3DE25F27"/>
    <w:rsid w:val="3DEE6B52"/>
    <w:rsid w:val="3E203C2F"/>
    <w:rsid w:val="3E9817FE"/>
    <w:rsid w:val="3F0254C4"/>
    <w:rsid w:val="3F1F2F7A"/>
    <w:rsid w:val="40572D95"/>
    <w:rsid w:val="40A62139"/>
    <w:rsid w:val="40F53978"/>
    <w:rsid w:val="41441723"/>
    <w:rsid w:val="41805ECA"/>
    <w:rsid w:val="4201552F"/>
    <w:rsid w:val="420226F1"/>
    <w:rsid w:val="4235270E"/>
    <w:rsid w:val="42943CC0"/>
    <w:rsid w:val="42B4186A"/>
    <w:rsid w:val="4340680A"/>
    <w:rsid w:val="44A13C88"/>
    <w:rsid w:val="45174204"/>
    <w:rsid w:val="45485AE4"/>
    <w:rsid w:val="45617CBE"/>
    <w:rsid w:val="45BB56EF"/>
    <w:rsid w:val="45CF4ABD"/>
    <w:rsid w:val="466813B6"/>
    <w:rsid w:val="468029FD"/>
    <w:rsid w:val="46996088"/>
    <w:rsid w:val="46A919E6"/>
    <w:rsid w:val="47233BD3"/>
    <w:rsid w:val="47805A79"/>
    <w:rsid w:val="485252A1"/>
    <w:rsid w:val="486D062D"/>
    <w:rsid w:val="48C62000"/>
    <w:rsid w:val="49855549"/>
    <w:rsid w:val="49B35338"/>
    <w:rsid w:val="49C67A38"/>
    <w:rsid w:val="49EC3E65"/>
    <w:rsid w:val="49EC7EB2"/>
    <w:rsid w:val="4A433F1C"/>
    <w:rsid w:val="4B046203"/>
    <w:rsid w:val="4B1D11CE"/>
    <w:rsid w:val="4B241EF7"/>
    <w:rsid w:val="4BDC0B4C"/>
    <w:rsid w:val="4BF35792"/>
    <w:rsid w:val="4C054025"/>
    <w:rsid w:val="4C5E1ABE"/>
    <w:rsid w:val="4C7C357E"/>
    <w:rsid w:val="4C9D4584"/>
    <w:rsid w:val="4D9E586E"/>
    <w:rsid w:val="4DBF5693"/>
    <w:rsid w:val="4DD16612"/>
    <w:rsid w:val="4E582287"/>
    <w:rsid w:val="4EAE5984"/>
    <w:rsid w:val="4F5B5DB6"/>
    <w:rsid w:val="50077921"/>
    <w:rsid w:val="50081663"/>
    <w:rsid w:val="501775A3"/>
    <w:rsid w:val="50B80C30"/>
    <w:rsid w:val="50D55C79"/>
    <w:rsid w:val="51CA7E37"/>
    <w:rsid w:val="51EE337A"/>
    <w:rsid w:val="52272ECA"/>
    <w:rsid w:val="522F55C1"/>
    <w:rsid w:val="52992752"/>
    <w:rsid w:val="52BF01C0"/>
    <w:rsid w:val="52C50FEB"/>
    <w:rsid w:val="533533BA"/>
    <w:rsid w:val="5342617B"/>
    <w:rsid w:val="536A5CC1"/>
    <w:rsid w:val="537266AB"/>
    <w:rsid w:val="53CB1394"/>
    <w:rsid w:val="53DC0E60"/>
    <w:rsid w:val="53E0198C"/>
    <w:rsid w:val="53F717E5"/>
    <w:rsid w:val="54AF5A02"/>
    <w:rsid w:val="54B3289F"/>
    <w:rsid w:val="54BB5C9B"/>
    <w:rsid w:val="54C45E32"/>
    <w:rsid w:val="5520353B"/>
    <w:rsid w:val="5677745B"/>
    <w:rsid w:val="570E05F0"/>
    <w:rsid w:val="5721577C"/>
    <w:rsid w:val="572461A8"/>
    <w:rsid w:val="57254AB0"/>
    <w:rsid w:val="57925B46"/>
    <w:rsid w:val="57C34F1D"/>
    <w:rsid w:val="57EE0C37"/>
    <w:rsid w:val="58153254"/>
    <w:rsid w:val="58357769"/>
    <w:rsid w:val="58472B2C"/>
    <w:rsid w:val="585F3898"/>
    <w:rsid w:val="58A0165D"/>
    <w:rsid w:val="58AC6680"/>
    <w:rsid w:val="58B85446"/>
    <w:rsid w:val="58CB738E"/>
    <w:rsid w:val="591811D4"/>
    <w:rsid w:val="5A3C3703"/>
    <w:rsid w:val="5A673229"/>
    <w:rsid w:val="5A6C0C36"/>
    <w:rsid w:val="5BE93760"/>
    <w:rsid w:val="5CF14F0F"/>
    <w:rsid w:val="5D5F6532"/>
    <w:rsid w:val="5D912013"/>
    <w:rsid w:val="5DD54F84"/>
    <w:rsid w:val="5DDE2F74"/>
    <w:rsid w:val="5E745290"/>
    <w:rsid w:val="5EC97C3B"/>
    <w:rsid w:val="5F82180D"/>
    <w:rsid w:val="60140C75"/>
    <w:rsid w:val="604D3ED3"/>
    <w:rsid w:val="6053637C"/>
    <w:rsid w:val="60C23FB8"/>
    <w:rsid w:val="60D65858"/>
    <w:rsid w:val="610239C5"/>
    <w:rsid w:val="61C84EF5"/>
    <w:rsid w:val="61D1730A"/>
    <w:rsid w:val="62064C2F"/>
    <w:rsid w:val="626C0EDD"/>
    <w:rsid w:val="62EB3D06"/>
    <w:rsid w:val="63124E28"/>
    <w:rsid w:val="63151072"/>
    <w:rsid w:val="63195BDB"/>
    <w:rsid w:val="63206D68"/>
    <w:rsid w:val="6350135A"/>
    <w:rsid w:val="63721190"/>
    <w:rsid w:val="63FC2008"/>
    <w:rsid w:val="64193EC2"/>
    <w:rsid w:val="64483439"/>
    <w:rsid w:val="644A2E6E"/>
    <w:rsid w:val="64E776B3"/>
    <w:rsid w:val="6546760F"/>
    <w:rsid w:val="6554665E"/>
    <w:rsid w:val="657E6939"/>
    <w:rsid w:val="65942628"/>
    <w:rsid w:val="6596278A"/>
    <w:rsid w:val="66291AE5"/>
    <w:rsid w:val="664C1B5F"/>
    <w:rsid w:val="66610B1D"/>
    <w:rsid w:val="667F538F"/>
    <w:rsid w:val="66E844DE"/>
    <w:rsid w:val="676831D1"/>
    <w:rsid w:val="67B663A9"/>
    <w:rsid w:val="67E73D6B"/>
    <w:rsid w:val="68171C77"/>
    <w:rsid w:val="68580908"/>
    <w:rsid w:val="68600242"/>
    <w:rsid w:val="686D37ED"/>
    <w:rsid w:val="68732A8B"/>
    <w:rsid w:val="69081739"/>
    <w:rsid w:val="697417F1"/>
    <w:rsid w:val="6AC44B02"/>
    <w:rsid w:val="6B0D4F31"/>
    <w:rsid w:val="6B247712"/>
    <w:rsid w:val="6B553A0C"/>
    <w:rsid w:val="6B5909E7"/>
    <w:rsid w:val="6BA74799"/>
    <w:rsid w:val="6C171666"/>
    <w:rsid w:val="6C3D7795"/>
    <w:rsid w:val="6C657599"/>
    <w:rsid w:val="6C814ADD"/>
    <w:rsid w:val="6CAC34B7"/>
    <w:rsid w:val="6CCA6FA9"/>
    <w:rsid w:val="6D6C449F"/>
    <w:rsid w:val="6D7C3852"/>
    <w:rsid w:val="6DE17860"/>
    <w:rsid w:val="6DEB7AED"/>
    <w:rsid w:val="6DEE5CF7"/>
    <w:rsid w:val="6E092DC9"/>
    <w:rsid w:val="6ECE0E14"/>
    <w:rsid w:val="6F03198A"/>
    <w:rsid w:val="6F8B76FC"/>
    <w:rsid w:val="6FA43B72"/>
    <w:rsid w:val="6FD63F41"/>
    <w:rsid w:val="70603359"/>
    <w:rsid w:val="70861173"/>
    <w:rsid w:val="70861356"/>
    <w:rsid w:val="70CA02F2"/>
    <w:rsid w:val="71393775"/>
    <w:rsid w:val="716536D7"/>
    <w:rsid w:val="717D68D5"/>
    <w:rsid w:val="719A20F7"/>
    <w:rsid w:val="72506C95"/>
    <w:rsid w:val="72550D2B"/>
    <w:rsid w:val="7289584E"/>
    <w:rsid w:val="73370D3D"/>
    <w:rsid w:val="73433F68"/>
    <w:rsid w:val="73C46149"/>
    <w:rsid w:val="73FC67EE"/>
    <w:rsid w:val="7428167D"/>
    <w:rsid w:val="743D5367"/>
    <w:rsid w:val="74477CBB"/>
    <w:rsid w:val="745B7EB2"/>
    <w:rsid w:val="748A76AF"/>
    <w:rsid w:val="752B64E0"/>
    <w:rsid w:val="755A7CA2"/>
    <w:rsid w:val="75FE6182"/>
    <w:rsid w:val="7617581B"/>
    <w:rsid w:val="7619165A"/>
    <w:rsid w:val="7624458B"/>
    <w:rsid w:val="76A1565C"/>
    <w:rsid w:val="76D52376"/>
    <w:rsid w:val="76ED2E92"/>
    <w:rsid w:val="76F918AB"/>
    <w:rsid w:val="773B2E03"/>
    <w:rsid w:val="77A75B48"/>
    <w:rsid w:val="77AA5ACB"/>
    <w:rsid w:val="77BC1840"/>
    <w:rsid w:val="78154781"/>
    <w:rsid w:val="785E28D2"/>
    <w:rsid w:val="78B37AB0"/>
    <w:rsid w:val="78D83F35"/>
    <w:rsid w:val="78E578C1"/>
    <w:rsid w:val="78F96886"/>
    <w:rsid w:val="7961447D"/>
    <w:rsid w:val="797A54AB"/>
    <w:rsid w:val="79F54BC8"/>
    <w:rsid w:val="7A0850F3"/>
    <w:rsid w:val="7A1F3EA1"/>
    <w:rsid w:val="7A494AED"/>
    <w:rsid w:val="7A720A16"/>
    <w:rsid w:val="7AAD4377"/>
    <w:rsid w:val="7AB56632"/>
    <w:rsid w:val="7AEE6A2F"/>
    <w:rsid w:val="7C480EA3"/>
    <w:rsid w:val="7C696A57"/>
    <w:rsid w:val="7C7D150D"/>
    <w:rsid w:val="7CB53191"/>
    <w:rsid w:val="7D2B5254"/>
    <w:rsid w:val="7D34125A"/>
    <w:rsid w:val="7D372CFC"/>
    <w:rsid w:val="7E0A6E93"/>
    <w:rsid w:val="7E2E0D79"/>
    <w:rsid w:val="7E2E6248"/>
    <w:rsid w:val="7E346D5D"/>
    <w:rsid w:val="7E480DE6"/>
    <w:rsid w:val="7E84490A"/>
    <w:rsid w:val="7E99568C"/>
    <w:rsid w:val="7EFD0852"/>
    <w:rsid w:val="7F1877A7"/>
    <w:rsid w:val="7F3F1990"/>
    <w:rsid w:val="7F56152C"/>
    <w:rsid w:val="7F5C3B46"/>
    <w:rsid w:val="7F7B7B15"/>
    <w:rsid w:val="7F8854C1"/>
    <w:rsid w:val="7FA25238"/>
    <w:rsid w:val="7FBF37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3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autoRedefine/>
    <w:qFormat/>
    <w:uiPriority w:val="35"/>
    <w:pPr>
      <w:spacing w:after="200" w:line="276" w:lineRule="auto"/>
    </w:pPr>
    <w:rPr>
      <w:rFonts w:ascii="Arial" w:hAnsi="Arial" w:eastAsia="黑体" w:cs="Arial"/>
      <w:kern w:val="0"/>
      <w:sz w:val="20"/>
      <w:szCs w:val="20"/>
    </w:rPr>
  </w:style>
  <w:style w:type="paragraph" w:styleId="7">
    <w:name w:val="annotation text"/>
    <w:basedOn w:val="1"/>
    <w:link w:val="38"/>
    <w:autoRedefine/>
    <w:qFormat/>
    <w:uiPriority w:val="0"/>
    <w:pPr>
      <w:jc w:val="left"/>
    </w:pPr>
  </w:style>
  <w:style w:type="paragraph" w:styleId="8">
    <w:name w:val="Body Text"/>
    <w:basedOn w:val="1"/>
    <w:autoRedefine/>
    <w:qFormat/>
    <w:uiPriority w:val="1"/>
    <w:rPr>
      <w:rFonts w:ascii="Book Antiqua" w:hAnsi="Book Antiqua" w:eastAsia="Book Antiqua" w:cs="Book Antiqua"/>
      <w:sz w:val="16"/>
      <w:szCs w:val="16"/>
      <w:lang w:val="en-US" w:eastAsia="en-US" w:bidi="en-US"/>
    </w:rPr>
  </w:style>
  <w:style w:type="paragraph" w:styleId="9">
    <w:name w:val="Plain Text"/>
    <w:basedOn w:val="1"/>
    <w:autoRedefine/>
    <w:qFormat/>
    <w:uiPriority w:val="0"/>
    <w:rPr>
      <w:rFonts w:ascii="宋体" w:hAnsi="Courier New"/>
    </w:rPr>
  </w:style>
  <w:style w:type="paragraph" w:styleId="10">
    <w:name w:val="Balloon Text"/>
    <w:basedOn w:val="1"/>
    <w:autoRedefine/>
    <w:qFormat/>
    <w:uiPriority w:val="0"/>
    <w:rPr>
      <w:sz w:val="18"/>
      <w:szCs w:val="18"/>
    </w:rPr>
  </w:style>
  <w:style w:type="paragraph" w:styleId="11">
    <w:name w:val="footer"/>
    <w:basedOn w:val="1"/>
    <w:link w:val="2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semiHidden/>
    <w:unhideWhenUsed/>
    <w:qFormat/>
    <w:uiPriority w:val="39"/>
  </w:style>
  <w:style w:type="paragraph" w:styleId="14">
    <w:name w:val="footnote text"/>
    <w:basedOn w:val="1"/>
    <w:autoRedefine/>
    <w:qFormat/>
    <w:uiPriority w:val="0"/>
    <w:pPr>
      <w:numPr>
        <w:ilvl w:val="6"/>
        <w:numId w:val="1"/>
      </w:numPr>
      <w:snapToGrid w:val="0"/>
      <w:jc w:val="left"/>
    </w:pPr>
    <w:rPr>
      <w:sz w:val="18"/>
    </w:rPr>
  </w:style>
  <w:style w:type="paragraph" w:styleId="15">
    <w:name w:val="toc 2"/>
    <w:basedOn w:val="1"/>
    <w:next w:val="1"/>
    <w:autoRedefine/>
    <w:semiHidden/>
    <w:unhideWhenUsed/>
    <w:qFormat/>
    <w:uiPriority w:val="39"/>
    <w:pPr>
      <w:ind w:left="420" w:leftChars="200"/>
    </w:pPr>
  </w:style>
  <w:style w:type="paragraph" w:styleId="1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8">
    <w:name w:val="Table Grid"/>
    <w:basedOn w:val="1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autoRedefine/>
    <w:qFormat/>
    <w:uiPriority w:val="22"/>
    <w:rPr>
      <w:b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semiHidden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19"/>
    <w:qFormat/>
    <w:uiPriority w:val="0"/>
    <w:rPr>
      <w:sz w:val="21"/>
      <w:szCs w:val="21"/>
    </w:rPr>
  </w:style>
  <w:style w:type="character" w:styleId="24">
    <w:name w:val="footnote reference"/>
    <w:basedOn w:val="19"/>
    <w:autoRedefine/>
    <w:qFormat/>
    <w:uiPriority w:val="0"/>
    <w:rPr>
      <w:vertAlign w:val="superscript"/>
    </w:rPr>
  </w:style>
  <w:style w:type="character" w:customStyle="1" w:styleId="25">
    <w:name w:val="页眉 Char"/>
    <w:basedOn w:val="19"/>
    <w:link w:val="1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页脚 Char"/>
    <w:basedOn w:val="19"/>
    <w:link w:val="11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8">
    <w:name w:val="Char"/>
    <w:basedOn w:val="1"/>
    <w:qFormat/>
    <w:uiPriority w:val="0"/>
    <w:pPr>
      <w:adjustRightInd w:val="0"/>
      <w:spacing w:line="360" w:lineRule="atLeast"/>
    </w:pPr>
    <w:rPr>
      <w:szCs w:val="24"/>
    </w:rPr>
  </w:style>
  <w:style w:type="paragraph" w:customStyle="1" w:styleId="29">
    <w:name w:val="4 Char Char Char Char1"/>
    <w:basedOn w:val="1"/>
    <w:qFormat/>
    <w:uiPriority w:val="0"/>
    <w:pPr>
      <w:adjustRightInd w:val="0"/>
      <w:spacing w:line="360" w:lineRule="atLeast"/>
    </w:pPr>
    <w:rPr>
      <w:szCs w:val="24"/>
    </w:rPr>
  </w:style>
  <w:style w:type="paragraph" w:customStyle="1" w:styleId="30">
    <w:name w:val="Char Char Char Char Char Char Char Char Char Char"/>
    <w:basedOn w:val="4"/>
    <w:autoRedefine/>
    <w:qFormat/>
    <w:uiPriority w:val="0"/>
    <w:pPr>
      <w:tabs>
        <w:tab w:val="left" w:pos="360"/>
        <w:tab w:val="left" w:pos="720"/>
        <w:tab w:val="left" w:pos="900"/>
      </w:tabs>
      <w:snapToGrid w:val="0"/>
      <w:spacing w:before="120" w:after="120" w:line="360" w:lineRule="auto"/>
      <w:ind w:left="542" w:leftChars="-12" w:firstLine="200" w:firstLineChars="200"/>
      <w:jc w:val="left"/>
    </w:pPr>
    <w:rPr>
      <w:rFonts w:eastAsia="黑体"/>
      <w:b w:val="0"/>
      <w:bCs w:val="0"/>
      <w:snapToGrid w:val="0"/>
      <w:sz w:val="24"/>
      <w:szCs w:val="24"/>
    </w:rPr>
  </w:style>
  <w:style w:type="character" w:customStyle="1" w:styleId="31">
    <w:name w:val="标题 3 Char"/>
    <w:basedOn w:val="19"/>
    <w:link w:val="4"/>
    <w:autoRedefine/>
    <w:semiHidden/>
    <w:qFormat/>
    <w:uiPriority w:val="9"/>
    <w:rPr>
      <w:rFonts w:ascii="Times New Roman" w:hAnsi="Times New Roman"/>
      <w:b/>
      <w:bCs/>
      <w:kern w:val="2"/>
      <w:sz w:val="32"/>
      <w:szCs w:val="32"/>
    </w:rPr>
  </w:style>
  <w:style w:type="paragraph" w:customStyle="1" w:styleId="32">
    <w:name w:val="二级条标题"/>
    <w:basedOn w:val="33"/>
    <w:next w:val="34"/>
    <w:autoRedefine/>
    <w:qFormat/>
    <w:uiPriority w:val="0"/>
    <w:pPr>
      <w:numPr>
        <w:ilvl w:val="2"/>
        <w:numId w:val="2"/>
      </w:numPr>
      <w:spacing w:before="50" w:after="50"/>
      <w:outlineLvl w:val="3"/>
    </w:pPr>
  </w:style>
  <w:style w:type="paragraph" w:customStyle="1" w:styleId="33">
    <w:name w:val="一级条标题"/>
    <w:next w:val="34"/>
    <w:autoRedefine/>
    <w:qFormat/>
    <w:uiPriority w:val="0"/>
    <w:pPr>
      <w:numPr>
        <w:ilvl w:val="1"/>
        <w:numId w:val="2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3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35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6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7">
    <w:name w:val="font0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8">
    <w:name w:val="批注文字 Char"/>
    <w:link w:val="7"/>
    <w:autoRedefine/>
    <w:qFormat/>
    <w:uiPriority w:val="0"/>
  </w:style>
  <w:style w:type="character" w:customStyle="1" w:styleId="39">
    <w:name w:val="word"/>
    <w:basedOn w:val="19"/>
    <w:qFormat/>
    <w:uiPriority w:val="0"/>
  </w:style>
  <w:style w:type="paragraph" w:customStyle="1" w:styleId="40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41">
    <w:name w:val="封面标准英文名称"/>
    <w:basedOn w:val="40"/>
    <w:autoRedefine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42">
    <w:name w:val="Body text|1"/>
    <w:basedOn w:val="1"/>
    <w:link w:val="44"/>
    <w:autoRedefine/>
    <w:unhideWhenUsed/>
    <w:qFormat/>
    <w:uiPriority w:val="0"/>
    <w:pPr>
      <w:spacing w:beforeLines="0" w:afterLines="0"/>
    </w:pPr>
    <w:rPr>
      <w:rFonts w:hint="default" w:ascii="Arial" w:hAnsi="Arial"/>
      <w:sz w:val="24"/>
      <w:shd w:val="clear" w:color="auto" w:fill="FFFFFF"/>
    </w:rPr>
  </w:style>
  <w:style w:type="paragraph" w:customStyle="1" w:styleId="43">
    <w:name w:val="Body text|2"/>
    <w:basedOn w:val="1"/>
    <w:link w:val="45"/>
    <w:autoRedefine/>
    <w:unhideWhenUsed/>
    <w:qFormat/>
    <w:uiPriority w:val="0"/>
    <w:pPr>
      <w:spacing w:beforeLines="0" w:afterLines="0"/>
    </w:pPr>
    <w:rPr>
      <w:rFonts w:hint="default" w:ascii="Arial" w:hAnsi="Arial"/>
      <w:b/>
      <w:sz w:val="62"/>
      <w:shd w:val="clear" w:color="auto" w:fill="FFFFFF"/>
    </w:rPr>
  </w:style>
  <w:style w:type="character" w:customStyle="1" w:styleId="44">
    <w:name w:val="Body text|1_"/>
    <w:basedOn w:val="19"/>
    <w:link w:val="42"/>
    <w:unhideWhenUsed/>
    <w:qFormat/>
    <w:uiPriority w:val="0"/>
    <w:rPr>
      <w:rFonts w:hint="default" w:ascii="Arial" w:hAnsi="Arial"/>
      <w:sz w:val="24"/>
      <w:shd w:val="clear" w:color="auto" w:fill="FFFFFF"/>
    </w:rPr>
  </w:style>
  <w:style w:type="character" w:customStyle="1" w:styleId="45">
    <w:name w:val="Body text|2_"/>
    <w:basedOn w:val="19"/>
    <w:link w:val="43"/>
    <w:autoRedefine/>
    <w:unhideWhenUsed/>
    <w:qFormat/>
    <w:uiPriority w:val="0"/>
    <w:rPr>
      <w:rFonts w:hint="default" w:ascii="Arial" w:hAnsi="Arial"/>
      <w:b/>
      <w:sz w:val="62"/>
      <w:shd w:val="clear" w:color="auto" w:fill="FFFFFF"/>
    </w:rPr>
  </w:style>
  <w:style w:type="paragraph" w:customStyle="1" w:styleId="46">
    <w:name w:val="MDPI_4.3_table_footer"/>
    <w:next w:val="47"/>
    <w:qFormat/>
    <w:uiPriority w:val="0"/>
    <w:pPr>
      <w:adjustRightInd w:val="0"/>
      <w:snapToGrid w:val="0"/>
      <w:spacing w:after="240" w:line="228" w:lineRule="auto"/>
      <w:ind w:left="2608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47">
    <w:name w:val="MDPI_3.1_text"/>
    <w:autoRedefine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8">
    <w:name w:val="MDPI_4.1_table_caption"/>
    <w:autoRedefine/>
    <w:qFormat/>
    <w:uiPriority w:val="0"/>
    <w:pPr>
      <w:adjustRightInd w:val="0"/>
      <w:snapToGrid w:val="0"/>
      <w:spacing w:before="240" w:after="120" w:line="228" w:lineRule="auto"/>
      <w:ind w:left="2608"/>
    </w:pPr>
    <w:rPr>
      <w:rFonts w:ascii="Palatino Linotype" w:hAnsi="Palatino Linotype" w:eastAsia="Times New Roman" w:cstheme="minorBidi"/>
      <w:color w:val="000000"/>
      <w:sz w:val="18"/>
      <w:szCs w:val="22"/>
      <w:lang w:val="en-US" w:eastAsia="de-DE" w:bidi="en-US"/>
    </w:rPr>
  </w:style>
  <w:style w:type="character" w:customStyle="1" w:styleId="49">
    <w:name w:val="font31"/>
    <w:basedOn w:val="19"/>
    <w:autoRedefine/>
    <w:qFormat/>
    <w:uiPriority w:val="0"/>
    <w:rPr>
      <w:rFonts w:ascii="Palatino Linotype" w:hAnsi="Palatino Linotype" w:eastAsia="Palatino Linotype" w:cs="Palatino Linotype"/>
      <w:color w:val="000000"/>
      <w:sz w:val="18"/>
      <w:szCs w:val="18"/>
      <w:u w:val="none"/>
    </w:rPr>
  </w:style>
  <w:style w:type="character" w:customStyle="1" w:styleId="50">
    <w:name w:val="font61"/>
    <w:basedOn w:val="1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51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5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53">
    <w:name w:val="font112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4">
    <w:name w:val="font41"/>
    <w:basedOn w:val="1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5">
    <w:name w:val="font7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6">
    <w:name w:val="font51"/>
    <w:basedOn w:val="19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57">
    <w:name w:val="font81"/>
    <w:basedOn w:val="1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58">
    <w:name w:val="font91"/>
    <w:basedOn w:val="1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9">
    <w:name w:val="font101"/>
    <w:basedOn w:val="1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image" Target="media/image1.png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hart" Target="charts/chart7.xml"/><Relationship Id="rId11" Type="http://schemas.openxmlformats.org/officeDocument/2006/relationships/chart" Target="charts/chart6.xml"/><Relationship Id="rId10" Type="http://schemas.openxmlformats.org/officeDocument/2006/relationships/chart" Target="charts/chart5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2019-2020&#21335;&#28023;&#21306;%20&#32418;&#26641;&#26519;&#21306;&#22495;&#19978;&#22403;&#22334;&#37319;&#26679;&#35760;&#24405;&#34920;%20-%20&#28145;&#23618;&#27425;&#20998;&#26512;2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2019-2020&#21335;&#28023;&#21306;%20&#32418;&#26641;&#26519;&#21306;&#22495;&#19978;&#22403;&#22334;&#37319;&#26679;&#35760;&#24405;&#34920;%20-%20&#28145;&#23618;&#27425;&#20998;&#26512;2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&#26032;&#24314;%20XLSX%20&#24037;&#20316;&#3492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&#20840;&#29699;&#24050;&#30693;&#32418;&#26641;&#26519;&#22403;&#22334;&#35843;&#26597;&#32467;&#26524;&#32479;&#35745;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&#20840;&#29699;&#24050;&#30693;&#32418;&#26641;&#26519;&#22403;&#22334;&#35843;&#26597;&#32467;&#26524;&#32479;&#35745;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&#20840;&#29699;&#24050;&#30693;&#32418;&#26641;&#26519;&#22403;&#22334;&#35843;&#26597;&#32467;&#26524;&#32479;&#35745;.xls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0-2%20paper%20writing\Paper%20Marine%20debris%20and%20Microplastics%20&#22403;&#22334;&#19982;&#24494;&#22609;&#26009;\&#28023;&#33609;&#19982;&#32418;&#26641;\Paper%20Debris%20Pollution%20in%20Mangrove%20Forest%20Region%20in%20South%20China%20Sea\2019-2020%20Station%20of%20Mangroves%20in%20SCS\&#20840;&#29699;&#24050;&#30693;&#32418;&#26641;&#26519;&#22403;&#22334;&#35843;&#26597;&#32467;&#26524;&#32479;&#35745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00"/>
              <a:t>(A)</a:t>
            </a:r>
            <a:endParaRPr lang="en-US" altLang="zh-CN" sz="800"/>
          </a:p>
        </c:rich>
      </c:tx>
      <c:layout>
        <c:manualLayout>
          <c:xMode val="edge"/>
          <c:yMode val="edge"/>
          <c:x val="0.920101997450064"/>
          <c:y val="0.033333333333333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2341691457714"/>
          <c:y val="0.038"/>
          <c:w val="0.844708882277943"/>
          <c:h val="0.75306666666666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'[2019-2020南海区 红树林区域上垃圾采样记录表 - 深层次分析2.xlsx]综合2'!$AH$72</c:f>
              <c:strCache>
                <c:ptCount val="1"/>
                <c:pt idx="0">
                  <c:v>Medium-Size</c:v>
                </c:pt>
              </c:strCache>
            </c:strRef>
          </c:tx>
          <c:spPr>
            <a:solidFill>
              <a:schemeClr val="accent1"/>
            </a:solidFill>
            <a:ln w="19050"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5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'[2019-2020南海区 红树林区域上垃圾采样记录表 - 深层次分析2.xlsx]综合2'!$AE$94:$AE$101</c:f>
              <c:strCache>
                <c:ptCount val="8"/>
                <c:pt idx="0">
                  <c:v>QA</c:v>
                </c:pt>
                <c:pt idx="1">
                  <c:v>HM</c:v>
                </c:pt>
                <c:pt idx="2">
                  <c:v>FT</c:v>
                </c:pt>
                <c:pt idx="3">
                  <c:v>DY</c:v>
                </c:pt>
                <c:pt idx="4">
                  <c:v>BL</c:v>
                </c:pt>
                <c:pt idx="5">
                  <c:v>QL</c:v>
                </c:pt>
                <c:pt idx="6">
                  <c:v>QM</c:v>
                </c:pt>
                <c:pt idx="7">
                  <c:v>D-Mean</c:v>
                </c:pt>
              </c:strCache>
            </c:strRef>
          </c:cat>
          <c:val>
            <c:numRef>
              <c:f>'[2019-2020南海区 红树林区域上垃圾采样记录表 - 深层次分析2.xlsx]综合2'!$AH$94:$AH$101</c:f>
              <c:numCache>
                <c:formatCode>0.00%</c:formatCode>
                <c:ptCount val="8"/>
                <c:pt idx="0">
                  <c:v>0.017</c:v>
                </c:pt>
                <c:pt idx="1">
                  <c:v>0</c:v>
                </c:pt>
                <c:pt idx="2">
                  <c:v>0.0025</c:v>
                </c:pt>
                <c:pt idx="3">
                  <c:v>0</c:v>
                </c:pt>
                <c:pt idx="4">
                  <c:v>0.0116</c:v>
                </c:pt>
                <c:pt idx="5">
                  <c:v>0.0008</c:v>
                </c:pt>
                <c:pt idx="6">
                  <c:v>0.0737</c:v>
                </c:pt>
                <c:pt idx="7">
                  <c:v>0.0107320084526438</c:v>
                </c:pt>
              </c:numCache>
            </c:numRef>
          </c:val>
        </c:ser>
        <c:ser>
          <c:idx val="1"/>
          <c:order val="1"/>
          <c:tx>
            <c:strRef>
              <c:f>'[2019-2020南海区 红树林区域上垃圾采样记录表 - 深层次分析2.xlsx]综合2'!$AI$72</c:f>
              <c:strCache>
                <c:ptCount val="1"/>
                <c:pt idx="0">
                  <c:v>Big-Size</c:v>
                </c:pt>
              </c:strCache>
            </c:strRef>
          </c:tx>
          <c:spPr>
            <a:solidFill>
              <a:schemeClr val="accent2"/>
            </a:solidFill>
            <a:ln w="19050"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5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'[2019-2020南海区 红树林区域上垃圾采样记录表 - 深层次分析2.xlsx]综合2'!$AE$94:$AE$101</c:f>
              <c:strCache>
                <c:ptCount val="8"/>
                <c:pt idx="0">
                  <c:v>QA</c:v>
                </c:pt>
                <c:pt idx="1">
                  <c:v>HM</c:v>
                </c:pt>
                <c:pt idx="2">
                  <c:v>FT</c:v>
                </c:pt>
                <c:pt idx="3">
                  <c:v>DY</c:v>
                </c:pt>
                <c:pt idx="4">
                  <c:v>BL</c:v>
                </c:pt>
                <c:pt idx="5">
                  <c:v>QL</c:v>
                </c:pt>
                <c:pt idx="6">
                  <c:v>QM</c:v>
                </c:pt>
                <c:pt idx="7">
                  <c:v>D-Mean</c:v>
                </c:pt>
              </c:strCache>
            </c:strRef>
          </c:cat>
          <c:val>
            <c:numRef>
              <c:f>'[2019-2020南海区 红树林区域上垃圾采样记录表 - 深层次分析2.xlsx]综合2'!$AI$94:$AI$101</c:f>
              <c:numCache>
                <c:formatCode>0.00%</c:formatCode>
                <c:ptCount val="8"/>
                <c:pt idx="0">
                  <c:v>0.5831</c:v>
                </c:pt>
                <c:pt idx="1">
                  <c:v>0.6</c:v>
                </c:pt>
                <c:pt idx="2">
                  <c:v>0.9975</c:v>
                </c:pt>
                <c:pt idx="3">
                  <c:v>1</c:v>
                </c:pt>
                <c:pt idx="4">
                  <c:v>0.7218</c:v>
                </c:pt>
                <c:pt idx="5">
                  <c:v>0.7966</c:v>
                </c:pt>
                <c:pt idx="6">
                  <c:v>0.9263</c:v>
                </c:pt>
                <c:pt idx="7">
                  <c:v>0.736519695134981</c:v>
                </c:pt>
              </c:numCache>
            </c:numRef>
          </c:val>
        </c:ser>
        <c:ser>
          <c:idx val="2"/>
          <c:order val="2"/>
          <c:tx>
            <c:strRef>
              <c:f>'[2019-2020南海区 红树林区域上垃圾采样记录表 - 深层次分析2.xlsx]综合2'!$AJ$72</c:f>
              <c:strCache>
                <c:ptCount val="1"/>
                <c:pt idx="0">
                  <c:v>Oversize</c:v>
                </c:pt>
              </c:strCache>
            </c:strRef>
          </c:tx>
          <c:spPr>
            <a:solidFill>
              <a:srgbClr val="FFFF00"/>
            </a:solidFill>
            <a:ln w="12700" cmpd="sng">
              <a:solidFill>
                <a:schemeClr val="tx1"/>
              </a:solidFill>
              <a:prstDash val="solid"/>
            </a:ln>
            <a:effectLst/>
            <a:sp3d contourW="12700"/>
          </c:spPr>
          <c:invertIfNegative val="0"/>
          <c:dPt>
            <c:idx val="7"/>
            <c:invertIfNegative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5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'[2019-2020南海区 红树林区域上垃圾采样记录表 - 深层次分析2.xlsx]综合2'!$AE$94:$AE$101</c:f>
              <c:strCache>
                <c:ptCount val="8"/>
                <c:pt idx="0">
                  <c:v>QA</c:v>
                </c:pt>
                <c:pt idx="1">
                  <c:v>HM</c:v>
                </c:pt>
                <c:pt idx="2">
                  <c:v>FT</c:v>
                </c:pt>
                <c:pt idx="3">
                  <c:v>DY</c:v>
                </c:pt>
                <c:pt idx="4">
                  <c:v>BL</c:v>
                </c:pt>
                <c:pt idx="5">
                  <c:v>QL</c:v>
                </c:pt>
                <c:pt idx="6">
                  <c:v>QM</c:v>
                </c:pt>
                <c:pt idx="7">
                  <c:v>D-Mean</c:v>
                </c:pt>
              </c:strCache>
            </c:strRef>
          </c:cat>
          <c:val>
            <c:numRef>
              <c:f>'[2019-2020南海区 红树林区域上垃圾采样记录表 - 深层次分析2.xlsx]综合2'!$AJ$94:$AJ$101</c:f>
              <c:numCache>
                <c:formatCode>0.00%</c:formatCode>
                <c:ptCount val="8"/>
                <c:pt idx="0">
                  <c:v>0.3999</c:v>
                </c:pt>
                <c:pt idx="1">
                  <c:v>0.4</c:v>
                </c:pt>
                <c:pt idx="2">
                  <c:v>0</c:v>
                </c:pt>
                <c:pt idx="3">
                  <c:v>0</c:v>
                </c:pt>
                <c:pt idx="4">
                  <c:v>0.2667</c:v>
                </c:pt>
                <c:pt idx="5">
                  <c:v>0.2026</c:v>
                </c:pt>
                <c:pt idx="6">
                  <c:v>0</c:v>
                </c:pt>
                <c:pt idx="7">
                  <c:v>0.252748296412375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35710163"/>
        <c:axId val="161023491"/>
      </c:barChart>
      <c:catAx>
        <c:axId val="93571016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61023491"/>
        <c:crosses val="autoZero"/>
        <c:auto val="1"/>
        <c:lblAlgn val="ctr"/>
        <c:lblOffset val="100"/>
        <c:noMultiLvlLbl val="0"/>
      </c:catAx>
      <c:valAx>
        <c:axId val="161023491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700" b="1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Ms-p.c.(%)</a:t>
                </a:r>
                <a:endParaRPr lang="en-US" altLang="zh-CN" sz="700" b="1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37484062898428"/>
              <c:y val="0.276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%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35710163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279230896191241"/>
          <c:y val="0.903666666666667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7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500" b="1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00"/>
              <a:t>(B)</a:t>
            </a:r>
            <a:endParaRPr lang="en-US" altLang="zh-CN" sz="800"/>
          </a:p>
        </c:rich>
      </c:tx>
      <c:layout>
        <c:manualLayout>
          <c:xMode val="edge"/>
          <c:yMode val="edge"/>
          <c:x val="0.935387248609328"/>
          <c:y val="0.009927200529450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7526743688489"/>
          <c:y val="0.0377233620119126"/>
          <c:w val="0.845143346170304"/>
          <c:h val="0.79424222369291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'[2019-2020南海区 红树林区域上垃圾采样记录表 - 深层次分析2.xlsx]综合2'!$AL$72</c:f>
              <c:strCache>
                <c:ptCount val="1"/>
                <c:pt idx="0">
                  <c:v>Medium-Size</c:v>
                </c:pt>
              </c:strCache>
            </c:strRef>
          </c:tx>
          <c:spPr>
            <a:solidFill>
              <a:schemeClr val="accent1"/>
            </a:solidFill>
            <a:ln w="19050"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5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'[2019-2020南海区 红树林区域上垃圾采样记录表 - 深层次分析2.xlsx]综合2'!$AE$94:$AE$101</c:f>
              <c:strCache>
                <c:ptCount val="8"/>
                <c:pt idx="0">
                  <c:v>QA</c:v>
                </c:pt>
                <c:pt idx="1">
                  <c:v>HM</c:v>
                </c:pt>
                <c:pt idx="2">
                  <c:v>FT</c:v>
                </c:pt>
                <c:pt idx="3">
                  <c:v>DY</c:v>
                </c:pt>
                <c:pt idx="4">
                  <c:v>BL</c:v>
                </c:pt>
                <c:pt idx="5">
                  <c:v>QL</c:v>
                </c:pt>
                <c:pt idx="6">
                  <c:v>QM</c:v>
                </c:pt>
                <c:pt idx="7">
                  <c:v>D-Mean</c:v>
                </c:pt>
              </c:strCache>
            </c:strRef>
          </c:cat>
          <c:val>
            <c:numRef>
              <c:f>'[2019-2020南海区 红树林区域上垃圾采样记录表 - 深层次分析2.xlsx]综合2'!$AL$94:$AL$101</c:f>
              <c:numCache>
                <c:formatCode>0.00%</c:formatCode>
                <c:ptCount val="8"/>
                <c:pt idx="0">
                  <c:v>0.5252</c:v>
                </c:pt>
                <c:pt idx="1">
                  <c:v>0</c:v>
                </c:pt>
                <c:pt idx="2">
                  <c:v>0.0541</c:v>
                </c:pt>
                <c:pt idx="3">
                  <c:v>0</c:v>
                </c:pt>
                <c:pt idx="4">
                  <c:v>0.1333</c:v>
                </c:pt>
                <c:pt idx="5">
                  <c:v>0.0108</c:v>
                </c:pt>
                <c:pt idx="6">
                  <c:v>0.1212</c:v>
                </c:pt>
                <c:pt idx="7">
                  <c:v>0.0864553314121037</c:v>
                </c:pt>
              </c:numCache>
            </c:numRef>
          </c:val>
        </c:ser>
        <c:ser>
          <c:idx val="1"/>
          <c:order val="1"/>
          <c:tx>
            <c:strRef>
              <c:f>'[2019-2020南海区 红树林区域上垃圾采样记录表 - 深层次分析2.xlsx]综合2'!$AM$72</c:f>
              <c:strCache>
                <c:ptCount val="1"/>
                <c:pt idx="0">
                  <c:v>Big-Size</c:v>
                </c:pt>
              </c:strCache>
            </c:strRef>
          </c:tx>
          <c:spPr>
            <a:solidFill>
              <a:schemeClr val="accent2"/>
            </a:solidFill>
            <a:ln w="19050"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5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'[2019-2020南海区 红树林区域上垃圾采样记录表 - 深层次分析2.xlsx]综合2'!$AE$94:$AE$101</c:f>
              <c:strCache>
                <c:ptCount val="8"/>
                <c:pt idx="0">
                  <c:v>QA</c:v>
                </c:pt>
                <c:pt idx="1">
                  <c:v>HM</c:v>
                </c:pt>
                <c:pt idx="2">
                  <c:v>FT</c:v>
                </c:pt>
                <c:pt idx="3">
                  <c:v>DY</c:v>
                </c:pt>
                <c:pt idx="4">
                  <c:v>BL</c:v>
                </c:pt>
                <c:pt idx="5">
                  <c:v>QL</c:v>
                </c:pt>
                <c:pt idx="6">
                  <c:v>QM</c:v>
                </c:pt>
                <c:pt idx="7">
                  <c:v>D-Mean</c:v>
                </c:pt>
              </c:strCache>
            </c:strRef>
          </c:cat>
          <c:val>
            <c:numRef>
              <c:f>'[2019-2020南海区 红树林区域上垃圾采样记录表 - 深层次分析2.xlsx]综合2'!$AM$94:$AM$101</c:f>
              <c:numCache>
                <c:formatCode>0.00%</c:formatCode>
                <c:ptCount val="8"/>
                <c:pt idx="0">
                  <c:v>0.458</c:v>
                </c:pt>
                <c:pt idx="1">
                  <c:v>0.8125</c:v>
                </c:pt>
                <c:pt idx="2">
                  <c:v>0.9189</c:v>
                </c:pt>
                <c:pt idx="3">
                  <c:v>1</c:v>
                </c:pt>
                <c:pt idx="4">
                  <c:v>0.7641</c:v>
                </c:pt>
                <c:pt idx="5">
                  <c:v>0.9785</c:v>
                </c:pt>
                <c:pt idx="6">
                  <c:v>0.8788</c:v>
                </c:pt>
                <c:pt idx="7">
                  <c:v>0.84149855907781</c:v>
                </c:pt>
              </c:numCache>
            </c:numRef>
          </c:val>
        </c:ser>
        <c:ser>
          <c:idx val="2"/>
          <c:order val="2"/>
          <c:tx>
            <c:strRef>
              <c:f>'[2019-2020南海区 红树林区域上垃圾采样记录表 - 深层次分析2.xlsx]综合2'!$AN$72</c:f>
              <c:strCache>
                <c:ptCount val="1"/>
                <c:pt idx="0">
                  <c:v>Oversize</c:v>
                </c:pt>
              </c:strCache>
            </c:strRef>
          </c:tx>
          <c:spPr>
            <a:solidFill>
              <a:srgbClr val="FFFF00"/>
            </a:solidFill>
            <a:ln w="12700" cmpd="sng">
              <a:solidFill>
                <a:schemeClr val="tx1"/>
              </a:solidFill>
              <a:prstDash val="solid"/>
            </a:ln>
            <a:effectLst/>
            <a:sp3d contourW="12700"/>
          </c:spPr>
          <c:invertIfNegative val="0"/>
          <c:dPt>
            <c:idx val="1"/>
            <c:invertIfNegative val="0"/>
            <c:bubble3D val="0"/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5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'[2019-2020南海区 红树林区域上垃圾采样记录表 - 深层次分析2.xlsx]综合2'!$AE$94:$AE$101</c:f>
              <c:strCache>
                <c:ptCount val="8"/>
                <c:pt idx="0">
                  <c:v>QA</c:v>
                </c:pt>
                <c:pt idx="1">
                  <c:v>HM</c:v>
                </c:pt>
                <c:pt idx="2">
                  <c:v>FT</c:v>
                </c:pt>
                <c:pt idx="3">
                  <c:v>DY</c:v>
                </c:pt>
                <c:pt idx="4">
                  <c:v>BL</c:v>
                </c:pt>
                <c:pt idx="5">
                  <c:v>QL</c:v>
                </c:pt>
                <c:pt idx="6">
                  <c:v>QM</c:v>
                </c:pt>
                <c:pt idx="7">
                  <c:v>D-Mean</c:v>
                </c:pt>
              </c:strCache>
            </c:strRef>
          </c:cat>
          <c:val>
            <c:numRef>
              <c:f>'[2019-2020南海区 红树林区域上垃圾采样记录表 - 深层次分析2.xlsx]综合2'!$AN$94:$AN$101</c:f>
              <c:numCache>
                <c:formatCode>0.00%</c:formatCode>
                <c:ptCount val="8"/>
                <c:pt idx="0">
                  <c:v>0.0168</c:v>
                </c:pt>
                <c:pt idx="1">
                  <c:v>0.1875</c:v>
                </c:pt>
                <c:pt idx="2">
                  <c:v>0.027</c:v>
                </c:pt>
                <c:pt idx="3">
                  <c:v>0</c:v>
                </c:pt>
                <c:pt idx="4">
                  <c:v>0.1026</c:v>
                </c:pt>
                <c:pt idx="5">
                  <c:v>0.0108</c:v>
                </c:pt>
                <c:pt idx="6">
                  <c:v>0</c:v>
                </c:pt>
                <c:pt idx="7">
                  <c:v>0.0720461095100865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35710163"/>
        <c:axId val="161023491"/>
      </c:barChart>
      <c:catAx>
        <c:axId val="93571016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61023491"/>
        <c:crosses val="autoZero"/>
        <c:auto val="1"/>
        <c:lblAlgn val="ctr"/>
        <c:lblOffset val="100"/>
        <c:noMultiLvlLbl val="0"/>
      </c:catAx>
      <c:valAx>
        <c:axId val="161023491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600" b="1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Qt-p.c.(%)</a:t>
                </a:r>
                <a:endParaRPr lang="en-US" altLang="zh-CN" sz="600" b="1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16823318196219"/>
              <c:y val="0.33123566640611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%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35710163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333796198574582"/>
          <c:y val="0.914419532469181"/>
          <c:w val="0.448727426338579"/>
          <c:h val="0.0796019900497512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600" b="1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0150039484075"/>
          <c:y val="0.0398281921124561"/>
          <c:w val="0.797473019215583"/>
          <c:h val="0.781569699336197"/>
        </c:manualLayout>
      </c:layout>
      <c:lineChart>
        <c:grouping val="standard"/>
        <c:varyColors val="0"/>
        <c:ser>
          <c:idx val="0"/>
          <c:order val="0"/>
          <c:tx>
            <c:strRef>
              <c:f>'[新建 XLSX 工作表.xlsx]Sheet2'!$B$36</c:f>
              <c:strCache>
                <c:ptCount val="1"/>
                <c:pt idx="0">
                  <c:v>JEL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0.0717948717948718"/>
                  <c:y val="-0.0941011235955056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1624139327663"/>
                  <c:y val="-0.098958333333333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工作表.xlsx]Sheet2'!$B$37:$D$37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'[新建 XLSX 工作表.xlsx]Sheet2'!$B$39:$D$39</c:f>
              <c:numCache>
                <c:formatCode>0.00%</c:formatCode>
                <c:ptCount val="3"/>
                <c:pt idx="0">
                  <c:v>0.00396608315098468</c:v>
                </c:pt>
                <c:pt idx="1">
                  <c:v>0.444064551422319</c:v>
                </c:pt>
                <c:pt idx="2">
                  <c:v>0.551969365426696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'[新建 XLSX 工作表.xlsx]Sheet2'!$E$36</c:f>
              <c:strCache>
                <c:ptCount val="1"/>
                <c:pt idx="0">
                  <c:v>FTZ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0.137393162393162"/>
                  <c:y val="-0.0372191011235955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工作表.xlsx]Sheet2'!$B$37:$D$37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'[新建 XLSX 工作表.xlsx]Sheet2'!$E$39:$G$39</c:f>
              <c:numCache>
                <c:formatCode>0.00%</c:formatCode>
                <c:ptCount val="3"/>
                <c:pt idx="0">
                  <c:v>0</c:v>
                </c:pt>
                <c:pt idx="1">
                  <c:v>0.296506137865911</c:v>
                </c:pt>
                <c:pt idx="2">
                  <c:v>0.703493862134089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'[新建 XLSX 工作表.xlsx]Sheet2'!$H$36</c:f>
              <c:strCache>
                <c:ptCount val="1"/>
                <c:pt idx="0">
                  <c:v>NP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工作表.xlsx]Sheet2'!$B$37:$D$37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'[新建 XLSX 工作表.xlsx]Sheet2'!$H$39:$J$39</c:f>
              <c:numCache>
                <c:formatCode>0.00%</c:formatCode>
                <c:ptCount val="3"/>
                <c:pt idx="0">
                  <c:v>0.768231768231768</c:v>
                </c:pt>
                <c:pt idx="1">
                  <c:v>0.112887112887113</c:v>
                </c:pt>
                <c:pt idx="2">
                  <c:v>0.118881118881119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'[新建 XLSX 工作表.xlsx]Sheet2'!$K$36</c:f>
              <c:strCache>
                <c:ptCount val="1"/>
                <c:pt idx="0">
                  <c:v>PA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0.135789473684211"/>
                  <c:y val="0.058586762075134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267314702308627"/>
                  <c:y val="-0.133969907407407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工作表.xlsx]Sheet2'!$B$37:$D$37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'[新建 XLSX 工作表.xlsx]Sheet2'!$K$39:$M$39</c:f>
              <c:numCache>
                <c:formatCode>0.00%</c:formatCode>
                <c:ptCount val="3"/>
                <c:pt idx="0">
                  <c:v>0.265116279069767</c:v>
                </c:pt>
                <c:pt idx="1">
                  <c:v>0.418604651162791</c:v>
                </c:pt>
                <c:pt idx="2">
                  <c:v>0.316279069767442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'[新建 XLSX 工作表.xlsx]Sheet2'!$A$41</c:f>
              <c:strCache>
                <c:ptCount val="1"/>
                <c:pt idx="0">
                  <c:v>Total</c:v>
                </c:pt>
              </c:strCache>
            </c:strRef>
          </c:tx>
          <c:spPr>
            <a:ln w="38100" cap="rnd">
              <a:solidFill>
                <a:schemeClr val="accent1"/>
              </a:solidFill>
              <a:prstDash val="sysDot"/>
              <a:round/>
            </a:ln>
            <a:effectLst/>
            <a:sp3d contourW="38100"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0.141315789473684"/>
                  <c:y val="-0.067978533094812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工作表.xlsx]Sheet2'!$B$37:$D$37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'[新建 XLSX 工作表.xlsx]Sheet2'!$B$41:$D$41</c:f>
              <c:numCache>
                <c:formatCode>0.00%</c:formatCode>
                <c:ptCount val="3"/>
                <c:pt idx="0">
                  <c:v>0.25932853261313</c:v>
                </c:pt>
                <c:pt idx="1">
                  <c:v>0.318015613334534</c:v>
                </c:pt>
                <c:pt idx="2">
                  <c:v>0.422655854052336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478007795"/>
        <c:axId val="668859826"/>
      </c:lineChart>
      <c:catAx>
        <c:axId val="47800779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668859826"/>
        <c:crosses val="autoZero"/>
        <c:auto val="1"/>
        <c:lblAlgn val="ctr"/>
        <c:lblOffset val="100"/>
        <c:noMultiLvlLbl val="0"/>
      </c:catAx>
      <c:valAx>
        <c:axId val="668859826"/>
        <c:scaling>
          <c:orientation val="minMax"/>
          <c:max val="0.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60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Qquantity-percentages(%)</a:t>
                </a:r>
                <a:endParaRPr lang="en-US" altLang="zh-CN" sz="600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.0%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78007795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0218478546986049"/>
          <c:y val="0.903943771964076"/>
          <c:w val="0.945775204001053"/>
          <c:h val="0.0823896915267474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600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4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40" b="1">
                <a:solidFill>
                  <a:sysClr val="windowText" lastClr="000000"/>
                </a:solidFill>
              </a:rPr>
              <a:t>(A)</a:t>
            </a:r>
            <a:r>
              <a:rPr sz="840" b="1">
                <a:solidFill>
                  <a:sysClr val="windowText" lastClr="000000"/>
                </a:solidFill>
              </a:rPr>
              <a:t>Plastic+foam</a:t>
            </a:r>
            <a:r>
              <a:rPr lang="en-US" altLang="zh-CN" sz="840" b="1">
                <a:solidFill>
                  <a:sysClr val="windowText" lastClr="000000"/>
                </a:solidFill>
              </a:rPr>
              <a:t> items</a:t>
            </a:r>
            <a:endParaRPr lang="en-US" altLang="zh-CN" sz="84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553265694356373"/>
          <c:y val="0.0251699560489788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7002747833439"/>
          <c:y val="0.040044994375703"/>
          <c:w val="0.797421264003382"/>
          <c:h val="0.700472440944882"/>
        </c:manualLayout>
      </c:layout>
      <c:lineChart>
        <c:grouping val="standard"/>
        <c:varyColors val="0"/>
        <c:ser>
          <c:idx val="0"/>
          <c:order val="0"/>
          <c:tx>
            <c:strRef>
              <c:f>[全球已知红树林垃圾调查结果统计.xls]Sheet2!$B$59</c:f>
              <c:strCache>
                <c:ptCount val="1"/>
                <c:pt idx="0">
                  <c:v>Oct-Mahebourg</c:v>
                </c:pt>
              </c:strCache>
            </c:strRef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0717948717948718"/>
                  <c:y val="-0.0941011235955056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1624139327663"/>
                  <c:y val="-0.0989583333333333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[全球已知红树林垃圾调查结果统计.xls]Sheet2!$B$63:$D$63</c:f>
              <c:numCache>
                <c:formatCode>0.0%</c:formatCode>
                <c:ptCount val="3"/>
                <c:pt idx="0">
                  <c:v>0.164285714285714</c:v>
                </c:pt>
                <c:pt idx="1">
                  <c:v>0.152091254752852</c:v>
                </c:pt>
                <c:pt idx="2">
                  <c:v>0.0576368876080692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[全球已知红树林垃圾调查结果统计.xls]Sheet2!$E$59</c:f>
              <c:strCache>
                <c:ptCount val="1"/>
                <c:pt idx="0">
                  <c:v>Nov-Mahebourg</c:v>
                </c:pt>
              </c:strCache>
            </c:strRef>
          </c:tx>
          <c:spPr>
            <a:ln w="1905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7393162393162"/>
                  <c:y val="-0.037219101123595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[全球已知红树林垃圾调查结果统计.xls]Sheet2!$E$63:$G$63</c:f>
              <c:numCache>
                <c:formatCode>0.0%</c:formatCode>
                <c:ptCount val="3"/>
                <c:pt idx="0">
                  <c:v>0.152777777777778</c:v>
                </c:pt>
                <c:pt idx="1">
                  <c:v>0.162361623616236</c:v>
                </c:pt>
                <c:pt idx="2">
                  <c:v>0.0659025787965616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[全球已知红树林垃圾调查结果统计.xls]Sheet2!$H$59</c:f>
              <c:strCache>
                <c:ptCount val="1"/>
                <c:pt idx="0">
                  <c:v>Dec-Mahebourg</c:v>
                </c:pt>
              </c:strCache>
            </c:strRef>
          </c:tx>
          <c:spPr>
            <a:ln w="19050" cap="rnd" cmpd="sng" algn="ctr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 cap="flat" cmpd="sng" algn="ctr">
                <a:solidFill>
                  <a:schemeClr val="accent3"/>
                </a:solidFill>
                <a:prstDash val="solid"/>
                <a:round/>
              </a:ln>
              <a:effectLst/>
            </c:spPr>
          </c:marker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[全球已知红树林垃圾调查结果统计.xls]Sheet2!$H$63:$J$63</c:f>
              <c:numCache>
                <c:formatCode>0.0%</c:formatCode>
                <c:ptCount val="3"/>
                <c:pt idx="0">
                  <c:v>0.135338345864662</c:v>
                </c:pt>
                <c:pt idx="1">
                  <c:v>0.0883534136546185</c:v>
                </c:pt>
                <c:pt idx="2">
                  <c:v>0.0335365853658537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[全球已知红树林垃圾调查结果统计.xls]Sheet2!$B$68</c:f>
              <c:strCache>
                <c:ptCount val="1"/>
                <c:pt idx="0">
                  <c:v>Oct-Femey</c:v>
                </c:pt>
              </c:strCache>
            </c:strRef>
          </c:tx>
          <c:spPr>
            <a:ln w="19050" cap="rnd" cmpd="sng" algn="ctr">
              <a:solidFill>
                <a:schemeClr val="accent4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 cap="flat" cmpd="sng" algn="ctr">
                <a:solidFill>
                  <a:schemeClr val="accent4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5789473684211"/>
                  <c:y val="0.0585867620751342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267314702308627"/>
                  <c:y val="-0.13396990740740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[全球已知红树林垃圾调查结果统计.xls]Sheet2!$K$25:$M$25</c:f>
              <c:numCache>
                <c:formatCode>0.00%</c:formatCode>
                <c:ptCount val="3"/>
                <c:pt idx="0">
                  <c:v>0.265116279069767</c:v>
                </c:pt>
                <c:pt idx="1">
                  <c:v>0.418604651162791</c:v>
                </c:pt>
                <c:pt idx="2">
                  <c:v>0.316279069767442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[全球已知红树林垃圾调查结果统计.xls]Sheet2!$E$68</c:f>
              <c:strCache>
                <c:ptCount val="1"/>
                <c:pt idx="0">
                  <c:v>Nov-Femey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[全球已知红树林垃圾调查结果统计.xls]Sheet2!$E$71:$G$71</c:f>
              <c:numCache>
                <c:formatCode>0.0%</c:formatCode>
                <c:ptCount val="3"/>
                <c:pt idx="0">
                  <c:v>0.165562913907285</c:v>
                </c:pt>
                <c:pt idx="1">
                  <c:v>0.0193236714975845</c:v>
                </c:pt>
                <c:pt idx="2">
                  <c:v>0.0253968253968254</c:v>
                </c:pt>
              </c:numCache>
            </c:numRef>
          </c:val>
          <c:smooth val="0"/>
        </c:ser>
        <c:ser>
          <c:idx val="4"/>
          <c:order val="5"/>
          <c:tx>
            <c:strRef>
              <c:f>[全球已知红树林垃圾调查结果统计.xls]Sheet2!$H$68</c:f>
              <c:strCache>
                <c:ptCount val="1"/>
                <c:pt idx="0">
                  <c:v>Dec-Femey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[全球已知红树林垃圾调查结果统计.xls]Sheet2!$H$71:$J$71</c:f>
              <c:numCache>
                <c:formatCode>0.0%</c:formatCode>
                <c:ptCount val="3"/>
                <c:pt idx="0">
                  <c:v>0.100719424460432</c:v>
                </c:pt>
                <c:pt idx="1">
                  <c:v>0.0241545893719807</c:v>
                </c:pt>
                <c:pt idx="2">
                  <c:v>0.0222929936305732</c:v>
                </c:pt>
              </c:numCache>
            </c:numRef>
          </c:val>
          <c:smooth val="0"/>
        </c:ser>
        <c:ser>
          <c:idx val="7"/>
          <c:order val="6"/>
          <c:tx>
            <c:strRef>
              <c:f>[全球已知红树林垃圾调查结果统计.xls]Sheet2!$A$67</c:f>
              <c:strCache>
                <c:ptCount val="1"/>
                <c:pt idx="0">
                  <c:v>Mean-Mahebourg</c:v>
                </c:pt>
              </c:strCache>
            </c:strRef>
          </c:tx>
          <c:spPr>
            <a:ln w="28575" cap="rnd" cmpd="sng" algn="ctr">
              <a:solidFill>
                <a:schemeClr val="accent2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[全球已知红树林垃圾调查结果统计.xls]Sheet2!$B$67:$D$67</c:f>
              <c:numCache>
                <c:formatCode>0.0%</c:formatCode>
                <c:ptCount val="3"/>
                <c:pt idx="0">
                  <c:v>0.462225235200858</c:v>
                </c:pt>
                <c:pt idx="1">
                  <c:v>0.397918192634754</c:v>
                </c:pt>
                <c:pt idx="2">
                  <c:v>0.155169916320562</c:v>
                </c:pt>
              </c:numCache>
            </c:numRef>
          </c:val>
          <c:smooth val="0"/>
        </c:ser>
        <c:ser>
          <c:idx val="8"/>
          <c:order val="7"/>
          <c:tx>
            <c:strRef>
              <c:f>[全球已知红树林垃圾调查结果统计.xls]Sheet2!$A$75</c:f>
              <c:strCache>
                <c:ptCount val="1"/>
                <c:pt idx="0">
                  <c:v>Mean-Femey</c:v>
                </c:pt>
              </c:strCache>
            </c:strRef>
          </c:tx>
          <c:spPr>
            <a:ln w="31750" cap="rnd" cmpd="sng" algn="ctr">
              <a:solidFill>
                <a:schemeClr val="accent3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31750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[全球已知红树林垃圾调查结果统计.xls]Sheet2!$B$75:$D$75</c:f>
              <c:numCache>
                <c:formatCode>0.0%</c:formatCode>
                <c:ptCount val="3"/>
                <c:pt idx="0">
                  <c:v>0.778890398498835</c:v>
                </c:pt>
                <c:pt idx="1">
                  <c:v>0.131370459199408</c:v>
                </c:pt>
                <c:pt idx="2">
                  <c:v>0.117702760837768</c:v>
                </c:pt>
              </c:numCache>
            </c:numRef>
          </c:val>
          <c:smooth val="0"/>
        </c:ser>
        <c:ser>
          <c:idx val="9"/>
          <c:order val="8"/>
          <c:tx>
            <c:strRef>
              <c:f>[全球已知红树林垃圾调查结果统计.xls]Sheet2!$A$76</c:f>
              <c:strCache>
                <c:ptCount val="1"/>
                <c:pt idx="0">
                  <c:v>Two-site </c:v>
                </c:pt>
              </c:strCache>
            </c:strRef>
          </c:tx>
          <c:spPr>
            <a:ln w="41275" cap="rnd" cmpd="sng" algn="ctr">
              <a:solidFill>
                <a:schemeClr val="accent4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412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[全球已知红树林垃圾调查结果统计.xls]Sheet2!$B$76:$D$76</c:f>
              <c:numCache>
                <c:formatCode>0.0%</c:formatCode>
                <c:ptCount val="3"/>
                <c:pt idx="0">
                  <c:v>0.607414293980206</c:v>
                </c:pt>
                <c:pt idx="1">
                  <c:v>0.259039112904587</c:v>
                </c:pt>
                <c:pt idx="2">
                  <c:v>0.133546593115207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09656716"/>
        <c:axId val="476338659"/>
      </c:lineChart>
      <c:catAx>
        <c:axId val="9096567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76338659"/>
        <c:crosses val="autoZero"/>
        <c:auto val="1"/>
        <c:lblAlgn val="ctr"/>
        <c:lblOffset val="100"/>
        <c:noMultiLvlLbl val="0"/>
      </c:catAx>
      <c:valAx>
        <c:axId val="476338659"/>
        <c:scaling>
          <c:orientation val="minMax"/>
          <c:max val="0.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700" b="1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Qquantity-percentages(%)</a:t>
                </a:r>
                <a:endParaRPr lang="en-US" altLang="zh-CN" sz="700" b="1" i="0" u="none" strike="noStrike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.0%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096567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5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6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7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8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00634115409004439"/>
          <c:y val="0.796850393700787"/>
          <c:w val="0.987317691819911"/>
          <c:h val="0.19392575928009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00" b="1" i="0" u="none" strike="noStrike" kern="1200" baseline="0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wrap="square"/>
    <a:lstStyle/>
    <a:p>
      <a:pPr>
        <a:defRPr lang="zh-CN" sz="700" b="1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72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720" b="1">
                <a:solidFill>
                  <a:sysClr val="windowText" lastClr="000000"/>
                </a:solidFill>
              </a:rPr>
              <a:t>(B) T</a:t>
            </a:r>
            <a:r>
              <a:rPr sz="720" b="1">
                <a:solidFill>
                  <a:sysClr val="windowText" lastClr="000000"/>
                </a:solidFill>
              </a:rPr>
              <a:t>otal</a:t>
            </a:r>
            <a:r>
              <a:rPr lang="en-US" altLang="zh-CN" sz="720" b="1">
                <a:solidFill>
                  <a:sysClr val="windowText" lastClr="000000"/>
                </a:solidFill>
              </a:rPr>
              <a:t> debris items</a:t>
            </a:r>
            <a:endParaRPr lang="en-US" altLang="zh-CN" sz="72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170183121019108"/>
          <c:y val="0.0260610347278984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70063694267516"/>
          <c:y val="0.0400268336314848"/>
          <c:w val="0.79749203821656"/>
          <c:h val="0.711449016100179"/>
        </c:manualLayout>
      </c:layout>
      <c:lineChart>
        <c:grouping val="standard"/>
        <c:varyColors val="0"/>
        <c:ser>
          <c:idx val="0"/>
          <c:order val="0"/>
          <c:tx>
            <c:strRef>
              <c:f>[全球已知红树林垃圾调查结果统计.xls]Sheet2!$B$59</c:f>
              <c:strCache>
                <c:ptCount val="1"/>
                <c:pt idx="0">
                  <c:v>Oct-Mahebourg</c:v>
                </c:pt>
              </c:strCache>
            </c:strRef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0717948717948718"/>
                  <c:y val="-0.0941011235955056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6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1624139327663"/>
                  <c:y val="-0.0989583333333333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6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[全球已知红树林垃圾调查结果统计.xls]Sheet2!$B$65:$D$65</c:f>
              <c:numCache>
                <c:formatCode>0.0%</c:formatCode>
                <c:ptCount val="3"/>
                <c:pt idx="0">
                  <c:v>0.186666666666667</c:v>
                </c:pt>
                <c:pt idx="1">
                  <c:v>0.350666666666667</c:v>
                </c:pt>
                <c:pt idx="2">
                  <c:v>0.462666666666667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[全球已知红树林垃圾调查结果统计.xls]Sheet2!$E$59</c:f>
              <c:strCache>
                <c:ptCount val="1"/>
                <c:pt idx="0">
                  <c:v>Nov-Mahebourg</c:v>
                </c:pt>
              </c:strCache>
            </c:strRef>
          </c:tx>
          <c:spPr>
            <a:ln w="1905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7393162393162"/>
                  <c:y val="-0.037219101123595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6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[全球已知红树林垃圾调查结果统计.xls]Sheet2!$E$65:$G$65</c:f>
              <c:numCache>
                <c:formatCode>0.0%</c:formatCode>
                <c:ptCount val="3"/>
                <c:pt idx="0">
                  <c:v>0.18848167539267</c:v>
                </c:pt>
                <c:pt idx="1">
                  <c:v>0.354712041884817</c:v>
                </c:pt>
                <c:pt idx="2">
                  <c:v>0.456806282722513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[全球已知红树林垃圾调查结果统计.xls]Sheet2!$H$59</c:f>
              <c:strCache>
                <c:ptCount val="1"/>
                <c:pt idx="0">
                  <c:v>Dec-Mahebourg</c:v>
                </c:pt>
              </c:strCache>
            </c:strRef>
          </c:tx>
          <c:spPr>
            <a:ln w="19050" cap="rnd" cmpd="sng" algn="ctr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 cap="flat" cmpd="sng" algn="ctr">
                <a:solidFill>
                  <a:schemeClr val="accent3"/>
                </a:solidFill>
                <a:prstDash val="solid"/>
                <a:round/>
              </a:ln>
              <a:effectLst/>
            </c:spPr>
          </c:marker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[全球已知红树林垃圾调查结果统计.xls]Sheet2!$H$65:$J$65</c:f>
              <c:numCache>
                <c:formatCode>0.0%</c:formatCode>
                <c:ptCount val="3"/>
                <c:pt idx="0">
                  <c:v>0.187323943661972</c:v>
                </c:pt>
                <c:pt idx="1">
                  <c:v>0.350704225352113</c:v>
                </c:pt>
                <c:pt idx="2">
                  <c:v>0.461971830985915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[全球已知红树林垃圾调查结果统计.xls]Sheet2!$B$68</c:f>
              <c:strCache>
                <c:ptCount val="1"/>
                <c:pt idx="0">
                  <c:v>Oct-Femey</c:v>
                </c:pt>
              </c:strCache>
            </c:strRef>
          </c:tx>
          <c:spPr>
            <a:ln w="19050" cap="rnd" cmpd="sng" algn="ctr">
              <a:solidFill>
                <a:schemeClr val="accent4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 cap="flat" cmpd="sng" algn="ctr">
                <a:solidFill>
                  <a:schemeClr val="accent4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5789473684211"/>
                  <c:y val="0.0585867620751342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6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267314702308627"/>
                  <c:y val="-0.13396990740740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6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6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[全球已知红树林垃圾调查结果统计.xls]Sheet2!$B$73:$D$73</c:f>
              <c:numCache>
                <c:formatCode>0.0%</c:formatCode>
                <c:ptCount val="3"/>
                <c:pt idx="0">
                  <c:v>0.227941176470588</c:v>
                </c:pt>
                <c:pt idx="1">
                  <c:v>0.308823529411765</c:v>
                </c:pt>
                <c:pt idx="2">
                  <c:v>0.463235294117647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[全球已知红树林垃圾调查结果统计.xls]Sheet2!$E$68</c:f>
              <c:strCache>
                <c:ptCount val="1"/>
                <c:pt idx="0">
                  <c:v>Nov-Femey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[全球已知红树林垃圾调查结果统计.xls]Sheet2!$E$73:$G$73</c:f>
              <c:numCache>
                <c:formatCode>0.0%</c:formatCode>
                <c:ptCount val="3"/>
                <c:pt idx="0">
                  <c:v>0.224368499257058</c:v>
                </c:pt>
                <c:pt idx="1">
                  <c:v>0.307578008915305</c:v>
                </c:pt>
                <c:pt idx="2">
                  <c:v>0.468053491827637</c:v>
                </c:pt>
              </c:numCache>
            </c:numRef>
          </c:val>
          <c:smooth val="0"/>
        </c:ser>
        <c:ser>
          <c:idx val="4"/>
          <c:order val="5"/>
          <c:tx>
            <c:strRef>
              <c:f>[全球已知红树林垃圾调查结果统计.xls]Sheet2!$H$68</c:f>
              <c:strCache>
                <c:ptCount val="1"/>
                <c:pt idx="0">
                  <c:v>Dec-Femey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[全球已知红树林垃圾调查结果统计.xls]Sheet2!$H$73:$J$73</c:f>
              <c:numCache>
                <c:formatCode>0.0%</c:formatCode>
                <c:ptCount val="3"/>
                <c:pt idx="0">
                  <c:v>0.210606060606061</c:v>
                </c:pt>
                <c:pt idx="1">
                  <c:v>0.313636363636364</c:v>
                </c:pt>
                <c:pt idx="2">
                  <c:v>0.475757575757576</c:v>
                </c:pt>
              </c:numCache>
            </c:numRef>
          </c:val>
          <c:smooth val="0"/>
        </c:ser>
        <c:ser>
          <c:idx val="6"/>
          <c:order val="6"/>
          <c:tx>
            <c:strRef>
              <c:f>[全球已知红树林垃圾调查结果统计.xls]Sheet2!$A$67</c:f>
              <c:strCache>
                <c:ptCount val="1"/>
                <c:pt idx="0">
                  <c:v>Mean-Mahebourg</c:v>
                </c:pt>
              </c:strCache>
            </c:strRef>
          </c:tx>
          <c:spPr>
            <a:ln w="28575" cap="rnd" cmpd="sng" algn="ctr">
              <a:solidFill>
                <a:schemeClr val="accent1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[全球已知红树林垃圾调查结果统计.xls]Sheet2!$H$67:$J$67</c:f>
              <c:numCache>
                <c:formatCode>0.0%</c:formatCode>
                <c:ptCount val="3"/>
                <c:pt idx="0">
                  <c:v>0.1875</c:v>
                </c:pt>
                <c:pt idx="1">
                  <c:v>0.352068345323741</c:v>
                </c:pt>
                <c:pt idx="2">
                  <c:v>0.460431654676259</c:v>
                </c:pt>
              </c:numCache>
            </c:numRef>
          </c:val>
          <c:smooth val="0"/>
        </c:ser>
        <c:ser>
          <c:idx val="7"/>
          <c:order val="7"/>
          <c:tx>
            <c:strRef>
              <c:f>[全球已知红树林垃圾调查结果统计.xls]Sheet2!$A$75</c:f>
              <c:strCache>
                <c:ptCount val="1"/>
                <c:pt idx="0">
                  <c:v>Mean-Femey</c:v>
                </c:pt>
              </c:strCache>
            </c:strRef>
          </c:tx>
          <c:spPr>
            <a:ln w="28575" cap="rnd" cmpd="sng" algn="ctr">
              <a:solidFill>
                <a:schemeClr val="accent2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[全球已知红树林垃圾调查结果统计.xls]Sheet2!$H$75:$J$75</c:f>
              <c:numCache>
                <c:formatCode>0.0%</c:formatCode>
                <c:ptCount val="3"/>
                <c:pt idx="0">
                  <c:v>0.221063089915549</c:v>
                </c:pt>
                <c:pt idx="1">
                  <c:v>0.309985096870343</c:v>
                </c:pt>
                <c:pt idx="2">
                  <c:v>0.468951813214108</c:v>
                </c:pt>
              </c:numCache>
            </c:numRef>
          </c:val>
          <c:smooth val="0"/>
        </c:ser>
        <c:ser>
          <c:idx val="8"/>
          <c:order val="8"/>
          <c:tx>
            <c:strRef>
              <c:f>[全球已知红树林垃圾调查结果统计.xls]Sheet2!$A$76</c:f>
              <c:strCache>
                <c:ptCount val="1"/>
                <c:pt idx="0">
                  <c:v>Two-site </c:v>
                </c:pt>
              </c:strCache>
            </c:strRef>
          </c:tx>
          <c:spPr>
            <a:ln w="28575" cap="rnd" cmpd="sng" algn="ctr">
              <a:solidFill>
                <a:schemeClr val="accent3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[全球已知红树林垃圾调查结果统计.xls]Sheet2!$H$76:$J$76</c:f>
              <c:numCache>
                <c:formatCode>0.0%</c:formatCode>
                <c:ptCount val="3"/>
                <c:pt idx="0">
                  <c:v>0.204281544957774</c:v>
                </c:pt>
                <c:pt idx="1">
                  <c:v>0.331026721097042</c:v>
                </c:pt>
                <c:pt idx="2">
                  <c:v>0.464691733945184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09656716"/>
        <c:axId val="476338659"/>
      </c:lineChart>
      <c:catAx>
        <c:axId val="9096567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76338659"/>
        <c:crosses val="autoZero"/>
        <c:auto val="1"/>
        <c:lblAlgn val="ctr"/>
        <c:lblOffset val="100"/>
        <c:noMultiLvlLbl val="0"/>
      </c:catAx>
      <c:valAx>
        <c:axId val="476338659"/>
        <c:scaling>
          <c:orientation val="minMax"/>
          <c:min val="0.1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6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600" b="1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Qquantity-percentages(%)</a:t>
                </a:r>
                <a:endParaRPr lang="en-US" altLang="zh-CN" sz="600" b="1" i="0" u="none" strike="noStrike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.0%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096567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5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6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7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8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0354299363057325"/>
          <c:y val="0.805410390408853"/>
          <c:w val="0.945859872611465"/>
          <c:h val="0.185367353212419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00" b="1" i="0" u="none" strike="noStrike" kern="1200" baseline="0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wrap="square"/>
    <a:lstStyle/>
    <a:p>
      <a:pPr>
        <a:defRPr lang="zh-CN" sz="600" b="1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4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40" b="1">
                <a:solidFill>
                  <a:sysClr val="windowText" lastClr="000000"/>
                </a:solidFill>
              </a:rPr>
              <a:t>(C) </a:t>
            </a:r>
            <a:r>
              <a:rPr sz="840" b="1">
                <a:solidFill>
                  <a:sysClr val="windowText" lastClr="000000"/>
                </a:solidFill>
              </a:rPr>
              <a:t>Plastic+foam</a:t>
            </a:r>
            <a:r>
              <a:rPr lang="en-US" altLang="zh-CN" sz="840" b="1">
                <a:solidFill>
                  <a:sysClr val="windowText" lastClr="000000"/>
                </a:solidFill>
              </a:rPr>
              <a:t> weights</a:t>
            </a:r>
            <a:endParaRPr lang="en-US" altLang="zh-CN" sz="84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624253285543608"/>
          <c:y val="0.0407053570105547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7021107128634"/>
          <c:y val="0.0398749022673964"/>
          <c:w val="0.797331740342493"/>
          <c:h val="0.759030492572322"/>
        </c:manualLayout>
      </c:layout>
      <c:lineChart>
        <c:grouping val="standard"/>
        <c:varyColors val="0"/>
        <c:ser>
          <c:idx val="0"/>
          <c:order val="0"/>
          <c:tx>
            <c:strRef>
              <c:f>[全球已知红树林垃圾调查结果统计.xls]Sheet2!$B$59</c:f>
              <c:strCache>
                <c:ptCount val="1"/>
                <c:pt idx="0">
                  <c:v>Oct-Mahebourg</c:v>
                </c:pt>
              </c:strCache>
            </c:strRef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0717948717948718"/>
                  <c:y val="-0.0941011235955056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1624139327663"/>
                  <c:y val="-0.0989583333333333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[全球已知红树林垃圾调查结果统计.xls]Sheet2!$B$105:$D$105</c:f>
              <c:numCache>
                <c:formatCode>0.0%</c:formatCode>
                <c:ptCount val="3"/>
                <c:pt idx="0">
                  <c:v>0.545051043053706</c:v>
                </c:pt>
                <c:pt idx="1">
                  <c:v>0.384535815877942</c:v>
                </c:pt>
                <c:pt idx="2">
                  <c:v>0.402904957372908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[全球已知红树林垃圾调查结果统计.xls]Sheet2!$E$59</c:f>
              <c:strCache>
                <c:ptCount val="1"/>
                <c:pt idx="0">
                  <c:v>Nov-Mahebourg</c:v>
                </c:pt>
              </c:strCache>
            </c:strRef>
          </c:tx>
          <c:spPr>
            <a:ln w="1905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7393162393162"/>
                  <c:y val="-0.037219101123595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[全球已知红树林垃圾调查结果统计.xls]Sheet2!$E$105:$G$105</c:f>
              <c:numCache>
                <c:formatCode>0.0%</c:formatCode>
                <c:ptCount val="3"/>
                <c:pt idx="0">
                  <c:v>0.525795489650911</c:v>
                </c:pt>
                <c:pt idx="1">
                  <c:v>0.702784810126582</c:v>
                </c:pt>
                <c:pt idx="2">
                  <c:v>0.535934291581109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[全球已知红树林垃圾调查结果统计.xls]Sheet2!$H$59</c:f>
              <c:strCache>
                <c:ptCount val="1"/>
                <c:pt idx="0">
                  <c:v>Dec-Mahebourg</c:v>
                </c:pt>
              </c:strCache>
            </c:strRef>
          </c:tx>
          <c:spPr>
            <a:ln w="19050" cap="rnd" cmpd="sng" algn="ctr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 cap="flat" cmpd="sng" algn="ctr">
                <a:solidFill>
                  <a:schemeClr val="accent3"/>
                </a:solidFill>
                <a:prstDash val="solid"/>
                <a:round/>
              </a:ln>
              <a:effectLst/>
            </c:spPr>
          </c:marker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[全球已知红树林垃圾调查结果统计.xls]Sheet2!$H$105:$J$105</c:f>
              <c:numCache>
                <c:formatCode>0.0%</c:formatCode>
                <c:ptCount val="3"/>
                <c:pt idx="0">
                  <c:v>0.665084388185654</c:v>
                </c:pt>
                <c:pt idx="1">
                  <c:v>0.428909329829172</c:v>
                </c:pt>
                <c:pt idx="2">
                  <c:v>0.36864406779661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[全球已知红树林垃圾调查结果统计.xls]Sheet2!$B$68</c:f>
              <c:strCache>
                <c:ptCount val="1"/>
                <c:pt idx="0">
                  <c:v>Oct-Femey</c:v>
                </c:pt>
              </c:strCache>
            </c:strRef>
          </c:tx>
          <c:spPr>
            <a:ln w="19050" cap="rnd" cmpd="sng" algn="ctr">
              <a:solidFill>
                <a:schemeClr val="accent4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 cap="flat" cmpd="sng" algn="ctr">
                <a:solidFill>
                  <a:schemeClr val="accent4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5789473684211"/>
                  <c:y val="0.0585867620751342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23200574896689"/>
                  <c:y val="-0.125656849824276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[全球已知红树林垃圾调查结果统计.xls]Sheet2!$B$113:$D$113</c:f>
              <c:numCache>
                <c:formatCode>0.0%</c:formatCode>
                <c:ptCount val="3"/>
                <c:pt idx="0">
                  <c:v>0.435714285714286</c:v>
                </c:pt>
                <c:pt idx="1">
                  <c:v>0.713355048859935</c:v>
                </c:pt>
                <c:pt idx="2">
                  <c:v>0.267379679144385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[全球已知红树林垃圾调查结果统计.xls]Sheet2!$E$68</c:f>
              <c:strCache>
                <c:ptCount val="1"/>
                <c:pt idx="0">
                  <c:v>Nov-Femey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[全球已知红树林垃圾调查结果统计.xls]Sheet2!$E$113:$G$113</c:f>
              <c:numCache>
                <c:formatCode>0.0%</c:formatCode>
                <c:ptCount val="3"/>
                <c:pt idx="0">
                  <c:v>0.312582200789128</c:v>
                </c:pt>
                <c:pt idx="1">
                  <c:v>0.655555555555556</c:v>
                </c:pt>
                <c:pt idx="2">
                  <c:v>0.604452054794521</c:v>
                </c:pt>
              </c:numCache>
            </c:numRef>
          </c:val>
          <c:smooth val="0"/>
        </c:ser>
        <c:ser>
          <c:idx val="4"/>
          <c:order val="5"/>
          <c:tx>
            <c:strRef>
              <c:f>[全球已知红树林垃圾调查结果统计.xls]Sheet2!$H$68</c:f>
              <c:strCache>
                <c:ptCount val="1"/>
                <c:pt idx="0">
                  <c:v>Dec-Femey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[全球已知红树林垃圾调查结果统计.xls]Sheet2!$H$113:$J$113</c:f>
              <c:numCache>
                <c:formatCode>0.0%</c:formatCode>
                <c:ptCount val="3"/>
                <c:pt idx="0">
                  <c:v>0.232867598137059</c:v>
                </c:pt>
                <c:pt idx="1">
                  <c:v>0.793650793650794</c:v>
                </c:pt>
                <c:pt idx="2">
                  <c:v>0.218683651804671</c:v>
                </c:pt>
              </c:numCache>
            </c:numRef>
          </c:val>
          <c:smooth val="0"/>
        </c:ser>
        <c:ser>
          <c:idx val="6"/>
          <c:order val="6"/>
          <c:tx>
            <c:strRef>
              <c:f>[全球已知红树林垃圾调查结果统计.xls]Sheet2!$A$109</c:f>
              <c:strCache>
                <c:ptCount val="1"/>
                <c:pt idx="0">
                  <c:v>Mean-Mahebourg</c:v>
                </c:pt>
              </c:strCache>
            </c:strRef>
          </c:tx>
          <c:spPr>
            <a:ln w="28575" cap="rnd" cmpd="sng" algn="ctr">
              <a:solidFill>
                <a:schemeClr val="accent1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[全球已知红树林垃圾调查结果统计.xls]Sheet2!$B$109:$D$109</c:f>
              <c:numCache>
                <c:formatCode>0.00%</c:formatCode>
                <c:ptCount val="3"/>
                <c:pt idx="0">
                  <c:v>0.41420445450582</c:v>
                </c:pt>
                <c:pt idx="1">
                  <c:v>0.332532516024738</c:v>
                </c:pt>
                <c:pt idx="2">
                  <c:v>0.286751172080882</c:v>
                </c:pt>
              </c:numCache>
            </c:numRef>
          </c:val>
          <c:smooth val="0"/>
        </c:ser>
        <c:ser>
          <c:idx val="7"/>
          <c:order val="7"/>
          <c:tx>
            <c:strRef>
              <c:f>[全球已知红树林垃圾调查结果统计.xls]Sheet2!$A$117</c:f>
              <c:strCache>
                <c:ptCount val="1"/>
                <c:pt idx="0">
                  <c:v>Mean-Femey</c:v>
                </c:pt>
              </c:strCache>
            </c:strRef>
          </c:tx>
          <c:spPr>
            <a:ln w="28575" cap="rnd" cmpd="sng" algn="ctr">
              <a:solidFill>
                <a:schemeClr val="accent2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[全球已知红树林垃圾调查结果统计.xls]Sheet2!$B$117:$D$117</c:f>
              <c:numCache>
                <c:formatCode>0.00%</c:formatCode>
                <c:ptCount val="3"/>
                <c:pt idx="0">
                  <c:v>0.244340705836107</c:v>
                </c:pt>
                <c:pt idx="1">
                  <c:v>0.51073178528404</c:v>
                </c:pt>
                <c:pt idx="2">
                  <c:v>0.257546847150122</c:v>
                </c:pt>
              </c:numCache>
            </c:numRef>
          </c:val>
          <c:smooth val="0"/>
        </c:ser>
        <c:ser>
          <c:idx val="8"/>
          <c:order val="8"/>
          <c:tx>
            <c:strRef>
              <c:f>[全球已知红树林垃圾调查结果统计.xls]Sheet2!$A$118</c:f>
              <c:strCache>
                <c:ptCount val="1"/>
                <c:pt idx="0">
                  <c:v>Two-site</c:v>
                </c:pt>
              </c:strCache>
            </c:strRef>
          </c:tx>
          <c:spPr>
            <a:ln w="28575" cap="rnd" cmpd="sng" algn="ctr">
              <a:solidFill>
                <a:schemeClr val="accent3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[全球已知红树林垃圾调查结果统计.xls]Sheet2!$B$118:$D$118</c:f>
              <c:numCache>
                <c:formatCode>0.00%</c:formatCode>
                <c:ptCount val="3"/>
                <c:pt idx="0">
                  <c:v>0.321852672205737</c:v>
                </c:pt>
                <c:pt idx="1">
                  <c:v>0.41213098978818</c:v>
                </c:pt>
                <c:pt idx="2">
                  <c:v>0.266016338006083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09656716"/>
        <c:axId val="476338659"/>
      </c:lineChart>
      <c:catAx>
        <c:axId val="9096567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76338659"/>
        <c:crosses val="autoZero"/>
        <c:auto val="1"/>
        <c:lblAlgn val="ctr"/>
        <c:lblOffset val="100"/>
        <c:noMultiLvlLbl val="0"/>
      </c:catAx>
      <c:valAx>
        <c:axId val="476338659"/>
        <c:scaling>
          <c:orientation val="minMax"/>
          <c:min val="0.1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700" b="1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Qquantity-percentages(%)</a:t>
                </a:r>
                <a:endParaRPr lang="en-US" altLang="zh-CN" sz="700" b="1" i="0" u="none" strike="noStrike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597371565113501"/>
              <c:y val="0.22815044156470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%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096567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5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6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7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8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00630517023959647"/>
          <c:y val="0.858069748580698"/>
          <c:w val="0.987389659520807"/>
          <c:h val="0.130778588807786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00" b="1" i="0" u="none" strike="noStrike" kern="1200" baseline="0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wrap="square"/>
    <a:lstStyle/>
    <a:p>
      <a:pPr>
        <a:defRPr lang="zh-CN" sz="700" b="1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4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40" b="1">
                <a:solidFill>
                  <a:sysClr val="windowText" lastClr="000000"/>
                </a:solidFill>
              </a:rPr>
              <a:t>(D) T</a:t>
            </a:r>
            <a:r>
              <a:rPr sz="840" b="1">
                <a:solidFill>
                  <a:sysClr val="windowText" lastClr="000000"/>
                </a:solidFill>
              </a:rPr>
              <a:t>otal</a:t>
            </a:r>
            <a:r>
              <a:rPr lang="en-US" altLang="zh-CN" sz="840" b="1">
                <a:solidFill>
                  <a:sysClr val="windowText" lastClr="000000"/>
                </a:solidFill>
              </a:rPr>
              <a:t> debris weights</a:t>
            </a:r>
            <a:endParaRPr lang="en-US" altLang="zh-CN" sz="84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518033980188812"/>
          <c:y val="0.00626319027571807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62579617834395"/>
          <c:y val="0.0395296979525644"/>
          <c:w val="0.805175159235669"/>
          <c:h val="0.745023312385972"/>
        </c:manualLayout>
      </c:layout>
      <c:lineChart>
        <c:grouping val="standard"/>
        <c:varyColors val="0"/>
        <c:ser>
          <c:idx val="0"/>
          <c:order val="0"/>
          <c:tx>
            <c:strRef>
              <c:f>[全球已知红树林垃圾调查结果统计.xls]Sheet2!$B$59</c:f>
              <c:strCache>
                <c:ptCount val="1"/>
                <c:pt idx="0">
                  <c:v>Oct-Mahebourg</c:v>
                </c:pt>
              </c:strCache>
            </c:strRef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0717948717948718"/>
                  <c:y val="-0.0941011235955056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11624139327663"/>
                  <c:y val="-0.0989583333333333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[全球已知红树林垃圾调查结果统计.xls]Sheet2!$B$107:$D$107</c:f>
              <c:numCache>
                <c:formatCode>0.0%</c:formatCode>
                <c:ptCount val="3"/>
                <c:pt idx="0">
                  <c:v>0.390467937608319</c:v>
                </c:pt>
                <c:pt idx="1">
                  <c:v>0.335095320623917</c:v>
                </c:pt>
                <c:pt idx="2">
                  <c:v>0.274436741767764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[全球已知红树林垃圾调查结果统计.xls]Sheet2!$E$59</c:f>
              <c:strCache>
                <c:ptCount val="1"/>
                <c:pt idx="0">
                  <c:v>Nov-Mahebourg</c:v>
                </c:pt>
              </c:strCache>
            </c:strRef>
          </c:tx>
          <c:spPr>
            <a:ln w="1905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7393162393162"/>
                  <c:y val="-0.037219101123595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[全球已知红树林垃圾调查结果统计.xls]Sheet2!$E$107:$G$107</c:f>
              <c:numCache>
                <c:formatCode>0.0%</c:formatCode>
                <c:ptCount val="3"/>
                <c:pt idx="0">
                  <c:v>0.291359135913591</c:v>
                </c:pt>
                <c:pt idx="1">
                  <c:v>0.533303330333033</c:v>
                </c:pt>
                <c:pt idx="2">
                  <c:v>0.175337533753375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[全球已知红树林垃圾调查结果统计.xls]Sheet2!$H$59</c:f>
              <c:strCache>
                <c:ptCount val="1"/>
                <c:pt idx="0">
                  <c:v>Dec-Mahebourg</c:v>
                </c:pt>
              </c:strCache>
            </c:strRef>
          </c:tx>
          <c:spPr>
            <a:ln w="19050" cap="rnd" cmpd="sng" algn="ctr">
              <a:solidFill>
                <a:schemeClr val="accent3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 cap="flat" cmpd="sng" algn="ctr">
                <a:solidFill>
                  <a:schemeClr val="accent3"/>
                </a:solidFill>
                <a:prstDash val="solid"/>
                <a:round/>
              </a:ln>
              <a:effectLst/>
            </c:spPr>
          </c:marker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[全球已知红树林垃圾调查结果统计.xls]Sheet2!$H$107:$J$107</c:f>
              <c:numCache>
                <c:formatCode>0.0%</c:formatCode>
                <c:ptCount val="3"/>
                <c:pt idx="0">
                  <c:v>0.242300319488818</c:v>
                </c:pt>
                <c:pt idx="1">
                  <c:v>0.486261980830671</c:v>
                </c:pt>
                <c:pt idx="2">
                  <c:v>0.271437699680511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[全球已知红树林垃圾调查结果统计.xls]Sheet2!$B$68</c:f>
              <c:strCache>
                <c:ptCount val="1"/>
                <c:pt idx="0">
                  <c:v>Oct-Femey</c:v>
                </c:pt>
              </c:strCache>
            </c:strRef>
          </c:tx>
          <c:spPr>
            <a:ln w="19050" cap="rnd" cmpd="sng" algn="ctr">
              <a:solidFill>
                <a:schemeClr val="accent4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 cap="flat" cmpd="sng" algn="ctr">
                <a:solidFill>
                  <a:schemeClr val="accent4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135789473684211"/>
                  <c:y val="0.0585867620751342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267314702308627"/>
                  <c:y val="-0.13396990740740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7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[全球已知红树林垃圾调查结果统计.xls]Sheet2!$B$115:$D$115</c:f>
              <c:numCache>
                <c:formatCode>0.0%</c:formatCode>
                <c:ptCount val="3"/>
                <c:pt idx="0">
                  <c:v>0.594382756368387</c:v>
                </c:pt>
                <c:pt idx="1">
                  <c:v>0.100261267145656</c:v>
                </c:pt>
                <c:pt idx="2">
                  <c:v>0.305355976485957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[全球已知红树林垃圾调查结果统计.xls]Sheet2!$E$68</c:f>
              <c:strCache>
                <c:ptCount val="1"/>
                <c:pt idx="0">
                  <c:v>Nov-Femey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[全球已知红树林垃圾调查结果统计.xls]Sheet2!$E$115:$G$115</c:f>
              <c:numCache>
                <c:formatCode>0.0%</c:formatCode>
                <c:ptCount val="3"/>
                <c:pt idx="0">
                  <c:v>0.749096880131363</c:v>
                </c:pt>
                <c:pt idx="1">
                  <c:v>0.0591133004926108</c:v>
                </c:pt>
                <c:pt idx="2">
                  <c:v>0.191789819376026</c:v>
                </c:pt>
              </c:numCache>
            </c:numRef>
          </c:val>
          <c:smooth val="0"/>
        </c:ser>
        <c:ser>
          <c:idx val="4"/>
          <c:order val="5"/>
          <c:tx>
            <c:strRef>
              <c:f>[全球已知红树林垃圾调查结果统计.xls]Sheet2!$H$68</c:f>
              <c:strCache>
                <c:ptCount val="1"/>
                <c:pt idx="0">
                  <c:v>Dec-Femey</c:v>
                </c:pt>
              </c:strCache>
            </c:strRef>
          </c:tx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[全球已知红树林垃圾调查结果统计.xls]Sheet2!$H$115:$J$115</c:f>
              <c:numCache>
                <c:formatCode>0.0%</c:formatCode>
                <c:ptCount val="3"/>
                <c:pt idx="0">
                  <c:v>0.557285873192436</c:v>
                </c:pt>
                <c:pt idx="1">
                  <c:v>0.0934371523915462</c:v>
                </c:pt>
                <c:pt idx="2">
                  <c:v>0.349276974416018</c:v>
                </c:pt>
              </c:numCache>
            </c:numRef>
          </c:val>
          <c:smooth val="0"/>
        </c:ser>
        <c:ser>
          <c:idx val="6"/>
          <c:order val="6"/>
          <c:tx>
            <c:strRef>
              <c:f>[全球已知红树林垃圾调查结果统计.xls]Sheet2!$A$109</c:f>
              <c:strCache>
                <c:ptCount val="1"/>
                <c:pt idx="0">
                  <c:v>Mean-Mahebourg</c:v>
                </c:pt>
              </c:strCache>
            </c:strRef>
          </c:tx>
          <c:spPr>
            <a:ln w="28575" cap="rnd" cmpd="sng" algn="ctr">
              <a:solidFill>
                <a:schemeClr val="accent1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[全球已知红树林垃圾调查结果统计.xls]Sheet2!$H$109:$J$109</c:f>
              <c:numCache>
                <c:formatCode>0.00%</c:formatCode>
                <c:ptCount val="3"/>
                <c:pt idx="0">
                  <c:v>0.316292042657916</c:v>
                </c:pt>
                <c:pt idx="1">
                  <c:v>0.44616899097621</c:v>
                </c:pt>
                <c:pt idx="2">
                  <c:v>0.237538966365874</c:v>
                </c:pt>
              </c:numCache>
            </c:numRef>
          </c:val>
          <c:smooth val="0"/>
        </c:ser>
        <c:ser>
          <c:idx val="7"/>
          <c:order val="7"/>
          <c:tx>
            <c:strRef>
              <c:f>[全球已知红树林垃圾调查结果统计.xls]Sheet2!$A$117</c:f>
              <c:strCache>
                <c:ptCount val="1"/>
                <c:pt idx="0">
                  <c:v>Mean-Femey</c:v>
                </c:pt>
              </c:strCache>
            </c:strRef>
          </c:tx>
          <c:spPr>
            <a:ln w="28575" cap="rnd" cmpd="sng" algn="ctr">
              <a:solidFill>
                <a:schemeClr val="accent2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[全球已知红树林垃圾调查结果统计.xls]Sheet2!$H$117:$J$117</c:f>
              <c:numCache>
                <c:formatCode>0.00%</c:formatCode>
                <c:ptCount val="3"/>
                <c:pt idx="0">
                  <c:v>0.63652885052249</c:v>
                </c:pt>
                <c:pt idx="1">
                  <c:v>0.0839391185824625</c:v>
                </c:pt>
                <c:pt idx="2">
                  <c:v>0.279532030895048</c:v>
                </c:pt>
              </c:numCache>
            </c:numRef>
          </c:val>
          <c:smooth val="0"/>
        </c:ser>
        <c:ser>
          <c:idx val="8"/>
          <c:order val="8"/>
          <c:tx>
            <c:strRef>
              <c:f>[全球已知红树林垃圾调查结果统计.xls]Sheet2!$G$118</c:f>
              <c:strCache>
                <c:ptCount val="1"/>
                <c:pt idx="0">
                  <c:v>Two-site</c:v>
                </c:pt>
              </c:strCache>
            </c:strRef>
          </c:tx>
          <c:spPr>
            <a:ln w="28575" cap="rnd" cmpd="sng" algn="ctr">
              <a:solidFill>
                <a:schemeClr val="accent3">
                  <a:tint val="76667"/>
                  <a:shade val="95000"/>
                  <a:satMod val="105000"/>
                </a:schemeClr>
              </a:solidFill>
              <a:prstDash val="sysDot"/>
              <a:round/>
            </a:ln>
            <a:sp3d contourW="28575"/>
          </c:spPr>
          <c:dLbls>
            <c:delete val="1"/>
          </c:dLbls>
          <c:cat>
            <c:strRef>
              <c:f>[全球已知红树林垃圾调查结果统计.xls]Sheet2!$B$23:$D$23</c:f>
              <c:strCache>
                <c:ptCount val="3"/>
                <c:pt idx="0">
                  <c:v>Low-tide</c:v>
                </c:pt>
                <c:pt idx="1">
                  <c:v>Medium-tide</c:v>
                </c:pt>
                <c:pt idx="2">
                  <c:v>High-tide</c:v>
                </c:pt>
              </c:strCache>
            </c:strRef>
          </c:cat>
          <c:val>
            <c:numRef>
              <c:f>[全球已知红树林垃圾调查结果统计.xls]Sheet2!$H$118:$J$118</c:f>
              <c:numCache>
                <c:formatCode>0.00%</c:formatCode>
                <c:ptCount val="3"/>
                <c:pt idx="0">
                  <c:v>0.476410446590203</c:v>
                </c:pt>
                <c:pt idx="1">
                  <c:v>0.265054054779336</c:v>
                </c:pt>
                <c:pt idx="2">
                  <c:v>0.258535498630461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09656716"/>
        <c:axId val="476338659"/>
      </c:lineChart>
      <c:catAx>
        <c:axId val="9096567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76338659"/>
        <c:crosses val="autoZero"/>
        <c:auto val="1"/>
        <c:lblAlgn val="ctr"/>
        <c:lblOffset val="100"/>
        <c:noMultiLvlLbl val="0"/>
      </c:catAx>
      <c:valAx>
        <c:axId val="4763386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700" b="1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Qquantity-percentages(%)</a:t>
                </a:r>
                <a:endParaRPr lang="en-US" altLang="zh-CN" sz="700" b="1" i="0" u="none" strike="noStrike" baseline="0">
                  <a:solidFill>
                    <a:sysClr val="windowText" lastClr="000000"/>
                  </a:solidFill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597133757961783"/>
              <c:y val="0.2399668316349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%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096567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5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6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7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8"/>
        <c:txPr>
          <a:bodyPr rot="0" spcFirstLastPara="0" vertOverflow="ellipsis" vert="horz" wrap="square" anchor="ctr" anchorCtr="1"/>
          <a:lstStyle/>
          <a:p>
            <a:pPr>
              <a:defRPr lang="zh-CN"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00636672325976231"/>
          <c:y val="0.85103734439834"/>
          <c:w val="0.987266553480475"/>
          <c:h val="0.142738589211618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600" b="1" i="0" u="none" strike="noStrike" kern="1200" baseline="0">
              <a:solidFill>
                <a:sysClr val="windowText" lastClr="000000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wrap="square"/>
    <a:lstStyle/>
    <a:p>
      <a:pPr>
        <a:defRPr lang="zh-CN" sz="700" b="1">
          <a:solidFill>
            <a:sysClr val="windowText" lastClr="000000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scsemc</Company>
  <Pages>33</Pages>
  <Words>10937</Words>
  <Characters>53975</Characters>
  <Lines>12</Lines>
  <Paragraphs>3</Paragraphs>
  <TotalTime>1</TotalTime>
  <ScaleCrop>false</ScaleCrop>
  <LinksUpToDate>false</LinksUpToDate>
  <CharactersWithSpaces>59704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2015-09-30T04:33:00Z</dcterms:created>
  <dc:creator>walkinnet</dc:creator>
  <cp:lastModifiedBy>No anger,alcohol,staying up late</cp:lastModifiedBy>
  <cp:lastPrinted>2019-09-24T01:01:00Z</cp:lastPrinted>
  <dcterms:modified xsi:type="dcterms:W3CDTF">2024-01-18T05:59:22Z</dcterms:modified>
  <dc:title>国家海洋局南海环境监测中心报告编写记录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1C37F1186ACE4862B74408A17DB96724</vt:lpwstr>
  </property>
</Properties>
</file>