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D81" w:rsidRDefault="00B43519" w:rsidP="00B4351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3519">
        <w:rPr>
          <w:rFonts w:ascii="Times New Roman" w:hAnsi="Times New Roman" w:cs="Times New Roman"/>
          <w:b/>
          <w:sz w:val="20"/>
          <w:szCs w:val="20"/>
        </w:rPr>
        <w:t>Supplement</w:t>
      </w:r>
      <w:r w:rsidR="004D6B5A">
        <w:rPr>
          <w:rFonts w:ascii="Times New Roman" w:hAnsi="Times New Roman" w:cs="Times New Roman" w:hint="eastAsia"/>
          <w:b/>
          <w:sz w:val="20"/>
          <w:szCs w:val="20"/>
        </w:rPr>
        <w:t xml:space="preserve">al </w:t>
      </w:r>
      <w:r w:rsidRPr="00B43519">
        <w:rPr>
          <w:rFonts w:ascii="Times New Roman" w:hAnsi="Times New Roman" w:cs="Times New Roman"/>
          <w:b/>
          <w:sz w:val="20"/>
          <w:szCs w:val="20"/>
        </w:rPr>
        <w:t>materials</w:t>
      </w:r>
    </w:p>
    <w:p w:rsidR="00B43519" w:rsidRDefault="00B43519" w:rsidP="00B43519">
      <w:pPr>
        <w:autoSpaceDE w:val="0"/>
        <w:autoSpaceDN w:val="0"/>
        <w:adjustRightInd w:val="0"/>
        <w:snapToGrid w:val="0"/>
        <w:spacing w:line="400" w:lineRule="exact"/>
        <w:jc w:val="center"/>
        <w:rPr>
          <w:rFonts w:ascii="Times New Roman" w:eastAsia="宋体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S1 </w:t>
      </w:r>
      <w:r>
        <w:rPr>
          <w:rFonts w:ascii="Times New Roman" w:eastAsia="宋体" w:hAnsi="Times New Roman" w:cs="Times New Roman"/>
          <w:bCs/>
          <w:kern w:val="0"/>
          <w:sz w:val="20"/>
          <w:szCs w:val="20"/>
        </w:rPr>
        <w:t>Primer sequences used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 for </w:t>
      </w:r>
      <w:r>
        <w:rPr>
          <w:rFonts w:ascii="Times New Roman" w:hAnsi="Times New Roman" w:cs="Times New Roman"/>
          <w:i/>
          <w:sz w:val="20"/>
          <w:szCs w:val="20"/>
        </w:rPr>
        <w:t>p1300-BjuLKP2-GFP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kern w:val="0"/>
          <w:sz w:val="20"/>
          <w:szCs w:val="20"/>
        </w:rPr>
        <w:t>qRT</w:t>
      </w:r>
      <w:proofErr w:type="spellEnd"/>
      <w:r>
        <w:rPr>
          <w:rFonts w:ascii="Times New Roman" w:eastAsia="宋体" w:hAnsi="Times New Roman" w:cs="Times New Roman"/>
          <w:kern w:val="0"/>
          <w:sz w:val="20"/>
          <w:szCs w:val="20"/>
        </w:rPr>
        <w:t>-PCR and GUS staining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455"/>
        <w:gridCol w:w="1230"/>
        <w:gridCol w:w="2694"/>
      </w:tblGrid>
      <w:tr w:rsidR="00B43519" w:rsidTr="00C459A2">
        <w:tc>
          <w:tcPr>
            <w:tcW w:w="1526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Primers names</w:t>
            </w:r>
          </w:p>
        </w:tc>
        <w:tc>
          <w:tcPr>
            <w:tcW w:w="2455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Sequences</w:t>
            </w:r>
          </w:p>
        </w:tc>
        <w:tc>
          <w:tcPr>
            <w:tcW w:w="1230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Primers names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Sequences</w:t>
            </w:r>
          </w:p>
        </w:tc>
      </w:tr>
      <w:tr w:rsidR="00B43519" w:rsidTr="00C459A2">
        <w:tc>
          <w:tcPr>
            <w:tcW w:w="1526" w:type="dxa"/>
            <w:vMerge w:val="restart"/>
            <w:tcBorders>
              <w:top w:val="single" w:sz="4" w:space="0" w:color="auto"/>
            </w:tcBorders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p1300-</w:t>
            </w:r>
            <w:hyperlink r:id="rId7" w:anchor="Query_1_hit_14" w:history="1">
              <w:r w:rsidRPr="00B43519">
                <w:rPr>
                  <w:rStyle w:val="a4"/>
                  <w:i/>
                  <w:color w:val="auto"/>
                  <w:sz w:val="13"/>
                  <w:szCs w:val="13"/>
                  <w:u w:val="none"/>
                </w:rPr>
                <w:t>BjuLKP2</w:t>
              </w:r>
            </w:hyperlink>
            <w:r w:rsidRPr="00B43519">
              <w:rPr>
                <w:rStyle w:val="a4"/>
                <w:i/>
                <w:color w:val="auto"/>
                <w:sz w:val="13"/>
                <w:szCs w:val="13"/>
                <w:u w:val="none"/>
              </w:rPr>
              <w:t>-GFP</w:t>
            </w:r>
          </w:p>
        </w:tc>
        <w:tc>
          <w:tcPr>
            <w:tcW w:w="2455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5’-GAGAACACGGGGGAC</w:t>
            </w:r>
            <w:r>
              <w:rPr>
                <w:sz w:val="13"/>
                <w:szCs w:val="13"/>
                <w:u w:val="single"/>
              </w:rPr>
              <w:t>TCTAGA</w:t>
            </w:r>
            <w:r>
              <w:rPr>
                <w:rFonts w:eastAsia="等线"/>
                <w:sz w:val="13"/>
                <w:szCs w:val="13"/>
              </w:rPr>
              <w:t xml:space="preserve"> ATGGAGTGGGACAGCGATTCCG</w:t>
            </w:r>
            <w:r>
              <w:rPr>
                <w:sz w:val="13"/>
                <w:szCs w:val="13"/>
              </w:rPr>
              <w:t>-’3</w:t>
            </w:r>
          </w:p>
        </w:tc>
        <w:tc>
          <w:tcPr>
            <w:tcW w:w="1230" w:type="dxa"/>
            <w:vMerge w:val="restart"/>
            <w:tcBorders>
              <w:top w:val="single" w:sz="4" w:space="0" w:color="auto"/>
            </w:tcBorders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qBjuCHLH</w:t>
            </w:r>
            <w:proofErr w:type="spellEnd"/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5’-ATGGCTTCACTTATGTATTC-’3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left"/>
              <w:rPr>
                <w:sz w:val="13"/>
                <w:szCs w:val="13"/>
              </w:rPr>
            </w:pPr>
            <w:bookmarkStart w:id="0" w:name="_Hlk518380329"/>
            <w:r>
              <w:rPr>
                <w:sz w:val="13"/>
                <w:szCs w:val="13"/>
              </w:rPr>
              <w:t>5’-GCCCTTGCTCACCAT</w:t>
            </w:r>
            <w:r>
              <w:rPr>
                <w:sz w:val="13"/>
                <w:szCs w:val="13"/>
                <w:u w:val="single"/>
              </w:rPr>
              <w:t>TCTAGA</w:t>
            </w:r>
          </w:p>
          <w:p w:rsidR="00B43519" w:rsidRDefault="00B43519" w:rsidP="00C459A2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CTAGAAGACCCTCTTCTCTTC</w:t>
            </w:r>
            <w:bookmarkEnd w:id="0"/>
            <w:r>
              <w:rPr>
                <w:sz w:val="13"/>
                <w:szCs w:val="13"/>
              </w:rPr>
              <w:t>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5’-CGGTGGGGACGTTGTCTCTC-’3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</w:t>
            </w:r>
            <w:r>
              <w:rPr>
                <w:i/>
                <w:sz w:val="13"/>
                <w:szCs w:val="13"/>
              </w:rPr>
              <w:t>BjuLKP2</w:t>
            </w: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5’-ATGGAGTGGGACAGCGATTC-’3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qBjuCHLI1</w:t>
            </w:r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5’-ATGGCGTCTCTTCTGGGAAC-’3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5’-GGAATCTACTGAGGGATGTC-’3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5’-CCCTACTTGTTCAGTGGAG-’3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qBjuHEMA1</w:t>
            </w: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5’-ATGGCTGTCTCGAGTGCC-’3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qBjuCHLI2</w:t>
            </w: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5’-ATGGTCTCTCTTCTCGGAAC-’3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5’-GTCAGCTGCAGAGTTCTTG-’3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5’-CACTGGCCTTGCACTTTCC-’3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qBjuHEMA3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5’-GCTATGGCGGTTGCTAGTGC-’3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qBjuCHLD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5’-ATGGCGATGACCCCTGTCAC-’3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5’-GCTGCTTCTCTCCTTTGTG-’3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5’-GAACTTTCTGCCGTATTCGG-’3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qBjuHEML2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5’-ATGTCGGCGACGCTAACGGG-’3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qBjuCHLM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5’-ATGCCGATGTCTCCTTCCTTG-’3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5’-CGGATTTGAAGGCTCGAAC-’3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5’-CCGCCTCCTCTCCGGATCCG-’3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qBjuHEMB1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5’-ATGTACTCGCAGACAAAGCG-’3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qBjuCRD1</w:t>
            </w: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5’-ATGGCTGCTGAAATGGCG-’3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5’-CGATTACTTTGATCGATGG-’3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5’-CTCCTCGAAGTCCGTCGTG-’3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qBjuHEMB2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5’-ATGAAAGGGTTTGAACAGAAG-’3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qBjuDVR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5’-ATGTCACTTTCTTCTTCTCC-’3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5’-GCGGTTACGACGTGCGCGTC-’3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5’-GCTGGGGGTTTTGTTCCTGA-’3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qBjuHEMC</w:t>
            </w:r>
            <w:proofErr w:type="spellEnd"/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5’-ATGGAGTTCGCTTCTTCCTC-’3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qBjuPORA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5’-ATGGCCCTTCAAGCTTCTTC-’3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5’-GATGATAGCAGTTCGTGTC-’3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5’-GACGGATGGGGTTGAAG-’3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qBjuHEMD</w:t>
            </w:r>
            <w:proofErr w:type="spellEnd"/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5’-ATGGCGTCGTTTCTGTCTCC-’3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qBjuPORB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5’-ATGGCCCTTCAAGCTGCTTC-’3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5’-GAGCTCTAAAGATGAAATCC-’3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5’-CCTCAGCGTTTTCTTGCCG-’3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qBjuHEME1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5’-ATGGCGAAGAGGATACACC-’3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qBjuPORC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5’-CTTCAGGCTGCATATTCTC-’3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5’-CCGCCTCGATGGGAGACAG-’3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5’-CGCCCGAGGAGTTGCAACTG-’3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qBjuHEME2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5’-ATGGCAGAGGAGGAGCATC-’3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qBjuCHLG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5’-ATGACTTCAATTCTCAAC-’3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5’-CTCTAGCTCAGCTGCATGC-’3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5’-CCGGCTGCTGGTGCCTTGTC-’3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qBjuHEMF1</w:t>
            </w: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5’-ATGGCTTCTCTCGTCTCTTC-’3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proofErr w:type="spellStart"/>
            <w:r>
              <w:rPr>
                <w:i/>
                <w:iCs/>
                <w:sz w:val="13"/>
                <w:szCs w:val="13"/>
              </w:rPr>
              <w:t>qBjuCAO</w:t>
            </w:r>
            <w:proofErr w:type="spellEnd"/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5’-ATGAACGCCGCCGTGTTTAC-’3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5’-GAAGAGTGAGTGGAATCATC-’3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5’-ATGAACTTGCCTTTATAAG-’3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qBjuHEMF2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5’-ATGGCTTCTCACTCTTTGAC-’3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sz w:val="13"/>
                <w:szCs w:val="13"/>
              </w:rPr>
              <w:t>qjuBjuActin2</w:t>
            </w:r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5’-CTGTTCTCTCCTTGTACGCCAG-’3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5’-GAGTGAGTGGAATCGTCGTC-’3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5’-TAATCAGTAAGGTCACGTCCAGC-’3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qBjuHEMG1</w:t>
            </w: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5’-ATGGATCTCTCACTTCTCCG-’3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i/>
                <w:sz w:val="13"/>
                <w:szCs w:val="13"/>
              </w:rPr>
            </w:pPr>
            <w:r>
              <w:rPr>
                <w:i/>
                <w:sz w:val="13"/>
                <w:szCs w:val="13"/>
              </w:rPr>
              <w:t>1300-GFP</w:t>
            </w:r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5’-GAATTCGCATGCCTGCAGGTC-’3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5’-GCAGAGACCGCTGATTCC-’3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5’-GTGACAGATAGCTGGGCAATG-’3</w:t>
            </w:r>
          </w:p>
        </w:tc>
      </w:tr>
      <w:tr w:rsidR="00B43519" w:rsidTr="00C459A2">
        <w:tc>
          <w:tcPr>
            <w:tcW w:w="1526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  <w:r>
              <w:rPr>
                <w:i/>
                <w:iCs/>
                <w:sz w:val="13"/>
                <w:szCs w:val="13"/>
              </w:rPr>
              <w:t>qBjuHEMG2</w:t>
            </w:r>
          </w:p>
        </w:tc>
        <w:tc>
          <w:tcPr>
            <w:tcW w:w="2455" w:type="dxa"/>
          </w:tcPr>
          <w:p w:rsidR="00B43519" w:rsidRDefault="00B43519" w:rsidP="00C459A2">
            <w:pPr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5’-GAAACGGCACCCTTTGTTGTCG-’3</w:t>
            </w:r>
          </w:p>
        </w:tc>
        <w:tc>
          <w:tcPr>
            <w:tcW w:w="1230" w:type="dxa"/>
            <w:vMerge w:val="restart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  <w:highlight w:val="yellow"/>
              </w:rPr>
            </w:pPr>
            <w:r w:rsidRPr="000B0B82">
              <w:rPr>
                <w:rFonts w:hint="eastAsia"/>
                <w:i/>
                <w:iCs/>
                <w:sz w:val="13"/>
                <w:szCs w:val="13"/>
              </w:rPr>
              <w:t>p1391-BjuSPL10c</w:t>
            </w: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rPr>
                <w:sz w:val="13"/>
                <w:szCs w:val="13"/>
              </w:rPr>
            </w:pPr>
            <w:r w:rsidRPr="000B0B82">
              <w:rPr>
                <w:sz w:val="13"/>
                <w:szCs w:val="13"/>
              </w:rPr>
              <w:t>5’-CAAGCTTGGCTGCAG</w:t>
            </w:r>
            <w:r w:rsidRPr="000B0B82">
              <w:rPr>
                <w:sz w:val="13"/>
                <w:szCs w:val="13"/>
                <w:u w:val="single"/>
              </w:rPr>
              <w:t>GTCGAC</w:t>
            </w:r>
            <w:r w:rsidRPr="000B0B82">
              <w:rPr>
                <w:sz w:val="13"/>
                <w:szCs w:val="13"/>
              </w:rPr>
              <w:t>AGT</w:t>
            </w:r>
          </w:p>
          <w:p w:rsidR="00B43519" w:rsidRPr="000B0B82" w:rsidRDefault="00B43519" w:rsidP="00C459A2">
            <w:pPr>
              <w:adjustRightInd w:val="0"/>
              <w:snapToGrid w:val="0"/>
              <w:rPr>
                <w:sz w:val="13"/>
                <w:szCs w:val="13"/>
              </w:rPr>
            </w:pPr>
            <w:r w:rsidRPr="000B0B82">
              <w:rPr>
                <w:sz w:val="13"/>
                <w:szCs w:val="13"/>
              </w:rPr>
              <w:t>TGACCTCCACCAACTC-3’</w:t>
            </w:r>
          </w:p>
        </w:tc>
      </w:tr>
      <w:tr w:rsidR="00B43519" w:rsidTr="00C459A2">
        <w:tc>
          <w:tcPr>
            <w:tcW w:w="1526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455" w:type="dxa"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left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5’-CCCAAATCAAGCCATCATGC-’3</w:t>
            </w:r>
          </w:p>
        </w:tc>
        <w:tc>
          <w:tcPr>
            <w:tcW w:w="1230" w:type="dxa"/>
            <w:vMerge/>
          </w:tcPr>
          <w:p w:rsidR="00B43519" w:rsidRDefault="00B43519" w:rsidP="00C459A2">
            <w:pPr>
              <w:autoSpaceDE w:val="0"/>
              <w:autoSpaceDN w:val="0"/>
              <w:adjustRightInd w:val="0"/>
              <w:snapToGrid w:val="0"/>
              <w:jc w:val="center"/>
              <w:rPr>
                <w:sz w:val="13"/>
                <w:szCs w:val="13"/>
              </w:rPr>
            </w:pPr>
          </w:p>
        </w:tc>
        <w:tc>
          <w:tcPr>
            <w:tcW w:w="2694" w:type="dxa"/>
          </w:tcPr>
          <w:p w:rsidR="00B43519" w:rsidRDefault="00B43519" w:rsidP="00C459A2">
            <w:pPr>
              <w:adjustRightInd w:val="0"/>
              <w:snapToGrid w:val="0"/>
              <w:rPr>
                <w:color w:val="000000"/>
                <w:sz w:val="13"/>
                <w:szCs w:val="13"/>
              </w:rPr>
            </w:pPr>
            <w:r w:rsidRPr="000B0B82">
              <w:rPr>
                <w:color w:val="000000"/>
                <w:sz w:val="13"/>
                <w:szCs w:val="13"/>
              </w:rPr>
              <w:t>5’-GGTGGACTCCTCTTA</w:t>
            </w:r>
            <w:r w:rsidRPr="000B0B82">
              <w:rPr>
                <w:sz w:val="13"/>
                <w:szCs w:val="13"/>
                <w:u w:val="single"/>
              </w:rPr>
              <w:t>GAATTC</w:t>
            </w:r>
            <w:r w:rsidRPr="000B0B82">
              <w:rPr>
                <w:color w:val="000000"/>
                <w:sz w:val="13"/>
                <w:szCs w:val="13"/>
              </w:rPr>
              <w:t>ATAG</w:t>
            </w:r>
          </w:p>
          <w:p w:rsidR="00B43519" w:rsidRPr="000B0B82" w:rsidRDefault="00B43519" w:rsidP="00C459A2">
            <w:pPr>
              <w:adjustRightInd w:val="0"/>
              <w:snapToGrid w:val="0"/>
              <w:rPr>
                <w:color w:val="000000"/>
                <w:sz w:val="13"/>
                <w:szCs w:val="13"/>
              </w:rPr>
            </w:pPr>
            <w:r w:rsidRPr="000B0B82">
              <w:rPr>
                <w:color w:val="000000"/>
                <w:sz w:val="13"/>
                <w:szCs w:val="13"/>
              </w:rPr>
              <w:t>ATGAGCAAGTAGTGTG-3’</w:t>
            </w:r>
          </w:p>
        </w:tc>
      </w:tr>
    </w:tbl>
    <w:p w:rsidR="00B43519" w:rsidRDefault="00B43519" w:rsidP="00B4351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S2. Effects of different 6-BA and NAA combinations on “</w:t>
      </w:r>
      <w:proofErr w:type="spellStart"/>
      <w:r>
        <w:rPr>
          <w:rFonts w:ascii="Times New Roman" w:hAnsi="Times New Roman" w:cs="Times New Roman"/>
          <w:sz w:val="20"/>
          <w:szCs w:val="20"/>
        </w:rPr>
        <w:t>yonganxiaoye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” cotyledon callus induction in </w:t>
      </w:r>
      <w:r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juncea</w:t>
      </w:r>
      <w:proofErr w:type="spellEnd"/>
    </w:p>
    <w:tbl>
      <w:tblPr>
        <w:tblStyle w:val="1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1134"/>
        <w:gridCol w:w="1985"/>
        <w:gridCol w:w="1818"/>
      </w:tblGrid>
      <w:tr w:rsidR="00B43519" w:rsidTr="00B43519">
        <w:trPr>
          <w:jc w:val="center"/>
        </w:trPr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6-BA (mg/L)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NAA (mg/L)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楷体"/>
                <w:sz w:val="15"/>
                <w:szCs w:val="15"/>
              </w:rPr>
            </w:pPr>
            <w:r>
              <w:rPr>
                <w:rFonts w:eastAsia="楷体"/>
                <w:sz w:val="15"/>
                <w:szCs w:val="15"/>
              </w:rPr>
              <w:t>Callus color and texture</w:t>
            </w:r>
          </w:p>
        </w:tc>
        <w:tc>
          <w:tcPr>
            <w:tcW w:w="1818" w:type="dxa"/>
            <w:tcBorders>
              <w:top w:val="single" w:sz="4" w:space="0" w:color="auto"/>
              <w:bottom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楷体"/>
                <w:sz w:val="15"/>
                <w:szCs w:val="15"/>
              </w:rPr>
            </w:pPr>
            <w:r>
              <w:rPr>
                <w:rFonts w:eastAsia="楷体"/>
                <w:sz w:val="15"/>
                <w:szCs w:val="15"/>
              </w:rPr>
              <w:t>Callus induction ratio /%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bookmarkStart w:id="1" w:name="_Hlk3405032"/>
            <w:r>
              <w:rPr>
                <w:rFonts w:eastAsia="等线"/>
                <w:sz w:val="15"/>
                <w:szCs w:val="15"/>
              </w:rPr>
              <w:t>1.0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0.05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  <w:tcBorders>
              <w:top w:val="single" w:sz="4" w:space="0" w:color="auto"/>
            </w:tcBorders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79%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1.0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76%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1.0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0.15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57%</w:t>
            </w:r>
          </w:p>
        </w:tc>
      </w:tr>
      <w:bookmarkEnd w:id="1"/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0.05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Soft green, compact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56%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Soft green, compact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83%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2.0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0.15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Soft green, compact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65%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3.0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0.05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18%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3.0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6%</w:t>
            </w:r>
          </w:p>
        </w:tc>
      </w:tr>
      <w:tr w:rsidR="00B43519" w:rsidTr="00B43519">
        <w:trPr>
          <w:jc w:val="center"/>
        </w:trPr>
        <w:tc>
          <w:tcPr>
            <w:tcW w:w="1020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3.0</w:t>
            </w:r>
          </w:p>
        </w:tc>
        <w:tc>
          <w:tcPr>
            <w:tcW w:w="1134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0.15</w:t>
            </w:r>
          </w:p>
        </w:tc>
        <w:tc>
          <w:tcPr>
            <w:tcW w:w="1985" w:type="dxa"/>
          </w:tcPr>
          <w:p w:rsidR="00B43519" w:rsidRDefault="00B43519" w:rsidP="00C459A2">
            <w:pPr>
              <w:widowControl/>
              <w:adjustRightInd w:val="0"/>
              <w:snapToGrid w:val="0"/>
              <w:jc w:val="center"/>
              <w:rPr>
                <w:rFonts w:eastAsia="等线"/>
                <w:sz w:val="15"/>
                <w:szCs w:val="15"/>
              </w:rPr>
            </w:pPr>
            <w:r>
              <w:rPr>
                <w:rFonts w:eastAsia="等线"/>
                <w:sz w:val="15"/>
                <w:szCs w:val="15"/>
              </w:rPr>
              <w:t>Milk white, loose texture</w:t>
            </w:r>
          </w:p>
        </w:tc>
        <w:tc>
          <w:tcPr>
            <w:tcW w:w="1818" w:type="dxa"/>
          </w:tcPr>
          <w:p w:rsidR="00B43519" w:rsidRDefault="00B43519" w:rsidP="00C459A2">
            <w:pPr>
              <w:adjustRightInd w:val="0"/>
              <w:snapToGrid w:val="0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11%</w:t>
            </w:r>
          </w:p>
        </w:tc>
      </w:tr>
    </w:tbl>
    <w:p w:rsidR="00BB7D67" w:rsidRDefault="00BB7D67" w:rsidP="00BB7D67">
      <w:pPr>
        <w:rPr>
          <w:rFonts w:ascii="Times New Roman" w:hAnsi="Times New Roman" w:cs="Times New Roman"/>
          <w:b/>
          <w:sz w:val="20"/>
          <w:szCs w:val="20"/>
        </w:rPr>
      </w:pPr>
    </w:p>
    <w:p w:rsidR="00BB7D67" w:rsidRDefault="00BB7D67" w:rsidP="00BB7D67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A58F012" wp14:editId="20FEC73F">
            <wp:extent cx="5274310" cy="1825625"/>
            <wp:effectExtent l="0" t="0" r="2540" b="3175"/>
            <wp:docPr id="5" name="图片 5" descr="F:\2023年工作\榨菜转基因图片\1300-LKP2\international journal of biological macromoleculers\Fig.S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2023年工作\榨菜转基因图片\1300-LKP2\international journal of biological macromoleculers\Fig.S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D67" w:rsidRDefault="00BB7D67" w:rsidP="00BB7D67">
      <w:pPr>
        <w:rPr>
          <w:rFonts w:ascii="Times New Roman" w:hAnsi="Times New Roman" w:cs="Times New Roman"/>
          <w:b/>
          <w:sz w:val="20"/>
          <w:szCs w:val="20"/>
        </w:rPr>
      </w:pPr>
    </w:p>
    <w:p w:rsidR="00BB7D67" w:rsidRDefault="00BB7D67" w:rsidP="00B43519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B7D67" w:rsidRDefault="00BB7D67" w:rsidP="00BB7D67">
      <w:pPr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2F5042">
        <w:rPr>
          <w:rFonts w:ascii="Times New Roman" w:hAnsi="Times New Roman" w:cs="Times New Roman"/>
          <w:b/>
          <w:bCs/>
          <w:sz w:val="20"/>
          <w:szCs w:val="20"/>
        </w:rPr>
        <w:t>Fig.</w:t>
      </w:r>
      <w:proofErr w:type="gramEnd"/>
      <w:r w:rsidRPr="002F5042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F5042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2F5042">
        <w:rPr>
          <w:rFonts w:ascii="Times New Roman" w:hAnsi="Times New Roman" w:cs="Times New Roman"/>
          <w:b/>
          <w:bCs/>
          <w:sz w:val="20"/>
          <w:szCs w:val="20"/>
        </w:rPr>
        <w:t>1</w:t>
      </w:r>
      <w:r w:rsidRPr="00742EA1">
        <w:rPr>
          <w:rFonts w:ascii="Times New Roman" w:hAnsi="Times New Roman" w:cs="Times New Roman"/>
          <w:bCs/>
          <w:sz w:val="20"/>
          <w:szCs w:val="20"/>
        </w:rPr>
        <w:t xml:space="preserve"> Regeneration of 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cotyledons </w:t>
      </w:r>
      <w:r w:rsidRPr="00742EA1">
        <w:rPr>
          <w:rFonts w:ascii="Times New Roman" w:hAnsi="Times New Roman" w:cs="Times New Roman"/>
          <w:bCs/>
          <w:sz w:val="20"/>
          <w:szCs w:val="20"/>
        </w:rPr>
        <w:t xml:space="preserve">of </w:t>
      </w:r>
      <w:r w:rsidRPr="00742EA1">
        <w:rPr>
          <w:rFonts w:ascii="Times New Roman" w:hAnsi="Times New Roman" w:cs="Times New Roman"/>
          <w:bCs/>
          <w:i/>
          <w:sz w:val="20"/>
          <w:szCs w:val="20"/>
        </w:rPr>
        <w:t xml:space="preserve">B. </w:t>
      </w:r>
      <w:proofErr w:type="spellStart"/>
      <w:r w:rsidRPr="00742EA1">
        <w:rPr>
          <w:rFonts w:ascii="Times New Roman" w:hAnsi="Times New Roman" w:cs="Times New Roman"/>
          <w:bCs/>
          <w:i/>
          <w:sz w:val="20"/>
          <w:szCs w:val="20"/>
        </w:rPr>
        <w:t>juncea</w:t>
      </w:r>
      <w:proofErr w:type="spellEnd"/>
      <w:r w:rsidRPr="00742EA1">
        <w:rPr>
          <w:rFonts w:ascii="Times New Roman" w:hAnsi="Times New Roman" w:cs="Times New Roman"/>
          <w:bCs/>
          <w:sz w:val="20"/>
          <w:szCs w:val="20"/>
        </w:rPr>
        <w:t xml:space="preserve"> “</w:t>
      </w:r>
      <w:r>
        <w:rPr>
          <w:rFonts w:ascii="Times New Roman" w:hAnsi="Times New Roman" w:cs="Times New Roman" w:hint="eastAsia"/>
          <w:bCs/>
          <w:sz w:val="20"/>
          <w:szCs w:val="20"/>
        </w:rPr>
        <w:t>A168</w:t>
      </w:r>
      <w:r w:rsidRPr="00742EA1">
        <w:rPr>
          <w:rFonts w:ascii="Times New Roman" w:hAnsi="Times New Roman" w:cs="Times New Roman"/>
          <w:bCs/>
          <w:sz w:val="20"/>
          <w:szCs w:val="20"/>
        </w:rPr>
        <w:t>”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r w:rsidRPr="00742EA1">
        <w:rPr>
          <w:rFonts w:ascii="Times New Roman" w:hAnsi="Times New Roman" w:cs="Times New Roman"/>
          <w:bCs/>
          <w:sz w:val="20"/>
          <w:szCs w:val="20"/>
        </w:rPr>
        <w:t>“</w:t>
      </w:r>
      <w:r>
        <w:rPr>
          <w:rFonts w:ascii="Times New Roman" w:hAnsi="Times New Roman" w:cs="Times New Roman" w:hint="eastAsia"/>
          <w:bCs/>
          <w:sz w:val="20"/>
          <w:szCs w:val="20"/>
        </w:rPr>
        <w:t>ZL</w:t>
      </w:r>
      <w:r w:rsidRPr="00742EA1">
        <w:rPr>
          <w:rFonts w:ascii="Times New Roman" w:hAnsi="Times New Roman" w:cs="Times New Roman"/>
          <w:bCs/>
          <w:sz w:val="20"/>
          <w:szCs w:val="20"/>
        </w:rPr>
        <w:t>”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“</w:t>
      </w:r>
      <w:r>
        <w:rPr>
          <w:rFonts w:ascii="Times New Roman" w:hAnsi="Times New Roman" w:cs="Times New Roman" w:hint="eastAsia"/>
          <w:bCs/>
          <w:sz w:val="20"/>
          <w:szCs w:val="20"/>
        </w:rPr>
        <w:t>4-16</w:t>
      </w:r>
      <w:r>
        <w:rPr>
          <w:rFonts w:ascii="Times New Roman" w:hAnsi="Times New Roman" w:cs="Times New Roman"/>
          <w:bCs/>
          <w:sz w:val="20"/>
          <w:szCs w:val="20"/>
        </w:rPr>
        <w:t>”</w:t>
      </w:r>
      <w:r w:rsidRPr="00742EA1">
        <w:rPr>
          <w:rFonts w:ascii="Times New Roman" w:hAnsi="Times New Roman" w:cs="Times New Roman"/>
          <w:bCs/>
          <w:sz w:val="20"/>
          <w:szCs w:val="20"/>
        </w:rPr>
        <w:t>.</w:t>
      </w:r>
      <w:r w:rsidRPr="00742EA1">
        <w:rPr>
          <w:rFonts w:ascii="Times New Roman" w:hAnsi="Times New Roman" w:cs="Times New Roman" w:hint="eastAsia"/>
          <w:bCs/>
          <w:sz w:val="20"/>
          <w:szCs w:val="20"/>
        </w:rPr>
        <w:t xml:space="preserve"> </w:t>
      </w:r>
      <w:proofErr w:type="gramStart"/>
      <w:r w:rsidRPr="00742EA1">
        <w:rPr>
          <w:rFonts w:ascii="Times New Roman" w:hAnsi="Times New Roman" w:cs="Times New Roman"/>
          <w:sz w:val="20"/>
          <w:szCs w:val="20"/>
        </w:rPr>
        <w:t>a</w:t>
      </w:r>
      <w:proofErr w:type="gramEnd"/>
      <w:r w:rsidRPr="00742EA1">
        <w:rPr>
          <w:rFonts w:ascii="Times New Roman" w:hAnsi="Times New Roman" w:cs="Times New Roman"/>
          <w:sz w:val="20"/>
          <w:szCs w:val="20"/>
        </w:rPr>
        <w:t xml:space="preserve">: </w:t>
      </w:r>
      <w:r w:rsidRPr="00742EA1">
        <w:rPr>
          <w:rFonts w:ascii="Times New Roman" w:hAnsi="Times New Roman" w:cs="Times New Roman"/>
          <w:i/>
          <w:sz w:val="20"/>
          <w:szCs w:val="20"/>
        </w:rPr>
        <w:t xml:space="preserve">B. </w:t>
      </w:r>
      <w:proofErr w:type="spellStart"/>
      <w:r w:rsidRPr="00742EA1">
        <w:rPr>
          <w:rFonts w:ascii="Times New Roman" w:hAnsi="Times New Roman" w:cs="Times New Roman"/>
          <w:i/>
          <w:sz w:val="20"/>
          <w:szCs w:val="20"/>
        </w:rPr>
        <w:t>juncea</w:t>
      </w:r>
      <w:proofErr w:type="spellEnd"/>
      <w:r w:rsidRPr="00742EA1">
        <w:rPr>
          <w:rFonts w:ascii="Times New Roman" w:hAnsi="Times New Roman" w:cs="Times New Roman"/>
          <w:sz w:val="20"/>
          <w:szCs w:val="20"/>
        </w:rPr>
        <w:t xml:space="preserve"> </w:t>
      </w:r>
      <w:r w:rsidRPr="00742EA1">
        <w:rPr>
          <w:rFonts w:ascii="Times New Roman" w:hAnsi="Times New Roman" w:cs="Times New Roman"/>
          <w:bCs/>
          <w:sz w:val="20"/>
          <w:szCs w:val="20"/>
        </w:rPr>
        <w:t>“</w:t>
      </w:r>
      <w:r>
        <w:rPr>
          <w:rFonts w:ascii="Times New Roman" w:hAnsi="Times New Roman" w:cs="Times New Roman" w:hint="eastAsia"/>
          <w:bCs/>
          <w:sz w:val="20"/>
          <w:szCs w:val="20"/>
        </w:rPr>
        <w:t>A168</w:t>
      </w:r>
      <w:r w:rsidRPr="00742EA1">
        <w:rPr>
          <w:rFonts w:ascii="Times New Roman" w:hAnsi="Times New Roman" w:cs="Times New Roman"/>
          <w:bCs/>
          <w:sz w:val="20"/>
          <w:szCs w:val="20"/>
        </w:rPr>
        <w:t>”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, </w:t>
      </w:r>
      <w:r w:rsidRPr="00742EA1">
        <w:rPr>
          <w:rFonts w:ascii="Times New Roman" w:hAnsi="Times New Roman" w:cs="Times New Roman"/>
          <w:bCs/>
          <w:sz w:val="20"/>
          <w:szCs w:val="20"/>
        </w:rPr>
        <w:t>“</w:t>
      </w:r>
      <w:r>
        <w:rPr>
          <w:rFonts w:ascii="Times New Roman" w:hAnsi="Times New Roman" w:cs="Times New Roman" w:hint="eastAsia"/>
          <w:bCs/>
          <w:sz w:val="20"/>
          <w:szCs w:val="20"/>
        </w:rPr>
        <w:t>ZL</w:t>
      </w:r>
      <w:r w:rsidRPr="00742EA1">
        <w:rPr>
          <w:rFonts w:ascii="Times New Roman" w:hAnsi="Times New Roman" w:cs="Times New Roman"/>
          <w:bCs/>
          <w:sz w:val="20"/>
          <w:szCs w:val="20"/>
        </w:rPr>
        <w:t>”</w:t>
      </w:r>
      <w:r>
        <w:rPr>
          <w:rFonts w:ascii="Times New Roman" w:hAnsi="Times New Roman" w:cs="Times New Roman" w:hint="eastAsia"/>
          <w:bCs/>
          <w:sz w:val="20"/>
          <w:szCs w:val="20"/>
        </w:rPr>
        <w:t xml:space="preserve"> and </w:t>
      </w:r>
      <w:r>
        <w:rPr>
          <w:rFonts w:ascii="Times New Roman" w:hAnsi="Times New Roman" w:cs="Times New Roman"/>
          <w:bCs/>
          <w:sz w:val="20"/>
          <w:szCs w:val="20"/>
        </w:rPr>
        <w:t>“</w:t>
      </w:r>
      <w:r>
        <w:rPr>
          <w:rFonts w:ascii="Times New Roman" w:hAnsi="Times New Roman" w:cs="Times New Roman" w:hint="eastAsia"/>
          <w:bCs/>
          <w:sz w:val="20"/>
          <w:szCs w:val="20"/>
        </w:rPr>
        <w:t>4-16</w:t>
      </w:r>
      <w:r>
        <w:rPr>
          <w:rFonts w:ascii="Times New Roman" w:hAnsi="Times New Roman" w:cs="Times New Roman"/>
          <w:bCs/>
          <w:sz w:val="20"/>
          <w:szCs w:val="20"/>
        </w:rPr>
        <w:t>”</w:t>
      </w:r>
      <w:r w:rsidRPr="00742EA1">
        <w:rPr>
          <w:rFonts w:ascii="Times New Roman" w:hAnsi="Times New Roman" w:cs="Times New Roman"/>
          <w:sz w:val="20"/>
          <w:szCs w:val="20"/>
        </w:rPr>
        <w:t xml:space="preserve"> cotyledon growth in MS medium. </w:t>
      </w:r>
      <w:proofErr w:type="gramStart"/>
      <w:r w:rsidRPr="00742EA1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742EA1">
        <w:rPr>
          <w:rFonts w:ascii="Times New Roman" w:hAnsi="Times New Roman" w:cs="Times New Roman"/>
          <w:sz w:val="20"/>
          <w:szCs w:val="20"/>
        </w:rPr>
        <w:t>: cotyledon callus growth in MS medium.</w:t>
      </w:r>
    </w:p>
    <w:p w:rsidR="00B43519" w:rsidRDefault="00B43519" w:rsidP="00BB7D67">
      <w:pPr>
        <w:rPr>
          <w:rFonts w:ascii="Times New Roman" w:hAnsi="Times New Roman" w:cs="Times New Roman"/>
          <w:b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B7D67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0A700AD6" wp14:editId="075C5D1B">
            <wp:simplePos x="0" y="0"/>
            <wp:positionH relativeFrom="margin">
              <wp:posOffset>283845</wp:posOffset>
            </wp:positionH>
            <wp:positionV relativeFrom="margin">
              <wp:posOffset>199390</wp:posOffset>
            </wp:positionV>
            <wp:extent cx="4617085" cy="2461895"/>
            <wp:effectExtent l="0" t="0" r="0" b="0"/>
            <wp:wrapSquare wrapText="bothSides"/>
            <wp:docPr id="2" name="图片 2" descr="F:\2023年工作\榨菜转基因图片\1300-LKP2\international journal of biological macromoleculers\基因组检测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:\2023年工作\榨菜转基因图片\1300-LKP2\international journal of biological macromoleculers\基因组检测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17085" cy="2461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ind w:firstLineChars="200" w:firstLine="400"/>
        <w:rPr>
          <w:rFonts w:ascii="Times New Roman" w:hAnsi="Times New Roman" w:cs="Times New Roman"/>
          <w:bCs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0"/>
          <w:szCs w:val="20"/>
        </w:rPr>
      </w:pPr>
    </w:p>
    <w:p w:rsidR="00B43519" w:rsidRDefault="00B43519" w:rsidP="00B43519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0"/>
          <w:szCs w:val="20"/>
        </w:rPr>
      </w:pPr>
    </w:p>
    <w:p w:rsidR="00BB7D67" w:rsidRDefault="00BB7D67" w:rsidP="00B43519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0"/>
          <w:szCs w:val="20"/>
        </w:rPr>
      </w:pPr>
    </w:p>
    <w:p w:rsidR="00BB7D67" w:rsidRDefault="00BB7D67" w:rsidP="00B43519">
      <w:pPr>
        <w:adjustRightInd w:val="0"/>
        <w:snapToGrid w:val="0"/>
        <w:spacing w:line="400" w:lineRule="exact"/>
        <w:rPr>
          <w:rFonts w:ascii="Times New Roman" w:hAnsi="Times New Roman" w:cs="Times New Roman"/>
          <w:b/>
          <w:sz w:val="20"/>
          <w:szCs w:val="20"/>
        </w:rPr>
      </w:pPr>
    </w:p>
    <w:p w:rsidR="00B43519" w:rsidRPr="00B43519" w:rsidRDefault="00B43519" w:rsidP="00B43519">
      <w:pPr>
        <w:adjustRightInd w:val="0"/>
        <w:snapToGrid w:val="0"/>
        <w:spacing w:line="400" w:lineRule="exact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Fig.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BB7D67">
        <w:rPr>
          <w:rFonts w:ascii="Times New Roman" w:hAnsi="Times New Roman" w:cs="Times New Roman" w:hint="eastAsia"/>
          <w:b/>
          <w:sz w:val="20"/>
          <w:szCs w:val="20"/>
        </w:rPr>
        <w:t>2</w:t>
      </w:r>
      <w:r w:rsidR="002F5042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bookmarkStart w:id="2" w:name="_GoBack"/>
      <w:bookmarkEnd w:id="2"/>
      <w:r>
        <w:rPr>
          <w:rFonts w:ascii="Times New Roman" w:hAnsi="Times New Roman" w:cs="Times New Roman"/>
          <w:b/>
          <w:i/>
          <w:sz w:val="20"/>
          <w:szCs w:val="20"/>
        </w:rPr>
        <w:t>BjuLKP2</w:t>
      </w:r>
      <w:r>
        <w:rPr>
          <w:rFonts w:ascii="Times New Roman" w:hAnsi="Times New Roman" w:cs="Times New Roman"/>
          <w:b/>
          <w:sz w:val="20"/>
          <w:szCs w:val="20"/>
        </w:rPr>
        <w:t xml:space="preserve"> OE lines screening. </w:t>
      </w:r>
      <w:r>
        <w:rPr>
          <w:rFonts w:ascii="Times New Roman" w:hAnsi="Times New Roman" w:cs="Times New Roman"/>
          <w:sz w:val="20"/>
          <w:szCs w:val="20"/>
        </w:rPr>
        <w:t xml:space="preserve">M: Marker, W1: wild type 1, W2: wild type 2, W3: wild type 3, 1-44: 1-44 </w:t>
      </w:r>
      <w:r>
        <w:rPr>
          <w:rFonts w:ascii="Times New Roman" w:hAnsi="Times New Roman" w:cs="Times New Roman"/>
          <w:i/>
          <w:sz w:val="20"/>
          <w:szCs w:val="20"/>
        </w:rPr>
        <w:t xml:space="preserve">BjuLKP2 </w:t>
      </w:r>
      <w:r>
        <w:rPr>
          <w:rFonts w:ascii="Times New Roman" w:hAnsi="Times New Roman" w:cs="Times New Roman"/>
          <w:sz w:val="20"/>
          <w:szCs w:val="20"/>
        </w:rPr>
        <w:t>OE lines.</w:t>
      </w:r>
    </w:p>
    <w:sectPr w:rsidR="00B43519" w:rsidRPr="00B435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7D65" w:rsidRDefault="003C7D65" w:rsidP="00BB7D67">
      <w:r>
        <w:separator/>
      </w:r>
    </w:p>
  </w:endnote>
  <w:endnote w:type="continuationSeparator" w:id="0">
    <w:p w:rsidR="003C7D65" w:rsidRDefault="003C7D65" w:rsidP="00BB7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7D65" w:rsidRDefault="003C7D65" w:rsidP="00BB7D67">
      <w:r>
        <w:separator/>
      </w:r>
    </w:p>
  </w:footnote>
  <w:footnote w:type="continuationSeparator" w:id="0">
    <w:p w:rsidR="003C7D65" w:rsidRDefault="003C7D65" w:rsidP="00BB7D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7F5"/>
    <w:rsid w:val="000457F5"/>
    <w:rsid w:val="00273D81"/>
    <w:rsid w:val="002F5042"/>
    <w:rsid w:val="003C7D65"/>
    <w:rsid w:val="004D6B5A"/>
    <w:rsid w:val="00662A51"/>
    <w:rsid w:val="00B43519"/>
    <w:rsid w:val="00BB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435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B43519"/>
    <w:rPr>
      <w:color w:val="0000FF"/>
      <w:u w:val="single"/>
    </w:rPr>
  </w:style>
  <w:style w:type="table" w:customStyle="1" w:styleId="1">
    <w:name w:val="网格型1"/>
    <w:basedOn w:val="a1"/>
    <w:uiPriority w:val="39"/>
    <w:qFormat/>
    <w:rsid w:val="00B435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B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B7D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B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B7D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B7D6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7D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B435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qFormat/>
    <w:rsid w:val="00B43519"/>
    <w:rPr>
      <w:color w:val="0000FF"/>
      <w:u w:val="single"/>
    </w:rPr>
  </w:style>
  <w:style w:type="table" w:customStyle="1" w:styleId="1">
    <w:name w:val="网格型1"/>
    <w:basedOn w:val="a1"/>
    <w:uiPriority w:val="39"/>
    <w:qFormat/>
    <w:rsid w:val="00B43519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uiPriority w:val="99"/>
    <w:unhideWhenUsed/>
    <w:rsid w:val="00BB7D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B7D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B7D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B7D67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B7D6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B7D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39.100.233.196:81/46525f2b-19df-4089-a9f4-32fa208923eb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475</Words>
  <Characters>2711</Characters>
  <Application>Microsoft Office Word</Application>
  <DocSecurity>0</DocSecurity>
  <Lines>22</Lines>
  <Paragraphs>6</Paragraphs>
  <ScaleCrop>false</ScaleCrop>
  <Company>微软中国</Company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2023-09-23T05:00:00Z</dcterms:created>
  <dcterms:modified xsi:type="dcterms:W3CDTF">2024-03-20T12:42:00Z</dcterms:modified>
</cp:coreProperties>
</file>