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>Additional file 3: Quality assessment of included studies</w:t>
      </w:r>
    </w:p>
    <w:p>
      <w:pPr>
        <w:jc w:val="left"/>
        <w:rPr>
          <w:rFonts w:hint="default" w:ascii="Times New Roman" w:hAnsi="Times New Roman" w:cs="Times New Roman"/>
          <w:b/>
          <w:bCs/>
          <w:sz w:val="24"/>
          <w:szCs w:val="28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/>
          <w:bCs/>
        </w:rPr>
      </w:pPr>
    </w:p>
    <w:p>
      <w:pPr>
        <w:jc w:val="left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The Agency for Healthcare Research and Quality (AHRQ)</w:t>
      </w: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eTable 2. Quality assessment of cross-sectional and follow-up studies</w:t>
      </w:r>
    </w:p>
    <w:tbl>
      <w:tblPr>
        <w:tblStyle w:val="4"/>
        <w:tblpPr w:leftFromText="180" w:rightFromText="180" w:vertAnchor="text" w:horzAnchor="page" w:tblpX="239" w:tblpY="10"/>
        <w:tblOverlap w:val="never"/>
        <w:tblW w:w="1656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3"/>
        <w:gridCol w:w="1325"/>
        <w:gridCol w:w="1236"/>
        <w:gridCol w:w="1171"/>
        <w:gridCol w:w="1041"/>
        <w:gridCol w:w="1211"/>
        <w:gridCol w:w="1210"/>
        <w:gridCol w:w="1126"/>
        <w:gridCol w:w="1137"/>
        <w:gridCol w:w="1235"/>
        <w:gridCol w:w="1391"/>
        <w:gridCol w:w="1392"/>
        <w:gridCol w:w="10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9" w:hRule="atLeast"/>
          <w:jc w:val="center"/>
        </w:trPr>
        <w:tc>
          <w:tcPr>
            <w:tcW w:w="20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Citation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Define the source of information (survey, record review)</w:t>
            </w:r>
          </w:p>
        </w:tc>
        <w:tc>
          <w:tcPr>
            <w:tcW w:w="12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List inclusion and exclusion criteria for exposed and unexposed subjects (cases and controls) or refer to previous publications</w:t>
            </w:r>
          </w:p>
        </w:tc>
        <w:tc>
          <w:tcPr>
            <w:tcW w:w="117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Indicate time period used for identifying patients</w:t>
            </w:r>
          </w:p>
        </w:tc>
        <w:tc>
          <w:tcPr>
            <w:tcW w:w="104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Indicate whether or not subjects were consecutive if not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population-based</w:t>
            </w:r>
          </w:p>
        </w:tc>
        <w:tc>
          <w:tcPr>
            <w:tcW w:w="12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Indicate if evaluators of subjective components of study were masked to other aspects of the status of the participants</w:t>
            </w:r>
          </w:p>
        </w:tc>
        <w:tc>
          <w:tcPr>
            <w:tcW w:w="12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Describe any assessments undertaken for quality assurance purposes (e.g., test/retest of primary outcome measurements)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Explain any patient exclusions from analysis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Describe how confounding was assessed and/or controlled.</w:t>
            </w:r>
          </w:p>
        </w:tc>
        <w:tc>
          <w:tcPr>
            <w:tcW w:w="12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 applicable, explain how missing data were handled in the analysis</w:t>
            </w:r>
          </w:p>
        </w:tc>
        <w:tc>
          <w:tcPr>
            <w:tcW w:w="139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Summarize patient response rates and completeness of data collection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Clarify what follow-up, if any, was expected and the percentage of patients for which incomplete data or follow-up was obtained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 scores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Hongling He et al., 2003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Hongling He et al., 2003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Meiru Xu et al., 2003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Chi-wai Leung et al., 2004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§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Xiaoying Lu et al., 2005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Danielle Remmerswaal et al., 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Ginny Sprang et al., 2012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Shaowen Li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Yue Wang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Angelo Pietrobelli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Jinsong Zhang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Kaiheng Zhu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Kumar Saurabh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Benjamin Oosterhoff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Marco Colizzi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Shengyi Liu et al., 2020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06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Shanshan Shao et al., 2020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</w:tbl>
    <w:p>
      <w:pPr>
        <w:rPr>
          <w:rFonts w:hint="default" w:ascii="Times New Roman" w:hAnsi="Times New Roman" w:eastAsia="宋体" w:cs="Times New Roman"/>
          <w:color w:val="auto"/>
          <w:sz w:val="18"/>
          <w:szCs w:val="18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en-US" w:eastAsia="zh-CN"/>
        </w:rPr>
        <w:t xml:space="preserve">Note: </w:t>
      </w:r>
      <w:r>
        <w:rPr>
          <w:rFonts w:hint="default" w:ascii="Times New Roman" w:hAnsi="Times New Roman" w:eastAsia="宋体" w:cs="Times New Roman"/>
          <w:i w:val="0"/>
          <w:color w:val="auto"/>
          <w:kern w:val="0"/>
          <w:sz w:val="18"/>
          <w:szCs w:val="18"/>
          <w:u w:val="none"/>
          <w:vertAlign w:val="superscript"/>
          <w:lang w:val="en-US" w:eastAsia="zh-CN" w:bidi="ar"/>
        </w:rPr>
        <w:t xml:space="preserve">* </w:t>
      </w:r>
      <w:r>
        <w:rPr>
          <w:rFonts w:hint="default" w:ascii="Times New Roman" w:hAnsi="Times New Roman" w:cs="Times New Roman"/>
          <w:color w:val="auto"/>
          <w:sz w:val="18"/>
          <w:szCs w:val="18"/>
        </w:rPr>
        <w:t>a combination of quantitative and qualitative approaches</w:t>
      </w:r>
    </w:p>
    <w:p>
      <w:pPr>
        <w:ind w:firstLine="540" w:firstLineChars="300"/>
        <w:jc w:val="left"/>
        <w:rPr>
          <w:rFonts w:hint="default" w:ascii="Times New Roman" w:hAnsi="Times New Roman" w:cs="Times New Roman"/>
          <w:b/>
          <w:bCs/>
          <w:sz w:val="18"/>
          <w:szCs w:val="18"/>
          <w:vertAlign w:val="baseline"/>
          <w:lang w:val="en-US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18"/>
          <w:szCs w:val="18"/>
          <w:u w:val="none"/>
          <w:vertAlign w:val="superscript"/>
          <w:lang w:val="en-US" w:eastAsia="zh-CN" w:bidi="ar"/>
        </w:rPr>
        <w:t>§</w:t>
      </w: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18"/>
          <w:szCs w:val="18"/>
          <w:u w:val="none"/>
          <w:vertAlign w:val="baseline"/>
          <w:lang w:val="en-US" w:eastAsia="zh-CN" w:bidi="ar"/>
        </w:rPr>
        <w:t xml:space="preserve"> follow-up study</w:t>
      </w: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eastAsia" w:eastAsia="宋体"/>
          <w:b/>
          <w:bCs/>
          <w:sz w:val="21"/>
          <w:szCs w:val="21"/>
          <w:lang w:val="en-US" w:eastAsia="zh-CN"/>
        </w:rPr>
      </w:pPr>
      <w:r>
        <w:rPr>
          <w:rFonts w:ascii="Times New Roman" w:hAnsi="Times New Roman"/>
          <w:b/>
          <w:bCs/>
          <w:sz w:val="21"/>
          <w:szCs w:val="21"/>
        </w:rPr>
        <w:t>Newcastle-Ottawa Scale</w:t>
      </w:r>
      <w:r>
        <w:rPr>
          <w:rFonts w:hint="eastAsia" w:ascii="Times New Roman" w:hAnsi="Times New Roman"/>
          <w:b/>
          <w:bCs/>
          <w:sz w:val="21"/>
          <w:szCs w:val="21"/>
          <w:lang w:val="en-US" w:eastAsia="zh-CN"/>
        </w:rPr>
        <w:t xml:space="preserve"> (</w:t>
      </w:r>
      <w:r>
        <w:rPr>
          <w:rFonts w:ascii="Times New Roman" w:hAnsi="Times New Roman"/>
          <w:b/>
          <w:bCs/>
          <w:sz w:val="21"/>
          <w:szCs w:val="21"/>
        </w:rPr>
        <w:t>NOS</w:t>
      </w:r>
      <w:r>
        <w:rPr>
          <w:rFonts w:hint="eastAsia" w:ascii="Times New Roman" w:hAnsi="Times New Roman"/>
          <w:b/>
          <w:bCs/>
          <w:sz w:val="21"/>
          <w:szCs w:val="21"/>
          <w:lang w:val="en-US" w:eastAsia="zh-CN"/>
        </w:rPr>
        <w:t>)</w:t>
      </w:r>
    </w:p>
    <w:p>
      <w:pPr>
        <w:tabs>
          <w:tab w:val="left" w:pos="11534"/>
        </w:tabs>
        <w:bidi w:val="0"/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eTable 3.  Quality assessment of case-control study</w:t>
      </w:r>
    </w:p>
    <w:tbl>
      <w:tblPr>
        <w:tblStyle w:val="4"/>
        <w:tblW w:w="1466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6"/>
        <w:gridCol w:w="1568"/>
        <w:gridCol w:w="1628"/>
        <w:gridCol w:w="1108"/>
        <w:gridCol w:w="1158"/>
        <w:gridCol w:w="597"/>
        <w:gridCol w:w="1398"/>
        <w:gridCol w:w="597"/>
        <w:gridCol w:w="2740"/>
        <w:gridCol w:w="998"/>
        <w:gridCol w:w="598"/>
        <w:gridCol w:w="5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4029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1A1A1A"/>
                <w:kern w:val="0"/>
                <w:sz w:val="21"/>
                <w:szCs w:val="21"/>
                <w:u w:val="none"/>
                <w:lang w:val="en-US" w:eastAsia="zh-CN" w:bidi="ar"/>
              </w:rPr>
              <w:t>Selection</w:t>
            </w:r>
          </w:p>
        </w:tc>
        <w:tc>
          <w:tcPr>
            <w:tcW w:w="96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1A1A1A"/>
                <w:kern w:val="0"/>
                <w:sz w:val="21"/>
                <w:szCs w:val="21"/>
                <w:u w:val="none"/>
                <w:lang w:val="en-US" w:eastAsia="zh-CN" w:bidi="ar"/>
              </w:rPr>
              <w:t>Comparability</w:t>
            </w:r>
          </w:p>
        </w:tc>
        <w:tc>
          <w:tcPr>
            <w:tcW w:w="96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1A1A1A"/>
                <w:kern w:val="0"/>
                <w:sz w:val="21"/>
                <w:szCs w:val="21"/>
                <w:u w:val="none"/>
                <w:lang w:val="en-US" w:eastAsia="zh-CN" w:bidi="ar"/>
              </w:rPr>
              <w:t>Exposure</w:t>
            </w:r>
          </w:p>
        </w:tc>
        <w:tc>
          <w:tcPr>
            <w:tcW w:w="96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scores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 the case definition adequate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Representativeness of the cases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Selection of Controls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1A1A1A"/>
                <w:kern w:val="0"/>
                <w:sz w:val="21"/>
                <w:szCs w:val="21"/>
                <w:u w:val="none"/>
                <w:lang w:val="en-US" w:eastAsia="zh-CN" w:bidi="ar"/>
              </w:rPr>
              <w:t>Definition of Controls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1A1A1A"/>
                <w:kern w:val="0"/>
                <w:sz w:val="21"/>
                <w:szCs w:val="21"/>
                <w:u w:val="none"/>
                <w:lang w:val="en-US" w:eastAsia="zh-CN" w:bidi="ar"/>
              </w:rPr>
              <w:t>Ascertainment of exposure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1A1A1A"/>
                <w:kern w:val="0"/>
                <w:sz w:val="21"/>
                <w:szCs w:val="21"/>
                <w:u w:val="none"/>
                <w:lang w:val="en-US" w:eastAsia="zh-CN" w:bidi="ar"/>
              </w:rPr>
              <w:t>Same method of ascertainment for cases and controls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1A1A1A"/>
                <w:kern w:val="0"/>
                <w:sz w:val="21"/>
                <w:szCs w:val="21"/>
                <w:u w:val="none"/>
                <w:lang w:val="en-US" w:eastAsia="zh-CN" w:bidi="ar"/>
              </w:rPr>
              <w:t>Non-Response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1A1A1A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LISA A. PAGE et al., 2011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</w:tbl>
    <w:p>
      <w:pPr>
        <w:rPr>
          <w:rFonts w:hint="default" w:ascii="Times New Roman" w:hAnsi="Times New Roman" w:eastAsia="宋体" w:cs="Times New Roman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Note: </w:t>
      </w:r>
      <w:r>
        <w:rPr>
          <w:rFonts w:hint="default" w:ascii="Times New Roman" w:hAnsi="Times New Roman" w:eastAsia="宋体" w:cs="Times New Roman"/>
          <w:i w:val="0"/>
          <w:color w:val="auto"/>
          <w:kern w:val="0"/>
          <w:sz w:val="21"/>
          <w:szCs w:val="21"/>
          <w:u w:val="none"/>
          <w:vertAlign w:val="superscript"/>
          <w:lang w:val="en-US" w:eastAsia="zh-CN" w:bidi="ar"/>
        </w:rPr>
        <w:t xml:space="preserve">* 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a combination of quantitative and qualitative approaches</w:t>
      </w:r>
    </w:p>
    <w:p/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tabs>
          <w:tab w:val="left" w:pos="11534"/>
        </w:tabs>
        <w:bidi w:val="0"/>
        <w:jc w:val="left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Critical Appraisal Skills Programme (CASP)</w:t>
      </w:r>
    </w:p>
    <w:p>
      <w:pPr>
        <w:tabs>
          <w:tab w:val="left" w:pos="11534"/>
        </w:tabs>
        <w:bidi w:val="0"/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lang w:val="en-US" w:eastAsia="zh-CN"/>
        </w:rPr>
        <w:t>eTable 4.  Quality assessment of qualitative studies</w:t>
      </w:r>
    </w:p>
    <w:bookmarkEnd w:id="0"/>
    <w:tbl>
      <w:tblPr>
        <w:tblStyle w:val="4"/>
        <w:tblW w:w="15731" w:type="dxa"/>
        <w:tblInd w:w="-2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7"/>
        <w:gridCol w:w="1016"/>
        <w:gridCol w:w="993"/>
        <w:gridCol w:w="1234"/>
        <w:gridCol w:w="1040"/>
        <w:gridCol w:w="1029"/>
        <w:gridCol w:w="1234"/>
        <w:gridCol w:w="281"/>
        <w:gridCol w:w="1510"/>
        <w:gridCol w:w="1114"/>
        <w:gridCol w:w="1429"/>
        <w:gridCol w:w="240"/>
        <w:gridCol w:w="1549"/>
        <w:gridCol w:w="10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Section A: Are the results valid?</w:t>
            </w:r>
          </w:p>
        </w:tc>
        <w:tc>
          <w:tcPr>
            <w:tcW w:w="28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Section B: What are the results? 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Section C: Will the results help locally? 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 scores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3" w:hRule="atLeast"/>
        </w:trPr>
        <w:tc>
          <w:tcPr>
            <w:tcW w:w="199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Citation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Was there a clear statement of the aims of the research?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Is a qualitative methodology appropriate?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Was the research design appropriate to address the aims of the research?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Was the recruitment strategy appropriate to the aims of the research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Was the data collected in a way that addressed the research issue? 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Has the relationship between researcher and participants been adequately considered? </w:t>
            </w:r>
          </w:p>
        </w:tc>
        <w:tc>
          <w:tcPr>
            <w:tcW w:w="28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Have ethical issues been taken into consideration?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Was the data analysis sufficiently rigorous? </w:t>
            </w:r>
          </w:p>
        </w:tc>
        <w:tc>
          <w:tcPr>
            <w:tcW w:w="142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Is there a clear statement of findings? 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How valuable is the research?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Albert M. Li et al., 2004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Sophia SC Chan et al., 2006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Sophia SC Chan et al., 2007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Donna Koller et al., 2010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LISA A. PAGE et al., 2011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Ginny Sprang et al., 2012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Marco Colizzi et al., 2020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99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Donna F. Koller et al., 2015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</w:tbl>
    <w:p>
      <w:pPr>
        <w:rPr>
          <w:rFonts w:hint="eastAsia" w:ascii="Times New Roman" w:hAnsi="Times New Roman" w:cs="Times New Roman"/>
          <w:color w:val="auto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en-US" w:eastAsia="zh-CN"/>
        </w:rPr>
        <w:t xml:space="preserve">Note: </w:t>
      </w:r>
      <w:r>
        <w:rPr>
          <w:rFonts w:hint="default" w:ascii="Times New Roman" w:hAnsi="Times New Roman" w:eastAsia="宋体" w:cs="Times New Roman"/>
          <w:i w:val="0"/>
          <w:color w:val="auto"/>
          <w:kern w:val="0"/>
          <w:sz w:val="18"/>
          <w:szCs w:val="18"/>
          <w:u w:val="none"/>
          <w:vertAlign w:val="superscript"/>
          <w:lang w:val="en-US" w:eastAsia="zh-CN" w:bidi="ar"/>
        </w:rPr>
        <w:t xml:space="preserve">* </w:t>
      </w:r>
      <w:r>
        <w:rPr>
          <w:rFonts w:hint="default" w:ascii="Times New Roman" w:hAnsi="Times New Roman" w:cs="Times New Roman"/>
          <w:color w:val="auto"/>
          <w:sz w:val="18"/>
          <w:szCs w:val="18"/>
        </w:rPr>
        <w:t>a combination of quantitative and qualitative approaches</w:t>
      </w:r>
      <w:r>
        <w:rPr>
          <w:rFonts w:hint="eastAsia" w:ascii="Times New Roman" w:hAnsi="Times New Roman" w:cs="Times New Roman"/>
          <w:color w:val="auto"/>
          <w:sz w:val="18"/>
          <w:szCs w:val="18"/>
          <w:lang w:val="en-US" w:eastAsia="zh-CN"/>
        </w:rPr>
        <w:t>.</w:t>
      </w:r>
    </w:p>
    <w:p/>
    <w:sectPr>
      <w:footerReference r:id="rId3" w:type="default"/>
      <w:pgSz w:w="16838" w:h="11906" w:orient="landscape"/>
      <w:pgMar w:top="709" w:right="709" w:bottom="709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C7C46"/>
    <w:rsid w:val="34DC7C46"/>
    <w:rsid w:val="353017F8"/>
    <w:rsid w:val="6629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2020-07-10T11:54:00Z</dcterms:created>
  <dc:creator>Wang Chenran</dc:creator>
  <cp:lastModifiedBy>Wang Chenran</cp:lastModifiedBy>
  <dcterms:modified xsi:type="dcterms:W3CDTF">2020-07-10T12:42:33Z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