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0A960" w14:textId="77777777" w:rsidR="00F2386F" w:rsidRPr="00057835" w:rsidRDefault="00F2386F" w:rsidP="00F2386F">
      <w:pPr>
        <w:pStyle w:val="Titre2"/>
        <w:spacing w:before="0" w:line="480" w:lineRule="auto"/>
      </w:pPr>
      <w:r w:rsidRPr="00057835">
        <w:t>Supplementary material</w:t>
      </w:r>
    </w:p>
    <w:p w14:paraId="051E9189" w14:textId="77777777" w:rsidR="00F2386F" w:rsidRPr="00057835" w:rsidRDefault="00F2386F" w:rsidP="00F2386F">
      <w:pPr>
        <w:spacing w:after="0" w:line="480" w:lineRule="auto"/>
        <w:jc w:val="both"/>
      </w:pPr>
      <w:r w:rsidRPr="00057835">
        <w:t xml:space="preserve">In this appendix we provide an in-depth description of the model equations and our simulations. In particular, we explain how we use a number of assumptions on the parameters to simplify the computation of the model equilibrium. </w:t>
      </w:r>
    </w:p>
    <w:p w14:paraId="00C1D717" w14:textId="77777777" w:rsidR="00F2386F" w:rsidRPr="00057835" w:rsidRDefault="00F2386F" w:rsidP="00F2386F">
      <w:pPr>
        <w:spacing w:after="0" w:line="480" w:lineRule="auto"/>
        <w:jc w:val="both"/>
      </w:pPr>
      <w:r w:rsidRPr="00057835">
        <w:t>The general model equations for an arbitrary number of trematode species are rather complex. This can be seen by counting the number of dynamical variables. For the model with one trematode species, there are 4 variables (</w:t>
      </w:r>
      <w:r w:rsidRPr="00057835">
        <w:rPr>
          <w:i/>
          <w:iCs/>
        </w:rPr>
        <w:t>M</w:t>
      </w:r>
      <w:r w:rsidRPr="00057835">
        <w:t xml:space="preserve">, </w:t>
      </w:r>
      <w:r w:rsidRPr="00057835">
        <w:rPr>
          <w:i/>
          <w:iCs/>
        </w:rPr>
        <w:t>S</w:t>
      </w:r>
      <w:r w:rsidRPr="00057835">
        <w:t xml:space="preserve">, </w:t>
      </w:r>
      <w:r w:rsidRPr="00057835">
        <w:rPr>
          <w:i/>
          <w:iCs/>
        </w:rPr>
        <w:t>I</w:t>
      </w:r>
      <w:r w:rsidRPr="00057835">
        <w:t xml:space="preserve">, </w:t>
      </w:r>
      <w:r w:rsidRPr="00057835">
        <w:rPr>
          <w:i/>
          <w:iCs/>
        </w:rPr>
        <w:t>C</w:t>
      </w:r>
      <w:r w:rsidRPr="00057835">
        <w:t>). In the case of two trematode species, there are 8 variables (2*</w:t>
      </w:r>
      <w:r w:rsidRPr="00057835">
        <w:rPr>
          <w:i/>
          <w:iCs/>
        </w:rPr>
        <w:t>M</w:t>
      </w:r>
      <w:r w:rsidRPr="00057835">
        <w:t>, 1*</w:t>
      </w:r>
      <w:r w:rsidRPr="00057835">
        <w:rPr>
          <w:i/>
          <w:iCs/>
        </w:rPr>
        <w:t>S</w:t>
      </w:r>
      <w:r w:rsidRPr="00057835">
        <w:t>, 3*</w:t>
      </w:r>
      <w:r w:rsidRPr="00057835">
        <w:rPr>
          <w:i/>
          <w:iCs/>
        </w:rPr>
        <w:t>I</w:t>
      </w:r>
      <w:r w:rsidRPr="00057835">
        <w:t>, 2*</w:t>
      </w:r>
      <w:r w:rsidRPr="00057835">
        <w:rPr>
          <w:i/>
          <w:iCs/>
        </w:rPr>
        <w:t>C</w:t>
      </w:r>
      <w:r w:rsidRPr="00057835">
        <w:t>). In the general case of n trematode species, there are 2</w:t>
      </w:r>
      <w:r w:rsidRPr="00057835">
        <w:rPr>
          <w:i/>
          <w:iCs/>
          <w:vertAlign w:val="superscript"/>
        </w:rPr>
        <w:t>n</w:t>
      </w:r>
      <w:r w:rsidRPr="00057835">
        <w:t xml:space="preserve"> +2</w:t>
      </w:r>
      <w:r w:rsidRPr="00057835">
        <w:rPr>
          <w:i/>
          <w:iCs/>
        </w:rPr>
        <w:t>n</w:t>
      </w:r>
      <w:r w:rsidRPr="00057835">
        <w:t xml:space="preserve"> variables (</w:t>
      </w:r>
      <w:r w:rsidRPr="00057835">
        <w:rPr>
          <w:i/>
          <w:iCs/>
        </w:rPr>
        <w:t>n</w:t>
      </w:r>
      <w:r w:rsidRPr="00057835">
        <w:t>*</w:t>
      </w:r>
      <w:r w:rsidRPr="00057835">
        <w:rPr>
          <w:i/>
          <w:iCs/>
        </w:rPr>
        <w:t>M</w:t>
      </w:r>
      <w:r w:rsidRPr="00057835">
        <w:t>, 1*</w:t>
      </w:r>
      <w:r w:rsidRPr="00057835">
        <w:rPr>
          <w:i/>
          <w:iCs/>
        </w:rPr>
        <w:t>S</w:t>
      </w:r>
      <w:r w:rsidRPr="00057835">
        <w:t>, (2</w:t>
      </w:r>
      <w:r w:rsidRPr="00057835">
        <w:rPr>
          <w:i/>
          <w:iCs/>
          <w:vertAlign w:val="superscript"/>
        </w:rPr>
        <w:t>n</w:t>
      </w:r>
      <w:r w:rsidRPr="00057835">
        <w:t xml:space="preserve">-1)*I, </w:t>
      </w:r>
      <w:r w:rsidRPr="00057835">
        <w:rPr>
          <w:i/>
          <w:iCs/>
        </w:rPr>
        <w:t>n</w:t>
      </w:r>
      <w:r w:rsidRPr="00057835">
        <w:t>*</w:t>
      </w:r>
      <w:r w:rsidRPr="00057835">
        <w:rPr>
          <w:i/>
          <w:iCs/>
        </w:rPr>
        <w:t>C</w:t>
      </w:r>
      <w:r w:rsidRPr="00057835">
        <w:t xml:space="preserve">). For example, for </w:t>
      </w:r>
      <w:r w:rsidRPr="00057835">
        <w:rPr>
          <w:i/>
          <w:iCs/>
        </w:rPr>
        <w:t>n</w:t>
      </w:r>
      <w:r w:rsidRPr="00057835">
        <w:t xml:space="preserve"> = 10 there are 1044 variables, and hence we would have to solve a system of 1044 equations to find the equilibrium densities. </w:t>
      </w:r>
    </w:p>
    <w:p w14:paraId="2765482D" w14:textId="0AD5D783" w:rsidR="00F2386F" w:rsidRPr="00057835" w:rsidRDefault="00F2386F" w:rsidP="00F2386F">
      <w:pPr>
        <w:spacing w:after="0" w:line="480" w:lineRule="auto"/>
        <w:jc w:val="both"/>
      </w:pPr>
      <w:r w:rsidRPr="00057835">
        <w:rPr>
          <w:noProof/>
        </w:rPr>
        <w:drawing>
          <wp:anchor distT="0" distB="0" distL="114300" distR="114300" simplePos="0" relativeHeight="251652096" behindDoc="0" locked="0" layoutInCell="1" allowOverlap="1" wp14:anchorId="77151E2E" wp14:editId="29E8713B">
            <wp:simplePos x="0" y="0"/>
            <wp:positionH relativeFrom="column">
              <wp:posOffset>1413510</wp:posOffset>
            </wp:positionH>
            <wp:positionV relativeFrom="paragraph">
              <wp:posOffset>2393950</wp:posOffset>
            </wp:positionV>
            <wp:extent cx="2470150" cy="2263775"/>
            <wp:effectExtent l="0" t="0" r="0" b="0"/>
            <wp:wrapTopAndBottom/>
            <wp:docPr id="842190447" name="Image 1" descr="Une image contenant texte, écriture manuscrite,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90447" name="Image 1" descr="Une image contenant texte, écriture manuscrite, Police, nombre&#10;&#10;Description générée automatiquement"/>
                    <pic:cNvPicPr/>
                  </pic:nvPicPr>
                  <pic:blipFill>
                    <a:blip r:embed="rId5">
                      <a:extLst>
                        <a:ext uri="{28A0092B-C50C-407E-A947-70E740481C1C}">
                          <a14:useLocalDpi xmlns:a14="http://schemas.microsoft.com/office/drawing/2010/main" val="0"/>
                        </a:ext>
                      </a:extLst>
                    </a:blip>
                    <a:stretch>
                      <a:fillRect/>
                    </a:stretch>
                  </pic:blipFill>
                  <pic:spPr>
                    <a:xfrm>
                      <a:off x="0" y="0"/>
                      <a:ext cx="2470150" cy="226377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7456" behindDoc="0" locked="0" layoutInCell="1" allowOverlap="1" wp14:anchorId="32AFDC82" wp14:editId="2E6243F5">
                <wp:simplePos x="0" y="0"/>
                <wp:positionH relativeFrom="column">
                  <wp:posOffset>4204970</wp:posOffset>
                </wp:positionH>
                <wp:positionV relativeFrom="paragraph">
                  <wp:posOffset>3069590</wp:posOffset>
                </wp:positionV>
                <wp:extent cx="429895" cy="320675"/>
                <wp:effectExtent l="0" t="0" r="0" b="0"/>
                <wp:wrapSquare wrapText="bothSides"/>
                <wp:docPr id="1476047953"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320675"/>
                        </a:xfrm>
                        <a:prstGeom prst="rect">
                          <a:avLst/>
                        </a:prstGeom>
                        <a:solidFill>
                          <a:srgbClr val="FFFFFF"/>
                        </a:solidFill>
                        <a:ln w="9525">
                          <a:noFill/>
                          <a:miter lim="800000"/>
                          <a:headEnd/>
                          <a:tailEnd/>
                        </a:ln>
                      </wps:spPr>
                      <wps:txbx>
                        <w:txbxContent>
                          <w:p w14:paraId="3FE734A1" w14:textId="77777777" w:rsidR="00F2386F" w:rsidRPr="00BF0F7B" w:rsidRDefault="00F2386F" w:rsidP="00F2386F">
                            <w:pPr>
                              <w:rPr>
                                <w:lang w:val="fr-FR"/>
                              </w:rPr>
                            </w:pPr>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AFDC82" id="_x0000_t202" coordsize="21600,21600" o:spt="202" path="m,l,21600r21600,l21600,xe">
                <v:stroke joinstyle="miter"/>
                <v:path gradientshapeok="t" o:connecttype="rect"/>
              </v:shapetype>
              <v:shape id="Zone de texte 4" o:spid="_x0000_s1026" type="#_x0000_t202" style="position:absolute;left:0;text-align:left;margin-left:331.1pt;margin-top:241.7pt;width:33.85pt;height:25.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" stroked="f">
                <v:textbox>
                  <w:txbxContent>
                    <w:p w14:paraId="3FE734A1" w14:textId="77777777" w:rsidR="00F2386F" w:rsidRPr="00BF0F7B" w:rsidRDefault="00F2386F" w:rsidP="00F2386F">
                      <w:pPr>
                        <w:rPr>
                          <w:lang w:val="fr-FR"/>
                        </w:rPr>
                      </w:pPr>
                      <w:r>
                        <w:t>(1)</w:t>
                      </w:r>
                    </w:p>
                  </w:txbxContent>
                </v:textbox>
                <w10:wrap type="square"/>
              </v:shape>
            </w:pict>
          </mc:Fallback>
        </mc:AlternateContent>
      </w:r>
      <w:r w:rsidRPr="00057835">
        <w:t xml:space="preserve">The model complexity, and the computation of the equilibrium, can be drastically reduced by assuming that different trematode species share many trait values. We illustrate this approach for the case of two trematode species. As explained in the main text, we model the </w:t>
      </w:r>
      <w:r w:rsidRPr="00057835">
        <w:rPr>
          <w:i/>
          <w:iCs/>
        </w:rPr>
        <w:t>Schistosoma</w:t>
      </w:r>
      <w:r w:rsidRPr="00057835">
        <w:t xml:space="preserve"> species (the first species) to be an inferior competitor. To do so, we assume that snails that are infected by both trematode species only shed cercariae of the second species, with the same rate </w:t>
      </w:r>
      <w:r w:rsidRPr="00057835">
        <w:rPr>
          <w:i/>
          <w:iCs/>
        </w:rPr>
        <w:t>s</w:t>
      </w:r>
      <w:r w:rsidRPr="00057835">
        <w:rPr>
          <w:i/>
          <w:iCs/>
          <w:vertAlign w:val="subscript"/>
        </w:rPr>
        <w:t>2</w:t>
      </w:r>
      <w:r w:rsidRPr="00057835">
        <w:t xml:space="preserve"> as for snails that are only infected by the second species. This gives the following model equations :</w:t>
      </w:r>
    </w:p>
    <w:p w14:paraId="738EB060" w14:textId="77777777" w:rsidR="00F2386F" w:rsidRPr="00057835" w:rsidRDefault="00F2386F" w:rsidP="00F2386F">
      <w:pPr>
        <w:spacing w:after="0" w:line="480" w:lineRule="auto"/>
        <w:jc w:val="both"/>
      </w:pPr>
    </w:p>
    <w:p w14:paraId="441149E6" w14:textId="407B1CE6" w:rsidR="00F2386F" w:rsidRPr="00057835" w:rsidRDefault="00F2386F" w:rsidP="00F2386F">
      <w:pPr>
        <w:spacing w:after="0" w:line="480" w:lineRule="auto"/>
        <w:jc w:val="both"/>
      </w:pPr>
      <w:r w:rsidRPr="00057835">
        <w:rPr>
          <w:rFonts w:ascii="Times New Roman" w:hAnsi="Times New Roman" w:cs="Times New Roman"/>
          <w:noProof/>
          <w:color w:val="747474" w:themeColor="background2" w:themeShade="80"/>
        </w:rPr>
        <w:lastRenderedPageBreak/>
        <w:drawing>
          <wp:anchor distT="0" distB="0" distL="114300" distR="114300" simplePos="0" relativeHeight="251654144" behindDoc="0" locked="0" layoutInCell="1" allowOverlap="1" wp14:anchorId="3E167734" wp14:editId="3C6C566F">
            <wp:simplePos x="0" y="0"/>
            <wp:positionH relativeFrom="column">
              <wp:posOffset>1627505</wp:posOffset>
            </wp:positionH>
            <wp:positionV relativeFrom="paragraph">
              <wp:posOffset>838835</wp:posOffset>
            </wp:positionV>
            <wp:extent cx="1337945" cy="1344295"/>
            <wp:effectExtent l="0" t="0" r="0" b="0"/>
            <wp:wrapTopAndBottom/>
            <wp:docPr id="1868198377" name="Image 1" descr="Une image contenant texte, Police, blanc, écriture manuscri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198377" name="Image 1" descr="Une image contenant texte, Police, blanc, écriture manuscrite&#10;&#10;Description générée automatiquement"/>
                    <pic:cNvPicPr/>
                  </pic:nvPicPr>
                  <pic:blipFill>
                    <a:blip r:embed="rId6">
                      <a:extLst>
                        <a:ext uri="{28A0092B-C50C-407E-A947-70E740481C1C}">
                          <a14:useLocalDpi xmlns:a14="http://schemas.microsoft.com/office/drawing/2010/main" val="0"/>
                        </a:ext>
                      </a:extLst>
                    </a:blip>
                    <a:stretch>
                      <a:fillRect/>
                    </a:stretch>
                  </pic:blipFill>
                  <pic:spPr>
                    <a:xfrm>
                      <a:off x="0" y="0"/>
                      <a:ext cx="1337945" cy="1344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6432" behindDoc="0" locked="0" layoutInCell="1" allowOverlap="1" wp14:anchorId="2A348DB3" wp14:editId="5944D3B8">
                <wp:simplePos x="0" y="0"/>
                <wp:positionH relativeFrom="column">
                  <wp:posOffset>4131310</wp:posOffset>
                </wp:positionH>
                <wp:positionV relativeFrom="paragraph">
                  <wp:posOffset>1099185</wp:posOffset>
                </wp:positionV>
                <wp:extent cx="429895" cy="320675"/>
                <wp:effectExtent l="0" t="0" r="0" b="0"/>
                <wp:wrapSquare wrapText="bothSides"/>
                <wp:docPr id="1788912248"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320675"/>
                        </a:xfrm>
                        <a:prstGeom prst="rect">
                          <a:avLst/>
                        </a:prstGeom>
                        <a:solidFill>
                          <a:srgbClr val="FFFFFF"/>
                        </a:solidFill>
                        <a:ln w="9525">
                          <a:noFill/>
                          <a:miter lim="800000"/>
                          <a:headEnd/>
                          <a:tailEnd/>
                        </a:ln>
                      </wps:spPr>
                      <wps:txbx>
                        <w:txbxContent>
                          <w:p w14:paraId="1E8D2E52" w14:textId="77777777" w:rsidR="00F2386F" w:rsidRPr="00BF0F7B" w:rsidRDefault="00F2386F" w:rsidP="00F2386F">
                            <w:pPr>
                              <w:rPr>
                                <w:lang w:val="fr-FR"/>
                              </w:rPr>
                            </w:pPr>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48DB3" id="Zone de texte 3" o:spid="_x0000_s1027" type="#_x0000_t202" style="position:absolute;left:0;text-align:left;margin-left:325.3pt;margin-top:86.55pt;width:33.85pt;height:25.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" stroked="f">
                <v:textbox>
                  <w:txbxContent>
                    <w:p w14:paraId="1E8D2E52" w14:textId="77777777" w:rsidR="00F2386F" w:rsidRPr="00BF0F7B" w:rsidRDefault="00F2386F" w:rsidP="00F2386F">
                      <w:pPr>
                        <w:rPr>
                          <w:lang w:val="fr-FR"/>
                        </w:rPr>
                      </w:pPr>
                      <w:r>
                        <w:t>(2)</w:t>
                      </w:r>
                    </w:p>
                  </w:txbxContent>
                </v:textbox>
                <w10:wrap type="square"/>
              </v:shape>
            </w:pict>
          </mc:Fallback>
        </mc:AlternateContent>
      </w:r>
      <w:r w:rsidRPr="00057835">
        <w:t>At this point we introduce the assumption that different trematode species have the same value for most model parameters. Concretely, we define common parameters :</w:t>
      </w:r>
    </w:p>
    <w:p w14:paraId="664CD7E4"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p>
    <w:p w14:paraId="2D032FC7" w14:textId="7FC4D718" w:rsidR="00F2386F" w:rsidRPr="00057835" w:rsidRDefault="00F2386F" w:rsidP="00F2386F">
      <w:pPr>
        <w:spacing w:after="0" w:line="480" w:lineRule="auto"/>
        <w:jc w:val="both"/>
      </w:pPr>
      <w:r w:rsidRPr="00057835">
        <w:rPr>
          <w:rFonts w:ascii="Times New Roman" w:hAnsi="Times New Roman" w:cs="Times New Roman"/>
          <w:noProof/>
          <w:color w:val="747474" w:themeColor="background2" w:themeShade="80"/>
        </w:rPr>
        <w:drawing>
          <wp:anchor distT="0" distB="0" distL="114300" distR="114300" simplePos="0" relativeHeight="251656192" behindDoc="1" locked="0" layoutInCell="1" allowOverlap="1" wp14:anchorId="0B8C60B5" wp14:editId="55D58D32">
            <wp:simplePos x="0" y="0"/>
            <wp:positionH relativeFrom="column">
              <wp:posOffset>1618615</wp:posOffset>
            </wp:positionH>
            <wp:positionV relativeFrom="paragraph">
              <wp:posOffset>2828290</wp:posOffset>
            </wp:positionV>
            <wp:extent cx="2134235" cy="1828800"/>
            <wp:effectExtent l="0" t="0" r="0" b="0"/>
            <wp:wrapTopAndBottom/>
            <wp:docPr id="6171414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41477" name=""/>
                    <pic:cNvPicPr/>
                  </pic:nvPicPr>
                  <pic:blipFill>
                    <a:blip r:embed="rId7">
                      <a:extLst>
                        <a:ext uri="{28A0092B-C50C-407E-A947-70E740481C1C}">
                          <a14:useLocalDpi xmlns:a14="http://schemas.microsoft.com/office/drawing/2010/main" val="0"/>
                        </a:ext>
                      </a:extLst>
                    </a:blip>
                    <a:stretch>
                      <a:fillRect/>
                    </a:stretch>
                  </pic:blipFill>
                  <pic:spPr>
                    <a:xfrm>
                      <a:off x="0" y="0"/>
                      <a:ext cx="2134235" cy="18288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5408" behindDoc="0" locked="0" layoutInCell="1" allowOverlap="1" wp14:anchorId="4B9E88D4" wp14:editId="6C547978">
                <wp:simplePos x="0" y="0"/>
                <wp:positionH relativeFrom="column">
                  <wp:posOffset>4204335</wp:posOffset>
                </wp:positionH>
                <wp:positionV relativeFrom="paragraph">
                  <wp:posOffset>3147695</wp:posOffset>
                </wp:positionV>
                <wp:extent cx="429895" cy="320675"/>
                <wp:effectExtent l="0" t="0" r="0" b="0"/>
                <wp:wrapSquare wrapText="bothSides"/>
                <wp:docPr id="1898829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320675"/>
                        </a:xfrm>
                        <a:prstGeom prst="rect">
                          <a:avLst/>
                        </a:prstGeom>
                        <a:solidFill>
                          <a:srgbClr val="FFFFFF"/>
                        </a:solidFill>
                        <a:ln w="9525">
                          <a:noFill/>
                          <a:miter lim="800000"/>
                          <a:headEnd/>
                          <a:tailEnd/>
                        </a:ln>
                      </wps:spPr>
                      <wps:txbx>
                        <w:txbxContent>
                          <w:p w14:paraId="3314E30A" w14:textId="77777777" w:rsidR="00F2386F" w:rsidRPr="00BF0F7B" w:rsidRDefault="00F2386F" w:rsidP="00F2386F">
                            <w:pPr>
                              <w:rPr>
                                <w:lang w:val="fr-FR"/>
                              </w:rPr>
                            </w:pPr>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9E88D4" id="Zone de texte 2" o:spid="_x0000_s1028" type="#_x0000_t202" style="position:absolute;left:0;text-align:left;margin-left:331.05pt;margin-top:247.85pt;width:33.85pt;height:25.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" stroked="f">
                <v:textbox>
                  <w:txbxContent>
                    <w:p w14:paraId="3314E30A" w14:textId="77777777" w:rsidR="00F2386F" w:rsidRPr="00BF0F7B" w:rsidRDefault="00F2386F" w:rsidP="00F2386F">
                      <w:pPr>
                        <w:rPr>
                          <w:lang w:val="fr-FR"/>
                        </w:rPr>
                      </w:pPr>
                      <w:r>
                        <w:t>(3)</w:t>
                      </w:r>
                    </w:p>
                  </w:txbxContent>
                </v:textbox>
                <w10:wrap type="square"/>
              </v:shape>
            </w:pict>
          </mc:Fallback>
        </mc:AlternateContent>
      </w:r>
      <w:r w:rsidRPr="00057835">
        <w:t xml:space="preserve">Introducing these assumptions into the equations, we see that variables </w:t>
      </w:r>
      <w:r w:rsidRPr="00057835">
        <w:rPr>
          <w:i/>
          <w:iCs/>
        </w:rPr>
        <w:t>M</w:t>
      </w:r>
      <w:r w:rsidRPr="00057835">
        <w:rPr>
          <w:i/>
          <w:iCs/>
          <w:vertAlign w:val="subscript"/>
        </w:rPr>
        <w:t>1</w:t>
      </w:r>
      <w:r w:rsidRPr="00057835">
        <w:t xml:space="preserve"> and </w:t>
      </w:r>
      <w:r w:rsidRPr="00057835">
        <w:rPr>
          <w:i/>
          <w:iCs/>
        </w:rPr>
        <w:t>M</w:t>
      </w:r>
      <w:r w:rsidRPr="00057835">
        <w:rPr>
          <w:i/>
          <w:iCs/>
          <w:vertAlign w:val="subscript"/>
        </w:rPr>
        <w:t>2</w:t>
      </w:r>
      <w:r w:rsidRPr="00057835">
        <w:t xml:space="preserve"> and also variables </w:t>
      </w:r>
      <w:r w:rsidRPr="00057835">
        <w:rPr>
          <w:i/>
          <w:iCs/>
        </w:rPr>
        <w:t>I</w:t>
      </w:r>
      <w:r w:rsidRPr="00057835">
        <w:rPr>
          <w:i/>
          <w:iCs/>
          <w:vertAlign w:val="subscript"/>
        </w:rPr>
        <w:t>1</w:t>
      </w:r>
      <w:r w:rsidRPr="00057835">
        <w:t xml:space="preserve"> and </w:t>
      </w:r>
      <w:r w:rsidRPr="00057835">
        <w:rPr>
          <w:i/>
          <w:iCs/>
        </w:rPr>
        <w:t>I</w:t>
      </w:r>
      <w:r w:rsidRPr="00057835">
        <w:rPr>
          <w:i/>
          <w:iCs/>
          <w:vertAlign w:val="subscript"/>
        </w:rPr>
        <w:t>2</w:t>
      </w:r>
      <w:r w:rsidRPr="00057835">
        <w:t xml:space="preserve"> have exactly the same dynamics. This implies that at equilibrium (when the initial condition no longer have any effect) we have </w:t>
      </w:r>
      <w:r w:rsidRPr="00057835">
        <w:rPr>
          <w:i/>
          <w:iCs/>
        </w:rPr>
        <w:t>M</w:t>
      </w:r>
      <w:r w:rsidRPr="00057835">
        <w:rPr>
          <w:i/>
          <w:iCs/>
          <w:vertAlign w:val="subscript"/>
        </w:rPr>
        <w:t>1</w:t>
      </w:r>
      <w:r w:rsidRPr="00057835">
        <w:t xml:space="preserve"> = </w:t>
      </w:r>
      <w:r w:rsidRPr="00057835">
        <w:rPr>
          <w:i/>
          <w:iCs/>
        </w:rPr>
        <w:t>M</w:t>
      </w:r>
      <w:r w:rsidRPr="00057835">
        <w:rPr>
          <w:i/>
          <w:iCs/>
          <w:vertAlign w:val="subscript"/>
        </w:rPr>
        <w:t>2</w:t>
      </w:r>
      <w:r w:rsidRPr="00057835">
        <w:t xml:space="preserve"> and </w:t>
      </w:r>
      <w:r w:rsidRPr="00057835">
        <w:rPr>
          <w:i/>
          <w:iCs/>
        </w:rPr>
        <w:t>I</w:t>
      </w:r>
      <w:r w:rsidRPr="00057835">
        <w:rPr>
          <w:i/>
          <w:iCs/>
          <w:vertAlign w:val="subscript"/>
        </w:rPr>
        <w:t>1</w:t>
      </w:r>
      <w:r w:rsidRPr="00057835">
        <w:rPr>
          <w:i/>
          <w:iCs/>
        </w:rPr>
        <w:t xml:space="preserve"> </w:t>
      </w:r>
      <w:r w:rsidRPr="00057835">
        <w:t xml:space="preserve">= </w:t>
      </w:r>
      <w:r w:rsidRPr="00057835">
        <w:rPr>
          <w:i/>
          <w:iCs/>
        </w:rPr>
        <w:t>I</w:t>
      </w:r>
      <w:r w:rsidRPr="00057835">
        <w:rPr>
          <w:i/>
          <w:iCs/>
          <w:vertAlign w:val="subscript"/>
        </w:rPr>
        <w:t>2</w:t>
      </w:r>
      <w:r w:rsidRPr="00057835">
        <w:t xml:space="preserve">. We can then simplify the model by introducing the total miracidia density </w:t>
      </w:r>
      <w:r w:rsidRPr="00057835">
        <w:rPr>
          <w:i/>
          <w:iCs/>
        </w:rPr>
        <w:t>M</w:t>
      </w:r>
      <w:r w:rsidRPr="00057835">
        <w:rPr>
          <w:i/>
          <w:iCs/>
          <w:vertAlign w:val="subscript"/>
        </w:rPr>
        <w:t>T</w:t>
      </w:r>
      <w:r w:rsidRPr="00057835">
        <w:t xml:space="preserve"> = </w:t>
      </w:r>
      <w:r w:rsidRPr="00057835">
        <w:rPr>
          <w:i/>
          <w:iCs/>
        </w:rPr>
        <w:t>M</w:t>
      </w:r>
      <w:r w:rsidRPr="00057835">
        <w:rPr>
          <w:i/>
          <w:iCs/>
          <w:vertAlign w:val="subscript"/>
        </w:rPr>
        <w:t>1</w:t>
      </w:r>
      <w:r w:rsidRPr="00057835">
        <w:t xml:space="preserve"> +</w:t>
      </w:r>
      <w:r w:rsidRPr="00057835">
        <w:rPr>
          <w:i/>
          <w:iCs/>
        </w:rPr>
        <w:t>M</w:t>
      </w:r>
      <w:r w:rsidRPr="00057835">
        <w:rPr>
          <w:i/>
          <w:iCs/>
          <w:vertAlign w:val="subscript"/>
        </w:rPr>
        <w:t>2</w:t>
      </w:r>
      <w:r w:rsidRPr="00057835">
        <w:t xml:space="preserve">, the density of snails infected by one trematode species </w:t>
      </w:r>
      <w:r w:rsidRPr="00057835">
        <w:rPr>
          <w:i/>
          <w:iCs/>
        </w:rPr>
        <w:t>I</w:t>
      </w:r>
      <w:r w:rsidRPr="00057835">
        <w:rPr>
          <w:i/>
          <w:iCs/>
          <w:vertAlign w:val="subscript"/>
        </w:rPr>
        <w:t>#1</w:t>
      </w:r>
      <w:r w:rsidRPr="00057835">
        <w:rPr>
          <w:i/>
          <w:iCs/>
        </w:rPr>
        <w:t xml:space="preserve"> </w:t>
      </w:r>
      <w:r w:rsidRPr="00057835">
        <w:t xml:space="preserve">= </w:t>
      </w:r>
      <w:r w:rsidRPr="00057835">
        <w:rPr>
          <w:i/>
          <w:iCs/>
        </w:rPr>
        <w:t>I</w:t>
      </w:r>
      <w:r w:rsidRPr="00057835">
        <w:rPr>
          <w:i/>
          <w:iCs/>
          <w:vertAlign w:val="subscript"/>
        </w:rPr>
        <w:t>1</w:t>
      </w:r>
      <w:r w:rsidRPr="00057835">
        <w:t>+</w:t>
      </w:r>
      <w:r w:rsidRPr="00057835">
        <w:rPr>
          <w:i/>
          <w:iCs/>
        </w:rPr>
        <w:t>I</w:t>
      </w:r>
      <w:r w:rsidRPr="00057835">
        <w:rPr>
          <w:i/>
          <w:iCs/>
          <w:vertAlign w:val="subscript"/>
        </w:rPr>
        <w:t>2</w:t>
      </w:r>
      <w:r w:rsidRPr="00057835">
        <w:t xml:space="preserve"> and the density of snails infected by two trematode species </w:t>
      </w:r>
      <w:r w:rsidRPr="00057835">
        <w:rPr>
          <w:i/>
          <w:iCs/>
        </w:rPr>
        <w:t>I</w:t>
      </w:r>
      <w:r w:rsidRPr="00057835">
        <w:rPr>
          <w:i/>
          <w:iCs/>
          <w:vertAlign w:val="subscript"/>
        </w:rPr>
        <w:t>#2</w:t>
      </w:r>
      <w:r w:rsidRPr="00057835">
        <w:t xml:space="preserve"> = </w:t>
      </w:r>
      <w:r w:rsidRPr="00057835">
        <w:rPr>
          <w:i/>
          <w:iCs/>
        </w:rPr>
        <w:t>I</w:t>
      </w:r>
      <w:r w:rsidRPr="00057835">
        <w:rPr>
          <w:i/>
          <w:iCs/>
          <w:vertAlign w:val="subscript"/>
        </w:rPr>
        <w:t>12</w:t>
      </w:r>
      <w:r w:rsidRPr="00057835">
        <w:t xml:space="preserve">. We also make explicit in our notation that the first trematode species is the </w:t>
      </w:r>
      <w:r w:rsidRPr="00057835">
        <w:rPr>
          <w:i/>
          <w:iCs/>
        </w:rPr>
        <w:t>Schistosoma</w:t>
      </w:r>
      <w:r w:rsidRPr="00057835">
        <w:t xml:space="preserve"> species and that the other species is not by writing </w:t>
      </w:r>
      <w:r w:rsidRPr="00057835">
        <w:rPr>
          <w:i/>
          <w:iCs/>
        </w:rPr>
        <w:t>C</w:t>
      </w:r>
      <w:r w:rsidRPr="00057835">
        <w:rPr>
          <w:i/>
          <w:iCs/>
          <w:vertAlign w:val="subscript"/>
        </w:rPr>
        <w:t>S</w:t>
      </w:r>
      <w:r w:rsidRPr="00057835">
        <w:t xml:space="preserve"> = </w:t>
      </w:r>
      <w:r w:rsidRPr="00057835">
        <w:rPr>
          <w:i/>
          <w:iCs/>
        </w:rPr>
        <w:t>C</w:t>
      </w:r>
      <w:r w:rsidRPr="00057835">
        <w:rPr>
          <w:i/>
          <w:iCs/>
          <w:vertAlign w:val="subscript"/>
        </w:rPr>
        <w:t>1</w:t>
      </w:r>
      <w:r w:rsidRPr="00057835">
        <w:t xml:space="preserve"> and </w:t>
      </w:r>
      <w:r w:rsidRPr="00057835">
        <w:rPr>
          <w:i/>
          <w:iCs/>
        </w:rPr>
        <w:t>C</w:t>
      </w:r>
      <w:r w:rsidRPr="00057835">
        <w:rPr>
          <w:i/>
          <w:iCs/>
          <w:strike/>
          <w:vertAlign w:val="subscript"/>
        </w:rPr>
        <w:t>S</w:t>
      </w:r>
      <w:r w:rsidRPr="00057835">
        <w:rPr>
          <w:i/>
          <w:iCs/>
        </w:rPr>
        <w:t xml:space="preserve"> </w:t>
      </w:r>
      <w:r w:rsidRPr="00057835">
        <w:t xml:space="preserve">= </w:t>
      </w:r>
      <w:r w:rsidRPr="00057835">
        <w:rPr>
          <w:i/>
          <w:iCs/>
        </w:rPr>
        <w:t>C</w:t>
      </w:r>
      <w:r w:rsidRPr="00057835">
        <w:rPr>
          <w:i/>
          <w:iCs/>
          <w:vertAlign w:val="subscript"/>
        </w:rPr>
        <w:t>2</w:t>
      </w:r>
      <w:r w:rsidRPr="00057835">
        <w:t>. The dynamical equation become :</w:t>
      </w:r>
    </w:p>
    <w:p w14:paraId="6E4CB8FC"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p>
    <w:p w14:paraId="106197A2" w14:textId="77777777" w:rsidR="00F2386F" w:rsidRPr="00057835" w:rsidRDefault="00F2386F" w:rsidP="00F2386F">
      <w:pPr>
        <w:spacing w:after="0" w:line="480" w:lineRule="auto"/>
        <w:jc w:val="both"/>
      </w:pPr>
      <w:r w:rsidRPr="00057835">
        <w:t>Note that in this way we have reduced the number of equations from 8 to 6.</w:t>
      </w:r>
    </w:p>
    <w:p w14:paraId="0B02CD8A" w14:textId="77777777" w:rsidR="00F2386F" w:rsidRPr="00057835" w:rsidRDefault="00F2386F" w:rsidP="00F2386F">
      <w:pPr>
        <w:spacing w:after="0" w:line="480" w:lineRule="auto"/>
        <w:jc w:val="both"/>
      </w:pPr>
    </w:p>
    <w:p w14:paraId="0593D6A4" w14:textId="77777777" w:rsidR="00F2386F" w:rsidRPr="00057835" w:rsidRDefault="00F2386F" w:rsidP="00F2386F">
      <w:pPr>
        <w:spacing w:after="0" w:line="480" w:lineRule="auto"/>
        <w:jc w:val="both"/>
      </w:pPr>
      <w:r w:rsidRPr="00057835">
        <w:lastRenderedPageBreak/>
        <w:t xml:space="preserve">A very similar approach can be applied to the general model of </w:t>
      </w:r>
      <w:r w:rsidRPr="00057835">
        <w:rPr>
          <w:i/>
          <w:iCs/>
        </w:rPr>
        <w:t>n</w:t>
      </w:r>
      <w:r w:rsidRPr="00057835">
        <w:t xml:space="preserve"> trematode species. The trick is again to work with the total miracidia density </w:t>
      </w:r>
      <w:r w:rsidRPr="00057835">
        <w:rPr>
          <w:i/>
          <w:iCs/>
        </w:rPr>
        <w:t>M</w:t>
      </w:r>
      <w:r w:rsidRPr="00057835">
        <w:rPr>
          <w:i/>
          <w:iCs/>
          <w:vertAlign w:val="subscript"/>
        </w:rPr>
        <w:t>T</w:t>
      </w:r>
      <w:r w:rsidRPr="00057835">
        <w:t xml:space="preserve"> and with the densities of snails infected by one, two, three, ... tremadote species </w:t>
      </w:r>
      <w:r w:rsidRPr="00057835">
        <w:rPr>
          <w:i/>
          <w:iCs/>
        </w:rPr>
        <w:t>I</w:t>
      </w:r>
      <w:r w:rsidRPr="00057835">
        <w:rPr>
          <w:i/>
          <w:iCs/>
          <w:vertAlign w:val="subscript"/>
        </w:rPr>
        <w:t>#1</w:t>
      </w:r>
      <w:r w:rsidRPr="00057835">
        <w:t xml:space="preserve">, </w:t>
      </w:r>
      <w:r w:rsidRPr="00057835">
        <w:rPr>
          <w:i/>
          <w:iCs/>
        </w:rPr>
        <w:t>I</w:t>
      </w:r>
      <w:r w:rsidRPr="00057835">
        <w:rPr>
          <w:i/>
          <w:iCs/>
          <w:vertAlign w:val="subscript"/>
        </w:rPr>
        <w:t>#2</w:t>
      </w:r>
      <w:r w:rsidRPr="00057835">
        <w:t xml:space="preserve">, </w:t>
      </w:r>
      <w:r w:rsidRPr="00057835">
        <w:rPr>
          <w:i/>
          <w:iCs/>
        </w:rPr>
        <w:t>I</w:t>
      </w:r>
      <w:r w:rsidRPr="00057835">
        <w:rPr>
          <w:i/>
          <w:iCs/>
          <w:vertAlign w:val="subscript"/>
        </w:rPr>
        <w:t>#3</w:t>
      </w:r>
      <w:r w:rsidRPr="00057835">
        <w:t xml:space="preserve">, ... The reduced dynamics are : </w:t>
      </w:r>
    </w:p>
    <w:p w14:paraId="139E0B33"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p>
    <w:p w14:paraId="31207127" w14:textId="6AA4AEF5" w:rsidR="00F2386F" w:rsidRPr="00057835" w:rsidRDefault="00F2386F" w:rsidP="00F2386F">
      <w:pPr>
        <w:spacing w:after="0" w:line="480" w:lineRule="auto"/>
        <w:jc w:val="both"/>
        <w:rPr>
          <w:rFonts w:ascii="Times New Roman" w:hAnsi="Times New Roman" w:cs="Times New Roman"/>
          <w:color w:val="747474" w:themeColor="background2" w:themeShade="80"/>
        </w:rPr>
      </w:pPr>
      <w:r>
        <w:rPr>
          <w:noProof/>
        </w:rPr>
        <mc:AlternateContent>
          <mc:Choice Requires="wps">
            <w:drawing>
              <wp:anchor distT="45720" distB="45720" distL="114300" distR="114300" simplePos="0" relativeHeight="251664384" behindDoc="0" locked="0" layoutInCell="1" allowOverlap="1" wp14:anchorId="5A2AD18E" wp14:editId="6FCB706B">
                <wp:simplePos x="0" y="0"/>
                <wp:positionH relativeFrom="column">
                  <wp:posOffset>4945380</wp:posOffset>
                </wp:positionH>
                <wp:positionV relativeFrom="paragraph">
                  <wp:posOffset>1390650</wp:posOffset>
                </wp:positionV>
                <wp:extent cx="429895" cy="320675"/>
                <wp:effectExtent l="0" t="0" r="0" b="0"/>
                <wp:wrapSquare wrapText="bothSides"/>
                <wp:docPr id="743409239"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320675"/>
                        </a:xfrm>
                        <a:prstGeom prst="rect">
                          <a:avLst/>
                        </a:prstGeom>
                        <a:solidFill>
                          <a:srgbClr val="FFFFFF"/>
                        </a:solidFill>
                        <a:ln w="9525">
                          <a:noFill/>
                          <a:miter lim="800000"/>
                          <a:headEnd/>
                          <a:tailEnd/>
                        </a:ln>
                      </wps:spPr>
                      <wps:txbx>
                        <w:txbxContent>
                          <w:p w14:paraId="72F335DC" w14:textId="77777777" w:rsidR="00F2386F" w:rsidRPr="00BF0F7B" w:rsidRDefault="00F2386F" w:rsidP="00F2386F">
                            <w:pPr>
                              <w:rPr>
                                <w:lang w:val="fr-FR"/>
                              </w:rPr>
                            </w:pPr>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2AD18E" id="Zone de texte 1" o:spid="_x0000_s1029" type="#_x0000_t202" style="position:absolute;left:0;text-align:left;margin-left:389.4pt;margin-top:109.5pt;width:33.85pt;height:25.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" stroked="f">
                <v:textbox>
                  <w:txbxContent>
                    <w:p w14:paraId="72F335DC" w14:textId="77777777" w:rsidR="00F2386F" w:rsidRPr="00BF0F7B" w:rsidRDefault="00F2386F" w:rsidP="00F2386F">
                      <w:pPr>
                        <w:rPr>
                          <w:lang w:val="fr-FR"/>
                        </w:rPr>
                      </w:pPr>
                      <w:r>
                        <w:t>(4)</w:t>
                      </w:r>
                    </w:p>
                  </w:txbxContent>
                </v:textbox>
                <w10:wrap type="square"/>
              </v:shape>
            </w:pict>
          </mc:Fallback>
        </mc:AlternateContent>
      </w:r>
      <w:r w:rsidRPr="00057835">
        <w:rPr>
          <w:rFonts w:ascii="Times New Roman" w:hAnsi="Times New Roman" w:cs="Times New Roman"/>
          <w:noProof/>
          <w:color w:val="747474" w:themeColor="background2" w:themeShade="80"/>
        </w:rPr>
        <w:drawing>
          <wp:anchor distT="0" distB="0" distL="114300" distR="114300" simplePos="0" relativeHeight="251657216" behindDoc="0" locked="0" layoutInCell="1" allowOverlap="1" wp14:anchorId="5C78C530" wp14:editId="2031B89A">
            <wp:simplePos x="0" y="0"/>
            <wp:positionH relativeFrom="margin">
              <wp:posOffset>1228090</wp:posOffset>
            </wp:positionH>
            <wp:positionV relativeFrom="paragraph">
              <wp:posOffset>264</wp:posOffset>
            </wp:positionV>
            <wp:extent cx="3303905" cy="2998470"/>
            <wp:effectExtent l="0" t="0" r="0" b="0"/>
            <wp:wrapTopAndBottom/>
            <wp:docPr id="13463865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386520" name=""/>
                    <pic:cNvPicPr/>
                  </pic:nvPicPr>
                  <pic:blipFill>
                    <a:blip r:embed="rId8">
                      <a:extLst>
                        <a:ext uri="{28A0092B-C50C-407E-A947-70E740481C1C}">
                          <a14:useLocalDpi xmlns:a14="http://schemas.microsoft.com/office/drawing/2010/main" val="0"/>
                        </a:ext>
                      </a:extLst>
                    </a:blip>
                    <a:stretch>
                      <a:fillRect/>
                    </a:stretch>
                  </pic:blipFill>
                  <pic:spPr>
                    <a:xfrm>
                      <a:off x="0" y="0"/>
                      <a:ext cx="3303905" cy="2998470"/>
                    </a:xfrm>
                    <a:prstGeom prst="rect">
                      <a:avLst/>
                    </a:prstGeom>
                  </pic:spPr>
                </pic:pic>
              </a:graphicData>
            </a:graphic>
            <wp14:sizeRelH relativeFrom="margin">
              <wp14:pctWidth>0</wp14:pctWidth>
            </wp14:sizeRelH>
            <wp14:sizeRelV relativeFrom="margin">
              <wp14:pctHeight>0</wp14:pctHeight>
            </wp14:sizeRelV>
          </wp:anchor>
        </w:drawing>
      </w:r>
    </w:p>
    <w:p w14:paraId="44A1C5E7"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p>
    <w:p w14:paraId="0D31F581" w14:textId="77777777" w:rsidR="00F2386F" w:rsidRPr="00057835" w:rsidRDefault="00F2386F" w:rsidP="00F2386F">
      <w:pPr>
        <w:spacing w:after="0" w:line="480" w:lineRule="auto"/>
        <w:jc w:val="both"/>
        <w:rPr>
          <w:rFonts w:eastAsiaTheme="minorEastAsia"/>
        </w:rPr>
      </w:pPr>
      <w:r w:rsidRPr="00057835">
        <w:t xml:space="preserve">The prefactors of the terms in these equations are easy to understand. For example, the term </w:t>
      </w:r>
      <m:oMath>
        <m:r>
          <w:rPr>
            <w:rFonts w:ascii="Cambria Math" w:hAnsi="Cambria Math" w:cs="Cambria Math"/>
          </w:rPr>
          <m:t>e</m:t>
        </m:r>
        <m:f>
          <m:fPr>
            <m:ctrlPr>
              <w:rPr>
                <w:rFonts w:ascii="Cambria Math" w:hAnsi="Cambria Math"/>
              </w:rPr>
            </m:ctrlPr>
          </m:fPr>
          <m:num>
            <m:r>
              <m:rPr>
                <m:sty m:val="p"/>
              </m:rPr>
              <w:rPr>
                <w:rFonts w:ascii="Cambria Math" w:hAnsi="Cambria Math" w:cs="Cambria Math"/>
              </w:rPr>
              <m:t>n-2</m:t>
            </m:r>
          </m:num>
          <m:den>
            <m:r>
              <w:rPr>
                <w:rFonts w:ascii="Cambria Math" w:hAnsi="Cambria Math" w:cs="Cambria Math"/>
              </w:rPr>
              <m:t>n</m:t>
            </m:r>
          </m:den>
        </m:f>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vertAlign w:val="subscript"/>
              </w:rPr>
              <m:t>#2</m:t>
            </m:r>
          </m:sub>
        </m:sSub>
        <m:sSub>
          <m:sSubPr>
            <m:ctrlPr>
              <w:rPr>
                <w:rFonts w:ascii="Cambria Math" w:hAnsi="Cambria Math"/>
                <w:i/>
              </w:rPr>
            </m:ctrlPr>
          </m:sSubPr>
          <m:e>
            <m:r>
              <w:rPr>
                <w:rFonts w:ascii="Cambria Math" w:hAnsi="Cambria Math"/>
              </w:rPr>
              <m:t>M</m:t>
            </m:r>
          </m:e>
          <m:sub>
            <m:r>
              <w:rPr>
                <w:rFonts w:ascii="Cambria Math" w:hAnsi="Cambria Math"/>
              </w:rPr>
              <m:t>T</m:t>
            </m:r>
          </m:sub>
        </m:sSub>
      </m:oMath>
      <w:r w:rsidRPr="00057835">
        <w:rPr>
          <w:rFonts w:eastAsiaTheme="minorEastAsia"/>
        </w:rPr>
        <w:t xml:space="preserve"> </w:t>
      </w:r>
      <w:r w:rsidRPr="00057835">
        <w:t xml:space="preserve">appearing in the equations for </w:t>
      </w:r>
      <m:oMath>
        <m:f>
          <m:fPr>
            <m:ctrlPr>
              <w:rPr>
                <w:rFonts w:ascii="Cambria Math" w:hAnsi="Cambria Math"/>
              </w:rPr>
            </m:ctrlPr>
          </m:fPr>
          <m:num>
            <m:sSub>
              <m:sSubPr>
                <m:ctrlPr>
                  <w:rPr>
                    <w:rFonts w:ascii="Cambria Math" w:hAnsi="Cambria Math" w:cs="Cambria Math"/>
                  </w:rPr>
                </m:ctrlPr>
              </m:sSubPr>
              <m:e>
                <m:r>
                  <w:rPr>
                    <w:rFonts w:ascii="Cambria Math" w:hAnsi="Cambria Math" w:cs="Cambria Math"/>
                  </w:rPr>
                  <m:t>dI</m:t>
                </m:r>
              </m:e>
              <m:sub>
                <m:r>
                  <w:rPr>
                    <w:rFonts w:ascii="Cambria Math" w:hAnsi="Cambria Math" w:cs="Cambria Math"/>
                  </w:rPr>
                  <m:t>#2</m:t>
                </m:r>
              </m:sub>
            </m:sSub>
          </m:num>
          <m:den>
            <m:sSub>
              <m:sSubPr>
                <m:ctrlPr>
                  <w:rPr>
                    <w:rFonts w:ascii="Cambria Math" w:hAnsi="Cambria Math" w:cs="Cambria Math"/>
                    <w:i/>
                  </w:rPr>
                </m:ctrlPr>
              </m:sSubPr>
              <m:e>
                <m:r>
                  <w:rPr>
                    <w:rFonts w:ascii="Cambria Math" w:hAnsi="Cambria Math" w:cs="Cambria Math"/>
                  </w:rPr>
                  <m:t>d</m:t>
                </m:r>
              </m:e>
              <m:sub>
                <m:r>
                  <w:rPr>
                    <w:rFonts w:ascii="Cambria Math" w:hAnsi="Cambria Math" w:cs="Cambria Math"/>
                  </w:rPr>
                  <m:t>t</m:t>
                </m:r>
              </m:sub>
            </m:sSub>
          </m:den>
        </m:f>
      </m:oMath>
      <w:r w:rsidRPr="00057835">
        <w:rPr>
          <w:rFonts w:eastAsiaTheme="minorEastAsia"/>
        </w:rPr>
        <w:t xml:space="preserve"> </w:t>
      </w:r>
      <w:r w:rsidRPr="00057835">
        <w:t xml:space="preserve">(with a minus sign) and for </w:t>
      </w:r>
      <m:oMath>
        <m:f>
          <m:fPr>
            <m:ctrlPr>
              <w:rPr>
                <w:rFonts w:ascii="Cambria Math" w:hAnsi="Cambria Math"/>
              </w:rPr>
            </m:ctrlPr>
          </m:fPr>
          <m:num>
            <m:sSub>
              <m:sSubPr>
                <m:ctrlPr>
                  <w:rPr>
                    <w:rFonts w:ascii="Cambria Math" w:hAnsi="Cambria Math" w:cs="Cambria Math"/>
                  </w:rPr>
                </m:ctrlPr>
              </m:sSubPr>
              <m:e>
                <m:r>
                  <w:rPr>
                    <w:rFonts w:ascii="Cambria Math" w:hAnsi="Cambria Math" w:cs="Cambria Math"/>
                  </w:rPr>
                  <m:t>dI</m:t>
                </m:r>
              </m:e>
              <m:sub>
                <m:r>
                  <w:rPr>
                    <w:rFonts w:ascii="Cambria Math" w:hAnsi="Cambria Math" w:cs="Cambria Math"/>
                  </w:rPr>
                  <m:t>#3</m:t>
                </m:r>
              </m:sub>
            </m:sSub>
          </m:num>
          <m:den>
            <m:sSub>
              <m:sSubPr>
                <m:ctrlPr>
                  <w:rPr>
                    <w:rFonts w:ascii="Cambria Math" w:hAnsi="Cambria Math" w:cs="Cambria Math"/>
                    <w:i/>
                  </w:rPr>
                </m:ctrlPr>
              </m:sSubPr>
              <m:e>
                <m:r>
                  <w:rPr>
                    <w:rFonts w:ascii="Cambria Math" w:hAnsi="Cambria Math" w:cs="Cambria Math"/>
                  </w:rPr>
                  <m:t>d</m:t>
                </m:r>
              </m:e>
              <m:sub>
                <m:r>
                  <w:rPr>
                    <w:rFonts w:ascii="Cambria Math" w:hAnsi="Cambria Math" w:cs="Cambria Math"/>
                  </w:rPr>
                  <m:t>t</m:t>
                </m:r>
              </m:sub>
            </m:sSub>
          </m:den>
        </m:f>
      </m:oMath>
      <w:r w:rsidRPr="00057835">
        <w:rPr>
          <w:rFonts w:eastAsiaTheme="minorEastAsia"/>
        </w:rPr>
        <w:t xml:space="preserve"> </w:t>
      </w:r>
      <w:r w:rsidRPr="00057835">
        <w:t xml:space="preserve">(with a plus sign) corresponds to an infection by a third trematode species. The prefactor </w:t>
      </w:r>
      <m:oMath>
        <m:f>
          <m:fPr>
            <m:ctrlPr>
              <w:rPr>
                <w:rFonts w:ascii="Cambria Math" w:hAnsi="Cambria Math"/>
              </w:rPr>
            </m:ctrlPr>
          </m:fPr>
          <m:num>
            <m:r>
              <m:rPr>
                <m:sty m:val="p"/>
              </m:rPr>
              <w:rPr>
                <w:rFonts w:ascii="Cambria Math" w:hAnsi="Cambria Math" w:cs="Cambria Math"/>
              </w:rPr>
              <m:t>n-2</m:t>
            </m:r>
          </m:num>
          <m:den>
            <m:r>
              <w:rPr>
                <w:rFonts w:ascii="Cambria Math" w:hAnsi="Cambria Math" w:cs="Cambria Math"/>
              </w:rPr>
              <m:t>n</m:t>
            </m:r>
          </m:den>
        </m:f>
      </m:oMath>
      <w:r w:rsidRPr="00057835">
        <w:rPr>
          <w:rFonts w:eastAsiaTheme="minorEastAsia"/>
        </w:rPr>
        <w:t xml:space="preserve"> </w:t>
      </w:r>
      <w:r w:rsidRPr="00057835">
        <w:t xml:space="preserve">excludes infections by one of the two trematode species by which the snail is already infected. As another example, the term </w:t>
      </w:r>
      <m:oMath>
        <m:r>
          <w:rPr>
            <w:rFonts w:ascii="Cambria Math" w:hAnsi="Cambria Math" w:cs="Cambria Math"/>
          </w:rPr>
          <m:t>s</m:t>
        </m:r>
        <m:f>
          <m:fPr>
            <m:ctrlPr>
              <w:rPr>
                <w:rFonts w:ascii="Cambria Math" w:hAnsi="Cambria Math"/>
              </w:rPr>
            </m:ctrlPr>
          </m:fPr>
          <m:num>
            <m:r>
              <w:rPr>
                <w:rFonts w:ascii="Cambria Math" w:hAnsi="Cambria Math"/>
              </w:rPr>
              <m:t>1</m:t>
            </m:r>
          </m:num>
          <m:den>
            <m:r>
              <w:rPr>
                <w:rFonts w:ascii="Cambria Math" w:hAnsi="Cambria Math" w:cs="Cambria Math"/>
              </w:rPr>
              <m:t>n</m:t>
            </m:r>
          </m:den>
        </m:f>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vertAlign w:val="subscript"/>
              </w:rPr>
              <m:t>#1</m:t>
            </m:r>
          </m:sub>
        </m:sSub>
      </m:oMath>
      <w:r w:rsidRPr="00057835">
        <w:rPr>
          <w:rFonts w:eastAsiaTheme="minorEastAsia"/>
        </w:rPr>
        <w:t xml:space="preserve"> in the equation for </w:t>
      </w:r>
      <m:oMath>
        <m:f>
          <m:fPr>
            <m:ctrlPr>
              <w:rPr>
                <w:rFonts w:ascii="Cambria Math" w:hAnsi="Cambria Math"/>
              </w:rPr>
            </m:ctrlPr>
          </m:fPr>
          <m:num>
            <m:sSub>
              <m:sSubPr>
                <m:ctrlPr>
                  <w:rPr>
                    <w:rFonts w:ascii="Cambria Math" w:hAnsi="Cambria Math" w:cs="Cambria Math"/>
                  </w:rPr>
                </m:ctrlPr>
              </m:sSubPr>
              <m:e>
                <m:r>
                  <w:rPr>
                    <w:rFonts w:ascii="Cambria Math" w:hAnsi="Cambria Math" w:cs="Cambria Math"/>
                  </w:rPr>
                  <m:t>dC</m:t>
                </m:r>
              </m:e>
              <m:sub>
                <m:r>
                  <w:rPr>
                    <w:rFonts w:ascii="Cambria Math" w:hAnsi="Cambria Math" w:cs="Cambria Math"/>
                  </w:rPr>
                  <m:t>s</m:t>
                </m:r>
              </m:sub>
            </m:sSub>
          </m:num>
          <m:den>
            <m:sSub>
              <m:sSubPr>
                <m:ctrlPr>
                  <w:rPr>
                    <w:rFonts w:ascii="Cambria Math" w:hAnsi="Cambria Math" w:cs="Cambria Math"/>
                    <w:i/>
                  </w:rPr>
                </m:ctrlPr>
              </m:sSubPr>
              <m:e>
                <m:r>
                  <w:rPr>
                    <w:rFonts w:ascii="Cambria Math" w:hAnsi="Cambria Math" w:cs="Cambria Math"/>
                  </w:rPr>
                  <m:t>d</m:t>
                </m:r>
              </m:e>
              <m:sub>
                <m:r>
                  <w:rPr>
                    <w:rFonts w:ascii="Cambria Math" w:hAnsi="Cambria Math" w:cs="Cambria Math"/>
                  </w:rPr>
                  <m:t>t</m:t>
                </m:r>
              </m:sub>
            </m:sSub>
          </m:den>
        </m:f>
      </m:oMath>
      <w:r w:rsidRPr="00057835">
        <w:rPr>
          <w:rFonts w:eastAsiaTheme="minorEastAsia"/>
        </w:rPr>
        <w:t xml:space="preserve"> </w:t>
      </w:r>
      <w:r w:rsidRPr="00057835">
        <w:t xml:space="preserve">corresponds to the shedding of </w:t>
      </w:r>
      <w:r w:rsidRPr="00057835">
        <w:rPr>
          <w:i/>
          <w:iCs/>
        </w:rPr>
        <w:t>Schistosoma</w:t>
      </w:r>
      <w:r w:rsidRPr="00057835">
        <w:t xml:space="preserve"> cercariae. This can only originate from snails that are infected by a single trematode species, hence the factor </w:t>
      </w:r>
      <w:r w:rsidRPr="00057835">
        <w:rPr>
          <w:i/>
          <w:iCs/>
        </w:rPr>
        <w:t>I</w:t>
      </w:r>
      <w:r w:rsidRPr="00057835">
        <w:rPr>
          <w:i/>
          <w:iCs/>
          <w:vertAlign w:val="subscript"/>
        </w:rPr>
        <w:t xml:space="preserve">#1 </w:t>
      </w:r>
      <w:r w:rsidRPr="00057835">
        <w:rPr>
          <w:i/>
          <w:iCs/>
        </w:rPr>
        <w:t xml:space="preserve">, </w:t>
      </w:r>
      <w:r w:rsidRPr="00057835">
        <w:t xml:space="preserve">and the infected trematode should belong to the </w:t>
      </w:r>
      <w:r w:rsidRPr="00057835">
        <w:rPr>
          <w:i/>
          <w:iCs/>
        </w:rPr>
        <w:t xml:space="preserve">Schistosoma </w:t>
      </w:r>
      <w:r w:rsidRPr="00057835">
        <w:t xml:space="preserve">species, hence the factor </w:t>
      </w:r>
      <m:oMath>
        <m:f>
          <m:fPr>
            <m:ctrlPr>
              <w:rPr>
                <w:rFonts w:ascii="Cambria Math" w:hAnsi="Cambria Math"/>
              </w:rPr>
            </m:ctrlPr>
          </m:fPr>
          <m:num>
            <m:r>
              <m:rPr>
                <m:sty m:val="p"/>
              </m:rPr>
              <w:rPr>
                <w:rFonts w:ascii="Cambria Math" w:hAnsi="Cambria Math" w:cs="Cambria Math"/>
              </w:rPr>
              <m:t>1</m:t>
            </m:r>
          </m:num>
          <m:den>
            <m:r>
              <w:rPr>
                <w:rFonts w:ascii="Cambria Math" w:hAnsi="Cambria Math" w:cs="Cambria Math"/>
              </w:rPr>
              <m:t>n</m:t>
            </m:r>
          </m:den>
        </m:f>
      </m:oMath>
      <w:r w:rsidRPr="00057835">
        <w:rPr>
          <w:rFonts w:eastAsiaTheme="minorEastAsia"/>
        </w:rPr>
        <w:t xml:space="preserve"> .</w:t>
      </w:r>
    </w:p>
    <w:p w14:paraId="50A40D62" w14:textId="77777777" w:rsidR="00F2386F" w:rsidRPr="00057835" w:rsidRDefault="00F2386F" w:rsidP="00F2386F">
      <w:pPr>
        <w:spacing w:after="0" w:line="480" w:lineRule="auto"/>
        <w:jc w:val="both"/>
      </w:pPr>
      <w:r w:rsidRPr="00057835">
        <w:t xml:space="preserve">After the reduction there are </w:t>
      </w:r>
      <w:r w:rsidRPr="00057835">
        <w:rPr>
          <w:i/>
          <w:iCs/>
        </w:rPr>
        <w:t>n</w:t>
      </w:r>
      <w:r w:rsidRPr="00057835">
        <w:t xml:space="preserve">+4 dynamical variables. This is a drastic simplification compared to the number of variables before reduction. For example, for </w:t>
      </w:r>
      <w:r w:rsidRPr="00057835">
        <w:rPr>
          <w:i/>
          <w:iCs/>
        </w:rPr>
        <w:t>n</w:t>
      </w:r>
      <w:r w:rsidRPr="00057835">
        <w:t>=10 trematode species, there are only 14 equations in the reduced system, instead of the 1044 equations in the original system.</w:t>
      </w:r>
    </w:p>
    <w:p w14:paraId="40A2594B" w14:textId="77777777" w:rsidR="00F2386F" w:rsidRPr="00057835" w:rsidRDefault="00F2386F" w:rsidP="00F2386F">
      <w:pPr>
        <w:spacing w:after="0" w:line="480" w:lineRule="auto"/>
        <w:jc w:val="both"/>
      </w:pPr>
      <w:r w:rsidRPr="00057835">
        <w:lastRenderedPageBreak/>
        <w:t>To generate Fig.2 of the main text, we simulate the model equations until reaching equilibrium. We used the following parameter values:</w:t>
      </w:r>
    </w:p>
    <w:tbl>
      <w:tblPr>
        <w:tblStyle w:val="Grilledutableau"/>
        <w:tblW w:w="0" w:type="auto"/>
        <w:tblLook w:val="04A0" w:firstRow="1" w:lastRow="0" w:firstColumn="1" w:lastColumn="0" w:noHBand="0" w:noVBand="1"/>
      </w:tblPr>
      <w:tblGrid>
        <w:gridCol w:w="704"/>
        <w:gridCol w:w="4394"/>
        <w:gridCol w:w="1698"/>
        <w:gridCol w:w="2266"/>
      </w:tblGrid>
      <w:tr w:rsidR="00F2386F" w:rsidRPr="00057835" w14:paraId="78022A14" w14:textId="77777777" w:rsidTr="00397C85">
        <w:tc>
          <w:tcPr>
            <w:tcW w:w="704" w:type="dxa"/>
          </w:tcPr>
          <w:p w14:paraId="2F487348"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n</w:t>
            </w:r>
          </w:p>
        </w:tc>
        <w:tc>
          <w:tcPr>
            <w:tcW w:w="4394" w:type="dxa"/>
          </w:tcPr>
          <w:p w14:paraId="097B4D41"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number of trematode species</w:t>
            </w:r>
          </w:p>
        </w:tc>
        <w:tc>
          <w:tcPr>
            <w:tcW w:w="1698" w:type="dxa"/>
          </w:tcPr>
          <w:p w14:paraId="5A4F5DA6"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1 to 6</w:t>
            </w:r>
          </w:p>
        </w:tc>
        <w:tc>
          <w:tcPr>
            <w:tcW w:w="2266" w:type="dxa"/>
          </w:tcPr>
          <w:p w14:paraId="31C89B7F"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w:t>
            </w:r>
          </w:p>
        </w:tc>
      </w:tr>
      <w:tr w:rsidR="00F2386F" w:rsidRPr="00057835" w14:paraId="59253934" w14:textId="77777777" w:rsidTr="00397C85">
        <w:tc>
          <w:tcPr>
            <w:tcW w:w="704" w:type="dxa"/>
          </w:tcPr>
          <w:p w14:paraId="06154465"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g</w:t>
            </w:r>
          </w:p>
        </w:tc>
        <w:tc>
          <w:tcPr>
            <w:tcW w:w="4394" w:type="dxa"/>
          </w:tcPr>
          <w:p w14:paraId="78ED855E"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input rate of miracidia per trematode species</w:t>
            </w:r>
          </w:p>
        </w:tc>
        <w:tc>
          <w:tcPr>
            <w:tcW w:w="1698" w:type="dxa"/>
          </w:tcPr>
          <w:p w14:paraId="4B226D92"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0.2</w:t>
            </w:r>
          </w:p>
        </w:tc>
        <w:tc>
          <w:tcPr>
            <w:tcW w:w="2266" w:type="dxa"/>
          </w:tcPr>
          <w:p w14:paraId="02D24EC9"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vertAlign w:val="subscript"/>
              </w:rPr>
              <w:t>U</w:t>
            </w:r>
            <w:r w:rsidRPr="00057835">
              <w:rPr>
                <w:rFonts w:ascii="Times New Roman" w:hAnsi="Times New Roman" w:cs="Times New Roman"/>
                <w:color w:val="747474" w:themeColor="background2" w:themeShade="80"/>
              </w:rPr>
              <w:t>/</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796A2CF6" w14:textId="77777777" w:rsidTr="00397C85">
        <w:tc>
          <w:tcPr>
            <w:tcW w:w="704" w:type="dxa"/>
          </w:tcPr>
          <w:p w14:paraId="041064FA"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e</w:t>
            </w:r>
          </w:p>
        </w:tc>
        <w:tc>
          <w:tcPr>
            <w:tcW w:w="4394" w:type="dxa"/>
          </w:tcPr>
          <w:p w14:paraId="03FE7037"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infestation rate of snails by miracidia</w:t>
            </w:r>
          </w:p>
        </w:tc>
        <w:tc>
          <w:tcPr>
            <w:tcW w:w="1698" w:type="dxa"/>
          </w:tcPr>
          <w:p w14:paraId="53239398"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0.01</w:t>
            </w:r>
          </w:p>
        </w:tc>
        <w:tc>
          <w:tcPr>
            <w:tcW w:w="2266" w:type="dxa"/>
          </w:tcPr>
          <w:p w14:paraId="16E20F1B"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1 / (</w:t>
            </w: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vertAlign w:val="subscript"/>
              </w:rPr>
              <w:t xml:space="preserve">U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r w:rsidRPr="00057835">
              <w:rPr>
                <w:rFonts w:ascii="Times New Roman" w:hAnsi="Times New Roman" w:cs="Times New Roman"/>
                <w:color w:val="747474" w:themeColor="background2" w:themeShade="80"/>
              </w:rPr>
              <w:t>)</w:t>
            </w:r>
          </w:p>
        </w:tc>
      </w:tr>
      <w:tr w:rsidR="00F2386F" w:rsidRPr="00057835" w14:paraId="55712A31" w14:textId="77777777" w:rsidTr="00397C85">
        <w:tc>
          <w:tcPr>
            <w:tcW w:w="704" w:type="dxa"/>
          </w:tcPr>
          <w:p w14:paraId="794BD55F"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f</w:t>
            </w:r>
            <w:r w:rsidRPr="00057835">
              <w:rPr>
                <w:rFonts w:ascii="Times New Roman" w:hAnsi="Times New Roman" w:cs="Times New Roman"/>
                <w:i/>
                <w:iCs/>
                <w:color w:val="747474" w:themeColor="background2" w:themeShade="80"/>
                <w:vertAlign w:val="subscript"/>
              </w:rPr>
              <w:t>S</w:t>
            </w:r>
          </w:p>
        </w:tc>
        <w:tc>
          <w:tcPr>
            <w:tcW w:w="4394" w:type="dxa"/>
          </w:tcPr>
          <w:p w14:paraId="6D458F07"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fitness of non-infected snails</w:t>
            </w:r>
          </w:p>
        </w:tc>
        <w:tc>
          <w:tcPr>
            <w:tcW w:w="1698" w:type="dxa"/>
          </w:tcPr>
          <w:p w14:paraId="208CE094"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3.0</w:t>
            </w:r>
          </w:p>
        </w:tc>
        <w:tc>
          <w:tcPr>
            <w:tcW w:w="2266" w:type="dxa"/>
          </w:tcPr>
          <w:p w14:paraId="579049EF"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008BB918" w14:textId="77777777" w:rsidTr="00397C85">
        <w:tc>
          <w:tcPr>
            <w:tcW w:w="704" w:type="dxa"/>
          </w:tcPr>
          <w:p w14:paraId="716C87DE"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K</w:t>
            </w:r>
          </w:p>
        </w:tc>
        <w:tc>
          <w:tcPr>
            <w:tcW w:w="4394" w:type="dxa"/>
          </w:tcPr>
          <w:p w14:paraId="6BA54954"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carrying capacity of snail population</w:t>
            </w:r>
          </w:p>
        </w:tc>
        <w:tc>
          <w:tcPr>
            <w:tcW w:w="1698" w:type="dxa"/>
          </w:tcPr>
          <w:p w14:paraId="3EFB1B1E"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1, 10, 100</w:t>
            </w:r>
          </w:p>
        </w:tc>
        <w:tc>
          <w:tcPr>
            <w:tcW w:w="2266" w:type="dxa"/>
          </w:tcPr>
          <w:p w14:paraId="424C34A0" w14:textId="77777777" w:rsidR="00F2386F" w:rsidRPr="00057835" w:rsidRDefault="00F2386F" w:rsidP="00397C85">
            <w:pPr>
              <w:spacing w:line="480" w:lineRule="auto"/>
              <w:jc w:val="both"/>
              <w:rPr>
                <w:rFonts w:ascii="Times New Roman" w:hAnsi="Times New Roman" w:cs="Times New Roman"/>
                <w:i/>
                <w:iCs/>
                <w:color w:val="747474" w:themeColor="background2" w:themeShade="80"/>
                <w:u w:val="single"/>
              </w:rPr>
            </w:pP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u w:val="single"/>
                <w:vertAlign w:val="subscript"/>
              </w:rPr>
              <w:t>U</w:t>
            </w:r>
          </w:p>
        </w:tc>
      </w:tr>
      <w:tr w:rsidR="00F2386F" w:rsidRPr="00057835" w14:paraId="17EB624B" w14:textId="77777777" w:rsidTr="00397C85">
        <w:tc>
          <w:tcPr>
            <w:tcW w:w="704" w:type="dxa"/>
          </w:tcPr>
          <w:p w14:paraId="0B486E77"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s</w:t>
            </w:r>
          </w:p>
        </w:tc>
        <w:tc>
          <w:tcPr>
            <w:tcW w:w="4394" w:type="dxa"/>
          </w:tcPr>
          <w:p w14:paraId="74C28D2A"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shedding rate by infected snails</w:t>
            </w:r>
          </w:p>
        </w:tc>
        <w:tc>
          <w:tcPr>
            <w:tcW w:w="1698" w:type="dxa"/>
          </w:tcPr>
          <w:p w14:paraId="66AE89F7"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2.0</w:t>
            </w:r>
          </w:p>
        </w:tc>
        <w:tc>
          <w:tcPr>
            <w:tcW w:w="2266" w:type="dxa"/>
          </w:tcPr>
          <w:p w14:paraId="50EFBB25"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47C0BB2A" w14:textId="77777777" w:rsidTr="00397C85">
        <w:tc>
          <w:tcPr>
            <w:tcW w:w="704" w:type="dxa"/>
          </w:tcPr>
          <w:p w14:paraId="3C26A7A5"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u</w:t>
            </w:r>
          </w:p>
        </w:tc>
        <w:tc>
          <w:tcPr>
            <w:tcW w:w="4394" w:type="dxa"/>
          </w:tcPr>
          <w:p w14:paraId="31FA3AF6"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uptake rate of cercariae by mammals</w:t>
            </w:r>
          </w:p>
        </w:tc>
        <w:tc>
          <w:tcPr>
            <w:tcW w:w="1698" w:type="dxa"/>
          </w:tcPr>
          <w:p w14:paraId="67B4B6EC"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1.0</w:t>
            </w:r>
          </w:p>
        </w:tc>
        <w:tc>
          <w:tcPr>
            <w:tcW w:w="2266" w:type="dxa"/>
          </w:tcPr>
          <w:p w14:paraId="1ADA677C"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3270F842" w14:textId="77777777" w:rsidTr="00397C85">
        <w:tc>
          <w:tcPr>
            <w:tcW w:w="704" w:type="dxa"/>
          </w:tcPr>
          <w:p w14:paraId="47D92029"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vertAlign w:val="subscript"/>
              </w:rPr>
              <w:t>M</w:t>
            </w:r>
          </w:p>
        </w:tc>
        <w:tc>
          <w:tcPr>
            <w:tcW w:w="4394" w:type="dxa"/>
          </w:tcPr>
          <w:p w14:paraId="6FB39FEE"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loss rate of miracidia</w:t>
            </w:r>
          </w:p>
        </w:tc>
        <w:tc>
          <w:tcPr>
            <w:tcW w:w="1698" w:type="dxa"/>
          </w:tcPr>
          <w:p w14:paraId="590B61E6"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0.01</w:t>
            </w:r>
          </w:p>
        </w:tc>
        <w:tc>
          <w:tcPr>
            <w:tcW w:w="2266" w:type="dxa"/>
          </w:tcPr>
          <w:p w14:paraId="24B798E3"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2B4415BC" w14:textId="77777777" w:rsidTr="00397C85">
        <w:tc>
          <w:tcPr>
            <w:tcW w:w="704" w:type="dxa"/>
          </w:tcPr>
          <w:p w14:paraId="32F0D3DE"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vertAlign w:val="subscript"/>
              </w:rPr>
              <w:t>I</w:t>
            </w:r>
          </w:p>
        </w:tc>
        <w:tc>
          <w:tcPr>
            <w:tcW w:w="4394" w:type="dxa"/>
          </w:tcPr>
          <w:p w14:paraId="5BFCC7F5"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loss rate of infected snails</w:t>
            </w:r>
          </w:p>
        </w:tc>
        <w:tc>
          <w:tcPr>
            <w:tcW w:w="1698" w:type="dxa"/>
          </w:tcPr>
          <w:p w14:paraId="0B8FF9D1"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0.1</w:t>
            </w:r>
          </w:p>
        </w:tc>
        <w:tc>
          <w:tcPr>
            <w:tcW w:w="2266" w:type="dxa"/>
          </w:tcPr>
          <w:p w14:paraId="2D6F8B69"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r w:rsidR="00F2386F" w:rsidRPr="00057835" w14:paraId="6C5C5920" w14:textId="77777777" w:rsidTr="00397C85">
        <w:tc>
          <w:tcPr>
            <w:tcW w:w="704" w:type="dxa"/>
          </w:tcPr>
          <w:p w14:paraId="6E0297EC" w14:textId="77777777" w:rsidR="00F2386F" w:rsidRPr="00057835" w:rsidRDefault="00F2386F" w:rsidP="00397C85">
            <w:pPr>
              <w:spacing w:line="480" w:lineRule="auto"/>
              <w:jc w:val="both"/>
              <w:rPr>
                <w:rFonts w:ascii="Times New Roman" w:hAnsi="Times New Roman" w:cs="Times New Roman"/>
                <w:i/>
                <w:iCs/>
                <w:color w:val="747474" w:themeColor="background2" w:themeShade="80"/>
              </w:rPr>
            </w:pPr>
            <w:r w:rsidRPr="00057835">
              <w:rPr>
                <w:rFonts w:ascii="Times New Roman" w:hAnsi="Times New Roman" w:cs="Times New Roman"/>
                <w:i/>
                <w:iCs/>
                <w:color w:val="747474" w:themeColor="background2" w:themeShade="80"/>
              </w:rPr>
              <w:t>d</w:t>
            </w:r>
            <w:r w:rsidRPr="00057835">
              <w:rPr>
                <w:rFonts w:ascii="Times New Roman" w:hAnsi="Times New Roman" w:cs="Times New Roman"/>
                <w:i/>
                <w:iCs/>
                <w:color w:val="747474" w:themeColor="background2" w:themeShade="80"/>
                <w:vertAlign w:val="subscript"/>
              </w:rPr>
              <w:t>C</w:t>
            </w:r>
          </w:p>
        </w:tc>
        <w:tc>
          <w:tcPr>
            <w:tcW w:w="4394" w:type="dxa"/>
          </w:tcPr>
          <w:p w14:paraId="748B35A3"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t>loss rate of cercariae</w:t>
            </w:r>
          </w:p>
        </w:tc>
        <w:tc>
          <w:tcPr>
            <w:tcW w:w="1698" w:type="dxa"/>
          </w:tcPr>
          <w:p w14:paraId="1B95A6A1"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0.1</w:t>
            </w:r>
          </w:p>
        </w:tc>
        <w:tc>
          <w:tcPr>
            <w:tcW w:w="2266" w:type="dxa"/>
          </w:tcPr>
          <w:p w14:paraId="57261E11" w14:textId="77777777" w:rsidR="00F2386F" w:rsidRPr="00057835" w:rsidRDefault="00F2386F" w:rsidP="00397C85">
            <w:pPr>
              <w:spacing w:line="480" w:lineRule="auto"/>
              <w:jc w:val="both"/>
              <w:rPr>
                <w:rFonts w:ascii="Times New Roman" w:hAnsi="Times New Roman" w:cs="Times New Roman"/>
                <w:color w:val="747474" w:themeColor="background2" w:themeShade="80"/>
              </w:rPr>
            </w:pPr>
            <w:r w:rsidRPr="00057835">
              <w:rPr>
                <w:rFonts w:ascii="Times New Roman" w:hAnsi="Times New Roman" w:cs="Times New Roman"/>
                <w:color w:val="747474" w:themeColor="background2" w:themeShade="80"/>
              </w:rPr>
              <w:t xml:space="preserve">1 / </w:t>
            </w:r>
            <w:r w:rsidRPr="00057835">
              <w:rPr>
                <w:rFonts w:ascii="Times New Roman" w:hAnsi="Times New Roman" w:cs="Times New Roman"/>
                <w:i/>
                <w:iCs/>
                <w:color w:val="747474" w:themeColor="background2" w:themeShade="80"/>
              </w:rPr>
              <w:t>t</w:t>
            </w:r>
            <w:r w:rsidRPr="00057835">
              <w:rPr>
                <w:rFonts w:ascii="Times New Roman" w:hAnsi="Times New Roman" w:cs="Times New Roman"/>
                <w:i/>
                <w:iCs/>
                <w:color w:val="747474" w:themeColor="background2" w:themeShade="80"/>
                <w:vertAlign w:val="subscript"/>
              </w:rPr>
              <w:t>U</w:t>
            </w:r>
          </w:p>
        </w:tc>
      </w:tr>
    </w:tbl>
    <w:p w14:paraId="2DD4107F"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p>
    <w:p w14:paraId="3B8992F5" w14:textId="7C8E5465" w:rsidR="00F2386F" w:rsidRPr="00057835" w:rsidRDefault="00F2386F" w:rsidP="00F2386F">
      <w:pPr>
        <w:spacing w:after="0" w:line="480" w:lineRule="auto"/>
        <w:jc w:val="both"/>
      </w:pPr>
      <w:r w:rsidRPr="00057835">
        <w:t xml:space="preserve">The last column gives the units in which the parameters are expressed. For example, the time unit </w:t>
      </w:r>
      <w:r w:rsidRPr="00057835">
        <w:rPr>
          <w:i/>
          <w:iCs/>
        </w:rPr>
        <w:t>d</w:t>
      </w:r>
      <w:r w:rsidRPr="00057835">
        <w:rPr>
          <w:i/>
          <w:iCs/>
          <w:vertAlign w:val="subscript"/>
        </w:rPr>
        <w:t>t</w:t>
      </w:r>
      <w:r w:rsidRPr="00057835">
        <w:t xml:space="preserve"> could be month, and the density unit </w:t>
      </w:r>
      <w:r w:rsidRPr="00057835">
        <w:rPr>
          <w:i/>
          <w:iCs/>
        </w:rPr>
        <w:t>d</w:t>
      </w:r>
      <w:r w:rsidRPr="00057835">
        <w:rPr>
          <w:i/>
          <w:iCs/>
          <w:vertAlign w:val="subscript"/>
        </w:rPr>
        <w:t>u</w:t>
      </w:r>
      <w:r w:rsidRPr="00057835">
        <w:t xml:space="preserve"> could be number of individuals per square meter. Note that the model results do not depend on the choice of these units.</w:t>
      </w:r>
    </w:p>
    <w:p w14:paraId="27D78B09" w14:textId="7B48AFF5" w:rsidR="00F2386F" w:rsidRPr="00057835" w:rsidRDefault="00F2386F" w:rsidP="00F2386F">
      <w:pPr>
        <w:spacing w:after="0" w:line="480" w:lineRule="auto"/>
        <w:jc w:val="both"/>
      </w:pPr>
      <w:r w:rsidRPr="00057835">
        <w:rPr>
          <w:rFonts w:ascii="Times New Roman" w:hAnsi="Times New Roman" w:cs="Times New Roman"/>
          <w:noProof/>
          <w:color w:val="747474" w:themeColor="background2" w:themeShade="80"/>
        </w:rPr>
        <w:drawing>
          <wp:anchor distT="0" distB="0" distL="114300" distR="114300" simplePos="0" relativeHeight="251660288" behindDoc="0" locked="0" layoutInCell="1" allowOverlap="1" wp14:anchorId="2E83B095" wp14:editId="32F971C6">
            <wp:simplePos x="0" y="0"/>
            <wp:positionH relativeFrom="column">
              <wp:posOffset>1227455</wp:posOffset>
            </wp:positionH>
            <wp:positionV relativeFrom="paragraph">
              <wp:posOffset>405765</wp:posOffset>
            </wp:positionV>
            <wp:extent cx="2492375" cy="1080770"/>
            <wp:effectExtent l="0" t="0" r="0" b="0"/>
            <wp:wrapTopAndBottom/>
            <wp:docPr id="10297939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793902" name=""/>
                    <pic:cNvPicPr/>
                  </pic:nvPicPr>
                  <pic:blipFill>
                    <a:blip r:embed="rId9">
                      <a:extLst>
                        <a:ext uri="{28A0092B-C50C-407E-A947-70E740481C1C}">
                          <a14:useLocalDpi xmlns:a14="http://schemas.microsoft.com/office/drawing/2010/main" val="0"/>
                        </a:ext>
                      </a:extLst>
                    </a:blip>
                    <a:stretch>
                      <a:fillRect/>
                    </a:stretch>
                  </pic:blipFill>
                  <pic:spPr>
                    <a:xfrm>
                      <a:off x="0" y="0"/>
                      <a:ext cx="2492375" cy="1080770"/>
                    </a:xfrm>
                    <a:prstGeom prst="rect">
                      <a:avLst/>
                    </a:prstGeom>
                  </pic:spPr>
                </pic:pic>
              </a:graphicData>
            </a:graphic>
            <wp14:sizeRelH relativeFrom="margin">
              <wp14:pctWidth>0</wp14:pctWidth>
            </wp14:sizeRelH>
            <wp14:sizeRelV relativeFrom="margin">
              <wp14:pctHeight>0</wp14:pctHeight>
            </wp14:sizeRelV>
          </wp:anchor>
        </w:drawing>
      </w:r>
      <w:r w:rsidRPr="00057835">
        <w:t>Finally, the plotted variables are computed as follows:</w:t>
      </w:r>
    </w:p>
    <w:p w14:paraId="12FD9D6E" w14:textId="77777777" w:rsidR="00F2386F" w:rsidRPr="00057835" w:rsidRDefault="00F2386F" w:rsidP="00F2386F">
      <w:pPr>
        <w:spacing w:after="0" w:line="480" w:lineRule="auto"/>
        <w:jc w:val="both"/>
        <w:rPr>
          <w:rFonts w:ascii="Times New Roman" w:hAnsi="Times New Roman" w:cs="Times New Roman"/>
          <w:color w:val="747474" w:themeColor="background2" w:themeShade="80"/>
        </w:rPr>
      </w:pPr>
      <w:r w:rsidRPr="00057835">
        <w:t xml:space="preserve">We provide Matlab code to perform the different computations. In particular, running the script </w:t>
      </w:r>
      <w:r w:rsidRPr="00057835">
        <w:rPr>
          <w:rFonts w:ascii="Times New Roman" w:hAnsi="Times New Roman" w:cs="Times New Roman"/>
        </w:rPr>
        <w:t>divpara_main.m</w:t>
      </w:r>
      <w:r w:rsidRPr="00057835">
        <w:t xml:space="preserve"> generates Fig. 2 of the main text. This script calls the function </w:t>
      </w:r>
      <w:r w:rsidRPr="00057835">
        <w:rPr>
          <w:rFonts w:ascii="Times New Roman" w:hAnsi="Times New Roman" w:cs="Times New Roman"/>
        </w:rPr>
        <w:t>divpara_rhs.m</w:t>
      </w:r>
      <w:r w:rsidRPr="00057835">
        <w:t xml:space="preserve"> to evaluate the right-hand side of the model equations, i.e., the function implements eqs. (4).</w:t>
      </w:r>
    </w:p>
    <w:p w14:paraId="7E5F6469" w14:textId="77777777" w:rsidR="00C964EC" w:rsidRDefault="00C964EC"/>
    <w:sectPr w:rsidR="00C964EC" w:rsidSect="00F2386F">
      <w:footerReference w:type="default" r:id="rId10"/>
      <w:pgSz w:w="11906" w:h="16838"/>
      <w:pgMar w:top="1417" w:right="1417" w:bottom="1417" w:left="1417" w:header="0" w:footer="708"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8207562"/>
      <w:docPartObj>
        <w:docPartGallery w:val="Page Numbers (Bottom of Page)"/>
        <w:docPartUnique/>
      </w:docPartObj>
    </w:sdtPr>
    <w:sdtEndPr/>
    <w:sdtContent>
      <w:p w14:paraId="3A702DA2" w14:textId="77777777" w:rsidR="00F2386F" w:rsidRDefault="00F2386F">
        <w:pPr>
          <w:pStyle w:val="Pieddepage"/>
          <w:jc w:val="right"/>
        </w:pPr>
        <w:r>
          <w:fldChar w:fldCharType="begin"/>
        </w:r>
        <w:r>
          <w:instrText>PAGE</w:instrText>
        </w:r>
        <w:r>
          <w:fldChar w:fldCharType="separate"/>
        </w:r>
        <w:r>
          <w:t>37</w:t>
        </w:r>
        <w:r>
          <w:fldChar w:fldCharType="end"/>
        </w:r>
      </w:p>
      <w:p w14:paraId="7C937724" w14:textId="77777777" w:rsidR="00F2386F" w:rsidRDefault="00F2386F">
        <w:pPr>
          <w:pStyle w:val="Pieddepage"/>
        </w:pP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449F"/>
    <w:multiLevelType w:val="multilevel"/>
    <w:tmpl w:val="DE8063C2"/>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68176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86F"/>
    <w:rsid w:val="00506F06"/>
    <w:rsid w:val="00C013D2"/>
    <w:rsid w:val="00C964EC"/>
    <w:rsid w:val="00CF042C"/>
    <w:rsid w:val="00F2386F"/>
    <w:rsid w:val="00FF08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42C9485B"/>
  <w15:chartTrackingRefBased/>
  <w15:docId w15:val="{27A4CBEB-5C78-4A33-B41B-CC93FE9EE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86F"/>
    <w:pPr>
      <w:suppressAutoHyphens/>
    </w:pPr>
    <w:rPr>
      <w:lang w:val="en-GB"/>
    </w:rPr>
  </w:style>
  <w:style w:type="paragraph" w:styleId="Titre1">
    <w:name w:val="heading 1"/>
    <w:basedOn w:val="Normal"/>
    <w:next w:val="Normal"/>
    <w:link w:val="Titre1Car"/>
    <w:uiPriority w:val="9"/>
    <w:qFormat/>
    <w:rsid w:val="00F238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F238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F2386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F2386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2386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2386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2386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2386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2386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2386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qFormat/>
    <w:rsid w:val="00F2386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2386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2386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2386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2386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2386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2386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2386F"/>
    <w:rPr>
      <w:rFonts w:eastAsiaTheme="majorEastAsia" w:cstheme="majorBidi"/>
      <w:color w:val="272727" w:themeColor="text1" w:themeTint="D8"/>
    </w:rPr>
  </w:style>
  <w:style w:type="paragraph" w:styleId="Titre">
    <w:name w:val="Title"/>
    <w:basedOn w:val="Normal"/>
    <w:next w:val="Normal"/>
    <w:link w:val="TitreCar"/>
    <w:uiPriority w:val="10"/>
    <w:qFormat/>
    <w:rsid w:val="00F238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2386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2386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2386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2386F"/>
    <w:pPr>
      <w:spacing w:before="160"/>
      <w:jc w:val="center"/>
    </w:pPr>
    <w:rPr>
      <w:i/>
      <w:iCs/>
      <w:color w:val="404040" w:themeColor="text1" w:themeTint="BF"/>
    </w:rPr>
  </w:style>
  <w:style w:type="character" w:customStyle="1" w:styleId="CitationCar">
    <w:name w:val="Citation Car"/>
    <w:basedOn w:val="Policepardfaut"/>
    <w:link w:val="Citation"/>
    <w:uiPriority w:val="29"/>
    <w:rsid w:val="00F2386F"/>
    <w:rPr>
      <w:i/>
      <w:iCs/>
      <w:color w:val="404040" w:themeColor="text1" w:themeTint="BF"/>
    </w:rPr>
  </w:style>
  <w:style w:type="paragraph" w:styleId="Paragraphedeliste">
    <w:name w:val="List Paragraph"/>
    <w:basedOn w:val="Normal"/>
    <w:uiPriority w:val="34"/>
    <w:qFormat/>
    <w:rsid w:val="00F2386F"/>
    <w:pPr>
      <w:ind w:left="720"/>
      <w:contextualSpacing/>
    </w:pPr>
  </w:style>
  <w:style w:type="character" w:styleId="Accentuationintense">
    <w:name w:val="Intense Emphasis"/>
    <w:basedOn w:val="Policepardfaut"/>
    <w:uiPriority w:val="21"/>
    <w:qFormat/>
    <w:rsid w:val="00F2386F"/>
    <w:rPr>
      <w:i/>
      <w:iCs/>
      <w:color w:val="0F4761" w:themeColor="accent1" w:themeShade="BF"/>
    </w:rPr>
  </w:style>
  <w:style w:type="paragraph" w:styleId="Citationintense">
    <w:name w:val="Intense Quote"/>
    <w:basedOn w:val="Normal"/>
    <w:next w:val="Normal"/>
    <w:link w:val="CitationintenseCar"/>
    <w:uiPriority w:val="30"/>
    <w:qFormat/>
    <w:rsid w:val="00F238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2386F"/>
    <w:rPr>
      <w:i/>
      <w:iCs/>
      <w:color w:val="0F4761" w:themeColor="accent1" w:themeShade="BF"/>
    </w:rPr>
  </w:style>
  <w:style w:type="character" w:styleId="Rfrenceintense">
    <w:name w:val="Intense Reference"/>
    <w:basedOn w:val="Policepardfaut"/>
    <w:uiPriority w:val="32"/>
    <w:qFormat/>
    <w:rsid w:val="00F2386F"/>
    <w:rPr>
      <w:b/>
      <w:bCs/>
      <w:smallCaps/>
      <w:color w:val="0F4761" w:themeColor="accent1" w:themeShade="BF"/>
      <w:spacing w:val="5"/>
    </w:rPr>
  </w:style>
  <w:style w:type="character" w:customStyle="1" w:styleId="PieddepageCar">
    <w:name w:val="Pied de page Car"/>
    <w:basedOn w:val="Policepardfaut"/>
    <w:link w:val="Pieddepage"/>
    <w:uiPriority w:val="99"/>
    <w:qFormat/>
    <w:rsid w:val="00F2386F"/>
    <w:rPr>
      <w:lang w:val="en-GB"/>
    </w:rPr>
  </w:style>
  <w:style w:type="paragraph" w:styleId="Pieddepage">
    <w:name w:val="footer"/>
    <w:basedOn w:val="Normal"/>
    <w:link w:val="PieddepageCar"/>
    <w:uiPriority w:val="99"/>
    <w:unhideWhenUsed/>
    <w:rsid w:val="00F2386F"/>
    <w:pPr>
      <w:tabs>
        <w:tab w:val="center" w:pos="4536"/>
        <w:tab w:val="right" w:pos="9072"/>
      </w:tabs>
      <w:spacing w:after="0" w:line="240" w:lineRule="auto"/>
    </w:pPr>
  </w:style>
  <w:style w:type="character" w:customStyle="1" w:styleId="PieddepageCar1">
    <w:name w:val="Pied de page Car1"/>
    <w:basedOn w:val="Policepardfaut"/>
    <w:uiPriority w:val="99"/>
    <w:semiHidden/>
    <w:rsid w:val="00F2386F"/>
    <w:rPr>
      <w:lang w:val="en-GB"/>
    </w:rPr>
  </w:style>
  <w:style w:type="table" w:styleId="Grilledutableau">
    <w:name w:val="Table Grid"/>
    <w:basedOn w:val="TableauNormal"/>
    <w:uiPriority w:val="39"/>
    <w:rsid w:val="00F2386F"/>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ligne">
    <w:name w:val="line number"/>
    <w:basedOn w:val="Policepardfaut"/>
    <w:uiPriority w:val="99"/>
    <w:semiHidden/>
    <w:unhideWhenUsed/>
    <w:rsid w:val="00F23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728</Words>
  <Characters>4151</Characters>
  <Application>Microsoft Office Word</Application>
  <DocSecurity>0</DocSecurity>
  <Lines>34</Lines>
  <Paragraphs>9</Paragraphs>
  <ScaleCrop>false</ScaleCrop>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Douchet Philippe</dc:creator>
  <cp:keywords/>
  <dc:description/>
  <cp:lastModifiedBy>Douchet Philippe</cp:lastModifiedBy>
  <cp:revision>1</cp:revision>
  <dcterms:created xsi:type="dcterms:W3CDTF">2024-03-18T15:20:00Z</dcterms:created>
  <dcterms:modified xsi:type="dcterms:W3CDTF">2024-03-18T15:23:00Z</dcterms:modified>
</cp:coreProperties>
</file>