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5" w:type="dxa"/>
        <w:tblInd w:w="-426" w:type="dxa"/>
        <w:tblLayout w:type="fixed"/>
        <w:tblLook w:val="0400" w:firstRow="0" w:lastRow="0" w:firstColumn="0" w:lastColumn="0" w:noHBand="0" w:noVBand="1"/>
      </w:tblPr>
      <w:tblGrid>
        <w:gridCol w:w="3251"/>
        <w:gridCol w:w="6384"/>
      </w:tblGrid>
      <w:tr w:rsidR="00A24048" w14:paraId="6ED6B137" w14:textId="77777777" w:rsidTr="00EF5526">
        <w:trPr>
          <w:trHeight w:val="454"/>
        </w:trPr>
        <w:tc>
          <w:tcPr>
            <w:tcW w:w="9635" w:type="dxa"/>
            <w:gridSpan w:val="2"/>
            <w:tcBorders>
              <w:bottom w:val="single" w:sz="4" w:space="0" w:color="auto"/>
            </w:tcBorders>
            <w:tcMar>
              <w:top w:w="1" w:type="dxa"/>
              <w:left w:w="1" w:type="dxa"/>
              <w:bottom w:w="1" w:type="dxa"/>
              <w:right w:w="1" w:type="dxa"/>
            </w:tcMar>
            <w:vAlign w:val="center"/>
          </w:tcPr>
          <w:p w14:paraId="1A1F6A51" w14:textId="77777777" w:rsidR="00A24048" w:rsidRDefault="00A24048" w:rsidP="00EF5526">
            <w:pPr>
              <w:spacing w:line="360" w:lineRule="auto"/>
              <w:ind w:right="611"/>
              <w:rPr>
                <w:b/>
                <w:color w:val="000000"/>
                <w:sz w:val="16"/>
                <w:szCs w:val="16"/>
              </w:rPr>
            </w:pPr>
          </w:p>
          <w:p w14:paraId="423E65DD" w14:textId="18A7CF9A" w:rsidR="00A24048" w:rsidRDefault="00A24048" w:rsidP="00EF5526">
            <w:pPr>
              <w:spacing w:line="360" w:lineRule="auto"/>
              <w:ind w:right="611"/>
              <w:rPr>
                <w:b/>
                <w:color w:val="000000"/>
                <w:sz w:val="16"/>
                <w:szCs w:val="16"/>
              </w:rPr>
            </w:pPr>
            <w:r>
              <w:rPr>
                <w:b/>
                <w:color w:val="000000"/>
                <w:sz w:val="16"/>
                <w:szCs w:val="16"/>
              </w:rPr>
              <w:t xml:space="preserve">Suppl 1, </w:t>
            </w:r>
            <w:r>
              <w:rPr>
                <w:b/>
                <w:color w:val="000000"/>
                <w:sz w:val="16"/>
                <w:szCs w:val="16"/>
              </w:rPr>
              <w:t>Table 1. Description of patient characteristics at co-variables</w:t>
            </w:r>
          </w:p>
        </w:tc>
      </w:tr>
      <w:tr w:rsidR="00A24048" w14:paraId="7E115F1F" w14:textId="77777777" w:rsidTr="00EF5526">
        <w:trPr>
          <w:trHeight w:val="454"/>
        </w:trPr>
        <w:tc>
          <w:tcPr>
            <w:tcW w:w="3251" w:type="dxa"/>
            <w:tcBorders>
              <w:top w:val="single" w:sz="4" w:space="0" w:color="auto"/>
              <w:bottom w:val="single" w:sz="4" w:space="0" w:color="auto"/>
            </w:tcBorders>
            <w:tcMar>
              <w:top w:w="1" w:type="dxa"/>
              <w:left w:w="1" w:type="dxa"/>
              <w:bottom w:w="1" w:type="dxa"/>
              <w:right w:w="1" w:type="dxa"/>
            </w:tcMar>
            <w:vAlign w:val="center"/>
          </w:tcPr>
          <w:p w14:paraId="3D597455" w14:textId="77777777" w:rsidR="00A24048" w:rsidRDefault="00A24048" w:rsidP="00EF5526">
            <w:pPr>
              <w:spacing w:line="360" w:lineRule="auto"/>
              <w:ind w:right="611"/>
              <w:rPr>
                <w:b/>
                <w:color w:val="000000"/>
                <w:sz w:val="16"/>
                <w:szCs w:val="16"/>
              </w:rPr>
            </w:pPr>
            <w:r>
              <w:rPr>
                <w:b/>
                <w:color w:val="000000"/>
                <w:sz w:val="16"/>
                <w:szCs w:val="16"/>
              </w:rPr>
              <w:t>Covariate name</w:t>
            </w:r>
          </w:p>
        </w:tc>
        <w:tc>
          <w:tcPr>
            <w:tcW w:w="6384" w:type="dxa"/>
            <w:tcBorders>
              <w:top w:val="single" w:sz="4" w:space="0" w:color="auto"/>
              <w:bottom w:val="single" w:sz="4" w:space="0" w:color="auto"/>
            </w:tcBorders>
            <w:tcMar>
              <w:top w:w="1" w:type="dxa"/>
              <w:left w:w="1" w:type="dxa"/>
              <w:bottom w:w="1" w:type="dxa"/>
              <w:right w:w="1" w:type="dxa"/>
            </w:tcMar>
            <w:vAlign w:val="center"/>
          </w:tcPr>
          <w:p w14:paraId="2BD0A331" w14:textId="77777777" w:rsidR="00A24048" w:rsidRDefault="00A24048" w:rsidP="00EF5526">
            <w:pPr>
              <w:spacing w:line="360" w:lineRule="auto"/>
              <w:ind w:right="611"/>
              <w:rPr>
                <w:b/>
                <w:color w:val="000000"/>
                <w:sz w:val="16"/>
                <w:szCs w:val="16"/>
              </w:rPr>
            </w:pPr>
            <w:r>
              <w:rPr>
                <w:b/>
                <w:color w:val="000000"/>
                <w:sz w:val="16"/>
                <w:szCs w:val="16"/>
              </w:rPr>
              <w:t>Description</w:t>
            </w:r>
          </w:p>
        </w:tc>
      </w:tr>
      <w:tr w:rsidR="00A24048" w14:paraId="32977D00" w14:textId="77777777" w:rsidTr="00EF5526">
        <w:trPr>
          <w:trHeight w:val="454"/>
        </w:trPr>
        <w:tc>
          <w:tcPr>
            <w:tcW w:w="3251" w:type="dxa"/>
            <w:tcBorders>
              <w:top w:val="single" w:sz="4" w:space="0" w:color="auto"/>
            </w:tcBorders>
            <w:tcMar>
              <w:top w:w="1" w:type="dxa"/>
              <w:left w:w="1" w:type="dxa"/>
              <w:bottom w:w="1" w:type="dxa"/>
              <w:right w:w="1" w:type="dxa"/>
            </w:tcMar>
            <w:vAlign w:val="center"/>
          </w:tcPr>
          <w:p w14:paraId="7B7B1DAC" w14:textId="77777777" w:rsidR="00A24048" w:rsidRDefault="00A24048" w:rsidP="00EF5526">
            <w:pPr>
              <w:spacing w:line="360" w:lineRule="auto"/>
              <w:ind w:right="611"/>
              <w:rPr>
                <w:color w:val="000000"/>
                <w:sz w:val="16"/>
                <w:szCs w:val="16"/>
              </w:rPr>
            </w:pPr>
            <w:r>
              <w:rPr>
                <w:color w:val="000000"/>
                <w:sz w:val="16"/>
                <w:szCs w:val="16"/>
              </w:rPr>
              <w:t>Age at Admission to Treatment (First Entry)</w:t>
            </w:r>
          </w:p>
        </w:tc>
        <w:tc>
          <w:tcPr>
            <w:tcW w:w="6384" w:type="dxa"/>
            <w:tcBorders>
              <w:top w:val="single" w:sz="4" w:space="0" w:color="auto"/>
            </w:tcBorders>
            <w:tcMar>
              <w:top w:w="1" w:type="dxa"/>
              <w:left w:w="1" w:type="dxa"/>
              <w:bottom w:w="1" w:type="dxa"/>
              <w:right w:w="1" w:type="dxa"/>
            </w:tcMar>
            <w:vAlign w:val="center"/>
          </w:tcPr>
          <w:p w14:paraId="3D2E419A" w14:textId="77777777" w:rsidR="00A24048" w:rsidRDefault="00A24048" w:rsidP="00EF5526">
            <w:pPr>
              <w:spacing w:line="360" w:lineRule="auto"/>
              <w:ind w:right="611"/>
              <w:rPr>
                <w:color w:val="000000"/>
                <w:sz w:val="16"/>
                <w:szCs w:val="16"/>
              </w:rPr>
            </w:pPr>
            <w:bookmarkStart w:id="0" w:name="_heading=h.30j0zll" w:colFirst="0" w:colLast="0"/>
            <w:bookmarkEnd w:id="0"/>
            <w:r>
              <w:rPr>
                <w:color w:val="000000"/>
                <w:sz w:val="16"/>
                <w:szCs w:val="16"/>
              </w:rPr>
              <w:t>Age of the patient at the time of admission to treatment.  The value of the first available treatment is considered.</w:t>
            </w:r>
          </w:p>
        </w:tc>
      </w:tr>
      <w:tr w:rsidR="00A24048" w14:paraId="2861544B" w14:textId="77777777" w:rsidTr="00EF5526">
        <w:trPr>
          <w:trHeight w:val="454"/>
        </w:trPr>
        <w:tc>
          <w:tcPr>
            <w:tcW w:w="3251" w:type="dxa"/>
            <w:tcMar>
              <w:top w:w="1" w:type="dxa"/>
              <w:left w:w="1" w:type="dxa"/>
              <w:bottom w:w="1" w:type="dxa"/>
              <w:right w:w="1" w:type="dxa"/>
            </w:tcMar>
            <w:vAlign w:val="center"/>
          </w:tcPr>
          <w:p w14:paraId="78A32A7C" w14:textId="77777777" w:rsidR="00A24048" w:rsidRDefault="00A24048" w:rsidP="00EF5526">
            <w:pPr>
              <w:spacing w:line="360" w:lineRule="auto"/>
              <w:ind w:right="611"/>
              <w:rPr>
                <w:color w:val="000000"/>
                <w:sz w:val="16"/>
                <w:szCs w:val="16"/>
              </w:rPr>
            </w:pPr>
            <w:r>
              <w:rPr>
                <w:color w:val="000000"/>
                <w:sz w:val="16"/>
                <w:szCs w:val="16"/>
              </w:rPr>
              <w:t>Sex</w:t>
            </w:r>
          </w:p>
        </w:tc>
        <w:tc>
          <w:tcPr>
            <w:tcW w:w="6384" w:type="dxa"/>
            <w:tcMar>
              <w:top w:w="1" w:type="dxa"/>
              <w:left w:w="1" w:type="dxa"/>
              <w:bottom w:w="1" w:type="dxa"/>
              <w:right w:w="1" w:type="dxa"/>
            </w:tcMar>
            <w:vAlign w:val="center"/>
          </w:tcPr>
          <w:p w14:paraId="26A1CDCF" w14:textId="77777777" w:rsidR="00A24048" w:rsidRDefault="00A24048" w:rsidP="00EF5526">
            <w:pPr>
              <w:spacing w:line="360" w:lineRule="auto"/>
              <w:ind w:right="611"/>
              <w:rPr>
                <w:color w:val="000000"/>
                <w:sz w:val="16"/>
                <w:szCs w:val="16"/>
              </w:rPr>
            </w:pPr>
            <w:r>
              <w:rPr>
                <w:color w:val="000000"/>
                <w:sz w:val="16"/>
                <w:szCs w:val="16"/>
              </w:rPr>
              <w:t>Indicated by patients at admission. Can adopt the following values: “woman” or “man”.</w:t>
            </w:r>
          </w:p>
        </w:tc>
      </w:tr>
      <w:tr w:rsidR="00A24048" w14:paraId="103219A9" w14:textId="77777777" w:rsidTr="00EF5526">
        <w:trPr>
          <w:trHeight w:val="454"/>
        </w:trPr>
        <w:tc>
          <w:tcPr>
            <w:tcW w:w="3251" w:type="dxa"/>
            <w:tcMar>
              <w:top w:w="1" w:type="dxa"/>
              <w:left w:w="1" w:type="dxa"/>
              <w:bottom w:w="1" w:type="dxa"/>
              <w:right w:w="1" w:type="dxa"/>
            </w:tcMar>
            <w:vAlign w:val="center"/>
          </w:tcPr>
          <w:p w14:paraId="38EB8FC6" w14:textId="77777777" w:rsidR="00A24048" w:rsidRDefault="00A24048" w:rsidP="00EF5526">
            <w:pPr>
              <w:spacing w:line="360" w:lineRule="auto"/>
              <w:ind w:right="611"/>
              <w:rPr>
                <w:color w:val="000000"/>
                <w:sz w:val="16"/>
                <w:szCs w:val="16"/>
              </w:rPr>
            </w:pPr>
            <w:r>
              <w:rPr>
                <w:color w:val="000000"/>
                <w:sz w:val="16"/>
                <w:szCs w:val="16"/>
              </w:rPr>
              <w:t xml:space="preserve">Educational attainment </w:t>
            </w:r>
          </w:p>
        </w:tc>
        <w:tc>
          <w:tcPr>
            <w:tcW w:w="6384" w:type="dxa"/>
            <w:tcMar>
              <w:top w:w="1" w:type="dxa"/>
              <w:left w:w="1" w:type="dxa"/>
              <w:bottom w:w="1" w:type="dxa"/>
              <w:right w:w="1" w:type="dxa"/>
            </w:tcMar>
            <w:vAlign w:val="center"/>
          </w:tcPr>
          <w:p w14:paraId="3FF76031" w14:textId="77777777" w:rsidR="00A24048" w:rsidRDefault="00A24048" w:rsidP="00EF5526">
            <w:pPr>
              <w:spacing w:line="360" w:lineRule="auto"/>
              <w:ind w:right="611"/>
              <w:rPr>
                <w:color w:val="000000"/>
                <w:sz w:val="16"/>
                <w:szCs w:val="16"/>
              </w:rPr>
            </w:pPr>
            <w:r>
              <w:rPr>
                <w:color w:val="000000"/>
                <w:sz w:val="16"/>
                <w:szCs w:val="16"/>
              </w:rPr>
              <w:t>The highest level completed by the patient. This variable was subdivided into 3 categories: "Primary completed or less", "Secondary completed or less" and "More than secondary".</w:t>
            </w:r>
          </w:p>
        </w:tc>
      </w:tr>
      <w:tr w:rsidR="00A24048" w14:paraId="6001397F" w14:textId="77777777" w:rsidTr="00EF5526">
        <w:trPr>
          <w:trHeight w:val="454"/>
        </w:trPr>
        <w:tc>
          <w:tcPr>
            <w:tcW w:w="3251" w:type="dxa"/>
            <w:tcMar>
              <w:top w:w="1" w:type="dxa"/>
              <w:left w:w="1" w:type="dxa"/>
              <w:bottom w:w="1" w:type="dxa"/>
              <w:right w:w="1" w:type="dxa"/>
            </w:tcMar>
            <w:vAlign w:val="center"/>
          </w:tcPr>
          <w:p w14:paraId="6D0F2469" w14:textId="77777777" w:rsidR="00A24048" w:rsidRDefault="00A24048" w:rsidP="00EF5526">
            <w:pPr>
              <w:spacing w:line="360" w:lineRule="auto"/>
              <w:ind w:right="611"/>
              <w:rPr>
                <w:color w:val="000000"/>
                <w:sz w:val="16"/>
                <w:szCs w:val="16"/>
              </w:rPr>
            </w:pPr>
            <w:r>
              <w:rPr>
                <w:color w:val="000000"/>
                <w:sz w:val="16"/>
                <w:szCs w:val="16"/>
              </w:rPr>
              <w:t>Main Substance of Consumption at Admission (Only more frequent):</w:t>
            </w:r>
          </w:p>
        </w:tc>
        <w:tc>
          <w:tcPr>
            <w:tcW w:w="6384" w:type="dxa"/>
            <w:tcMar>
              <w:top w:w="1" w:type="dxa"/>
              <w:left w:w="1" w:type="dxa"/>
              <w:bottom w:w="1" w:type="dxa"/>
              <w:right w:w="1" w:type="dxa"/>
            </w:tcMar>
            <w:vAlign w:val="center"/>
          </w:tcPr>
          <w:p w14:paraId="78F4BCF0" w14:textId="77777777" w:rsidR="00A24048" w:rsidRDefault="00A24048" w:rsidP="00EF5526">
            <w:pPr>
              <w:spacing w:line="360" w:lineRule="auto"/>
              <w:ind w:right="611"/>
              <w:rPr>
                <w:color w:val="000000"/>
                <w:sz w:val="16"/>
                <w:szCs w:val="16"/>
              </w:rPr>
            </w:pPr>
            <w:r>
              <w:rPr>
                <w:color w:val="000000"/>
                <w:sz w:val="16"/>
                <w:szCs w:val="16"/>
              </w:rPr>
              <w:t>Identified and defined by the patient as the substance that motivates the consultation and admission, being the substance of greatest concern.</w:t>
            </w:r>
          </w:p>
        </w:tc>
      </w:tr>
      <w:tr w:rsidR="00A24048" w14:paraId="2932BBAE" w14:textId="77777777" w:rsidTr="00EF5526">
        <w:trPr>
          <w:trHeight w:val="454"/>
        </w:trPr>
        <w:tc>
          <w:tcPr>
            <w:tcW w:w="3251" w:type="dxa"/>
            <w:tcMar>
              <w:top w:w="1" w:type="dxa"/>
              <w:left w:w="1" w:type="dxa"/>
              <w:bottom w:w="1" w:type="dxa"/>
              <w:right w:w="1" w:type="dxa"/>
            </w:tcMar>
            <w:vAlign w:val="center"/>
          </w:tcPr>
          <w:p w14:paraId="2A07B626" w14:textId="77777777" w:rsidR="00A24048" w:rsidRDefault="00A24048" w:rsidP="00EF5526">
            <w:pPr>
              <w:spacing w:line="360" w:lineRule="auto"/>
              <w:ind w:right="611"/>
              <w:rPr>
                <w:color w:val="000000"/>
                <w:sz w:val="16"/>
                <w:szCs w:val="16"/>
              </w:rPr>
            </w:pPr>
            <w:r>
              <w:rPr>
                <w:color w:val="000000"/>
                <w:sz w:val="16"/>
                <w:szCs w:val="16"/>
              </w:rPr>
              <w:t>Starting Substance (Only more frequent):</w:t>
            </w:r>
          </w:p>
        </w:tc>
        <w:tc>
          <w:tcPr>
            <w:tcW w:w="6384" w:type="dxa"/>
            <w:tcMar>
              <w:top w:w="1" w:type="dxa"/>
              <w:left w:w="1" w:type="dxa"/>
              <w:bottom w:w="1" w:type="dxa"/>
              <w:right w:w="1" w:type="dxa"/>
            </w:tcMar>
            <w:vAlign w:val="center"/>
          </w:tcPr>
          <w:p w14:paraId="04E390B2" w14:textId="77777777" w:rsidR="00A24048" w:rsidRDefault="00A24048" w:rsidP="00EF5526">
            <w:pPr>
              <w:spacing w:line="360" w:lineRule="auto"/>
              <w:ind w:right="611"/>
              <w:rPr>
                <w:color w:val="000000"/>
                <w:sz w:val="16"/>
                <w:szCs w:val="16"/>
              </w:rPr>
            </w:pPr>
            <w:r>
              <w:rPr>
                <w:color w:val="000000"/>
                <w:sz w:val="16"/>
                <w:szCs w:val="16"/>
              </w:rPr>
              <w:t xml:space="preserve">Indicated by patients as the starting substance of their drug use. SISTRAT allows the presentation of up to three starting substances, which is why we kept the most vulnerable category for patients who reported more than one value ("Base paste", "Cocaine hydrochloride", "Marijuana", "Alcohol", "Other"). On the other hand, other substances, such as hallucinogens, amphetamine-type stimulants, inhalants, opiates, sedatives, hypnotics and tranquilizers, and other substances (anabolic steroids, etc.), did not exceed 3% of the responses, and were therefore classified as "Other". </w:t>
            </w:r>
          </w:p>
        </w:tc>
      </w:tr>
      <w:tr w:rsidR="00A24048" w14:paraId="175B0B88" w14:textId="77777777" w:rsidTr="00EF5526">
        <w:trPr>
          <w:trHeight w:val="454"/>
        </w:trPr>
        <w:tc>
          <w:tcPr>
            <w:tcW w:w="3251" w:type="dxa"/>
            <w:tcMar>
              <w:top w:w="1" w:type="dxa"/>
              <w:left w:w="1" w:type="dxa"/>
              <w:bottom w:w="1" w:type="dxa"/>
              <w:right w:w="1" w:type="dxa"/>
            </w:tcMar>
            <w:vAlign w:val="center"/>
          </w:tcPr>
          <w:p w14:paraId="1A56D2D6" w14:textId="77777777" w:rsidR="00A24048" w:rsidRDefault="00A24048" w:rsidP="00EF5526">
            <w:pPr>
              <w:spacing w:line="360" w:lineRule="auto"/>
              <w:ind w:right="611"/>
              <w:rPr>
                <w:color w:val="000000"/>
                <w:sz w:val="16"/>
                <w:szCs w:val="16"/>
              </w:rPr>
            </w:pPr>
            <w:r>
              <w:rPr>
                <w:color w:val="000000"/>
                <w:sz w:val="16"/>
                <w:szCs w:val="16"/>
              </w:rPr>
              <w:t>Psychiatric Diagnoses (ICD-10)</w:t>
            </w:r>
          </w:p>
        </w:tc>
        <w:tc>
          <w:tcPr>
            <w:tcW w:w="6384" w:type="dxa"/>
            <w:tcMar>
              <w:top w:w="1" w:type="dxa"/>
              <w:left w:w="1" w:type="dxa"/>
              <w:bottom w:w="1" w:type="dxa"/>
              <w:right w:w="1" w:type="dxa"/>
            </w:tcMar>
            <w:vAlign w:val="center"/>
          </w:tcPr>
          <w:p w14:paraId="0FE3204E" w14:textId="77777777" w:rsidR="00A24048" w:rsidRDefault="00A24048" w:rsidP="00EF5526">
            <w:pPr>
              <w:spacing w:line="360" w:lineRule="auto"/>
              <w:ind w:right="611"/>
              <w:rPr>
                <w:color w:val="000000"/>
                <w:sz w:val="16"/>
                <w:szCs w:val="16"/>
              </w:rPr>
            </w:pPr>
            <w:r>
              <w:rPr>
                <w:color w:val="000000"/>
                <w:sz w:val="16"/>
                <w:szCs w:val="16"/>
              </w:rPr>
              <w:t>According to the ICD-10 (International Classification of Diseases 10th Edition) classification. The system allowed for submitting up to three psychiatric conditions. For continuous treatments, we kept the more vulnerable value if available. A clinical diagnosis of comorbidity can take up to 2 months of patients’ observation and abstinence.</w:t>
            </w:r>
          </w:p>
        </w:tc>
      </w:tr>
      <w:tr w:rsidR="00A24048" w14:paraId="1E13138D" w14:textId="77777777" w:rsidTr="00EF5526">
        <w:trPr>
          <w:trHeight w:val="454"/>
        </w:trPr>
        <w:tc>
          <w:tcPr>
            <w:tcW w:w="3251" w:type="dxa"/>
            <w:tcMar>
              <w:top w:w="1" w:type="dxa"/>
              <w:left w:w="1" w:type="dxa"/>
              <w:bottom w:w="1" w:type="dxa"/>
              <w:right w:w="1" w:type="dxa"/>
            </w:tcMar>
            <w:vAlign w:val="center"/>
          </w:tcPr>
          <w:p w14:paraId="1AD626EB" w14:textId="77777777" w:rsidR="00A24048" w:rsidRDefault="00A24048" w:rsidP="00EF5526">
            <w:pPr>
              <w:spacing w:line="360" w:lineRule="auto"/>
              <w:ind w:right="611"/>
              <w:rPr>
                <w:color w:val="000000"/>
                <w:sz w:val="16"/>
                <w:szCs w:val="16"/>
              </w:rPr>
            </w:pPr>
            <w:r>
              <w:rPr>
                <w:color w:val="000000"/>
                <w:sz w:val="16"/>
                <w:szCs w:val="16"/>
              </w:rPr>
              <w:t>Frequency of consumption of main substance</w:t>
            </w:r>
          </w:p>
        </w:tc>
        <w:tc>
          <w:tcPr>
            <w:tcW w:w="6384" w:type="dxa"/>
            <w:tcMar>
              <w:top w:w="1" w:type="dxa"/>
              <w:left w:w="1" w:type="dxa"/>
              <w:bottom w:w="1" w:type="dxa"/>
              <w:right w:w="1" w:type="dxa"/>
            </w:tcMar>
            <w:vAlign w:val="center"/>
          </w:tcPr>
          <w:p w14:paraId="249FB5ED" w14:textId="77777777" w:rsidR="00A24048" w:rsidRDefault="00A24048" w:rsidP="00EF5526">
            <w:pPr>
              <w:spacing w:line="360" w:lineRule="auto"/>
              <w:ind w:right="611"/>
              <w:rPr>
                <w:color w:val="000000"/>
                <w:sz w:val="16"/>
                <w:szCs w:val="16"/>
              </w:rPr>
            </w:pPr>
            <w:r>
              <w:rPr>
                <w:color w:val="000000"/>
                <w:sz w:val="16"/>
                <w:szCs w:val="16"/>
              </w:rPr>
              <w:t>Days of use in the last 30 days before treatment of the primary substance at admission. Categories considered: “Less than 1 day per week”, “1 day per week”, “2-3 days per week”, “4-6 days per week”, and “Daily”.</w:t>
            </w:r>
          </w:p>
        </w:tc>
      </w:tr>
      <w:tr w:rsidR="00A24048" w14:paraId="2738B778" w14:textId="77777777" w:rsidTr="00EF5526">
        <w:trPr>
          <w:trHeight w:val="454"/>
        </w:trPr>
        <w:tc>
          <w:tcPr>
            <w:tcW w:w="3251" w:type="dxa"/>
            <w:tcBorders>
              <w:bottom w:val="single" w:sz="4" w:space="0" w:color="auto"/>
            </w:tcBorders>
            <w:tcMar>
              <w:top w:w="1" w:type="dxa"/>
              <w:left w:w="1" w:type="dxa"/>
              <w:bottom w:w="1" w:type="dxa"/>
              <w:right w:w="1" w:type="dxa"/>
            </w:tcMar>
            <w:vAlign w:val="center"/>
          </w:tcPr>
          <w:p w14:paraId="5CE1C284" w14:textId="77777777" w:rsidR="00A24048" w:rsidRDefault="00A24048" w:rsidP="00EF5526">
            <w:pPr>
              <w:spacing w:line="360" w:lineRule="auto"/>
              <w:ind w:right="611"/>
              <w:rPr>
                <w:color w:val="000000"/>
                <w:sz w:val="16"/>
                <w:szCs w:val="16"/>
              </w:rPr>
            </w:pPr>
            <w:r>
              <w:rPr>
                <w:color w:val="000000"/>
                <w:sz w:val="16"/>
                <w:szCs w:val="16"/>
              </w:rPr>
              <w:t>Diagnosed of Substance Use Disorder:</w:t>
            </w:r>
          </w:p>
        </w:tc>
        <w:tc>
          <w:tcPr>
            <w:tcW w:w="6384" w:type="dxa"/>
            <w:tcBorders>
              <w:bottom w:val="single" w:sz="4" w:space="0" w:color="auto"/>
            </w:tcBorders>
            <w:tcMar>
              <w:top w:w="1" w:type="dxa"/>
              <w:left w:w="1" w:type="dxa"/>
              <w:bottom w:w="1" w:type="dxa"/>
              <w:right w:w="1" w:type="dxa"/>
            </w:tcMar>
            <w:vAlign w:val="center"/>
          </w:tcPr>
          <w:p w14:paraId="5BF027EE" w14:textId="77777777" w:rsidR="00A24048" w:rsidRDefault="00A24048" w:rsidP="00EF5526">
            <w:pPr>
              <w:spacing w:line="360" w:lineRule="auto"/>
              <w:ind w:right="611"/>
              <w:rPr>
                <w:color w:val="000000"/>
                <w:sz w:val="16"/>
                <w:szCs w:val="16"/>
              </w:rPr>
            </w:pPr>
            <w:r>
              <w:rPr>
                <w:color w:val="000000"/>
                <w:sz w:val="16"/>
                <w:szCs w:val="16"/>
              </w:rPr>
              <w:t xml:space="preserve">Secondary substance use disorder according to the ICD-10 classification. Available values were “Drug dependence” or “Hazardous consumption”. </w:t>
            </w:r>
          </w:p>
        </w:tc>
      </w:tr>
      <w:tr w:rsidR="00A24048" w14:paraId="0EBF1AC9" w14:textId="77777777" w:rsidTr="00EF5526">
        <w:trPr>
          <w:trHeight w:val="876"/>
        </w:trPr>
        <w:tc>
          <w:tcPr>
            <w:tcW w:w="9635" w:type="dxa"/>
            <w:gridSpan w:val="2"/>
            <w:tcBorders>
              <w:top w:val="single" w:sz="4" w:space="0" w:color="auto"/>
            </w:tcBorders>
            <w:tcMar>
              <w:top w:w="1" w:type="dxa"/>
              <w:left w:w="1" w:type="dxa"/>
              <w:bottom w:w="1" w:type="dxa"/>
              <w:right w:w="1" w:type="dxa"/>
            </w:tcMar>
            <w:vAlign w:val="center"/>
          </w:tcPr>
          <w:p w14:paraId="45E3408C" w14:textId="77777777" w:rsidR="00A24048" w:rsidRDefault="00A24048" w:rsidP="00EF5526">
            <w:pPr>
              <w:spacing w:line="360" w:lineRule="auto"/>
              <w:ind w:right="611"/>
              <w:rPr>
                <w:sz w:val="16"/>
                <w:szCs w:val="16"/>
              </w:rPr>
            </w:pPr>
            <w:r>
              <w:rPr>
                <w:sz w:val="16"/>
                <w:szCs w:val="16"/>
              </w:rPr>
              <w:t>*We consider the value of all covariates at the first treatment completed or not.</w:t>
            </w:r>
          </w:p>
          <w:p w14:paraId="3A301F6A" w14:textId="77777777" w:rsidR="00A24048" w:rsidRDefault="00A24048" w:rsidP="00EF5526">
            <w:pPr>
              <w:spacing w:line="360" w:lineRule="auto"/>
              <w:ind w:right="611"/>
              <w:rPr>
                <w:sz w:val="16"/>
                <w:szCs w:val="16"/>
              </w:rPr>
            </w:pPr>
          </w:p>
          <w:p w14:paraId="6331F634" w14:textId="77777777" w:rsidR="00A24048" w:rsidRDefault="00A24048" w:rsidP="00EF5526">
            <w:pPr>
              <w:spacing w:line="360" w:lineRule="auto"/>
              <w:ind w:right="611"/>
              <w:rPr>
                <w:color w:val="000000"/>
                <w:sz w:val="16"/>
                <w:szCs w:val="16"/>
              </w:rPr>
            </w:pPr>
          </w:p>
        </w:tc>
      </w:tr>
    </w:tbl>
    <w:p w14:paraId="54734817" w14:textId="77777777" w:rsidR="00A24048" w:rsidRDefault="00A24048" w:rsidP="00A24048"/>
    <w:p w14:paraId="28E486B2" w14:textId="77777777" w:rsidR="00A61F59" w:rsidRDefault="00A61F59"/>
    <w:sectPr w:rsidR="00A61F59" w:rsidSect="00557B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048"/>
    <w:rsid w:val="00004202"/>
    <w:rsid w:val="000268FE"/>
    <w:rsid w:val="00070D1B"/>
    <w:rsid w:val="000B2703"/>
    <w:rsid w:val="000B3A4E"/>
    <w:rsid w:val="000D2DD3"/>
    <w:rsid w:val="000D744B"/>
    <w:rsid w:val="000F5428"/>
    <w:rsid w:val="001013D6"/>
    <w:rsid w:val="00106684"/>
    <w:rsid w:val="0011661A"/>
    <w:rsid w:val="001200C5"/>
    <w:rsid w:val="00134DE7"/>
    <w:rsid w:val="0013688E"/>
    <w:rsid w:val="00146134"/>
    <w:rsid w:val="0018630A"/>
    <w:rsid w:val="001C58F3"/>
    <w:rsid w:val="00216588"/>
    <w:rsid w:val="002D0469"/>
    <w:rsid w:val="002F6BC7"/>
    <w:rsid w:val="00306EC3"/>
    <w:rsid w:val="00315EEC"/>
    <w:rsid w:val="003325EA"/>
    <w:rsid w:val="003A4B60"/>
    <w:rsid w:val="003D1C4A"/>
    <w:rsid w:val="004151D6"/>
    <w:rsid w:val="004261A2"/>
    <w:rsid w:val="00450A9A"/>
    <w:rsid w:val="00483597"/>
    <w:rsid w:val="004A0AE0"/>
    <w:rsid w:val="004B6168"/>
    <w:rsid w:val="004C1747"/>
    <w:rsid w:val="004D4CB9"/>
    <w:rsid w:val="00551F57"/>
    <w:rsid w:val="00557BDF"/>
    <w:rsid w:val="005953E4"/>
    <w:rsid w:val="005A2A8C"/>
    <w:rsid w:val="005D2EAF"/>
    <w:rsid w:val="005E14B8"/>
    <w:rsid w:val="00621773"/>
    <w:rsid w:val="006251F9"/>
    <w:rsid w:val="00627782"/>
    <w:rsid w:val="00684A3E"/>
    <w:rsid w:val="00686E1A"/>
    <w:rsid w:val="006F62FC"/>
    <w:rsid w:val="00703E18"/>
    <w:rsid w:val="00710492"/>
    <w:rsid w:val="00730145"/>
    <w:rsid w:val="00730C3E"/>
    <w:rsid w:val="00736AC5"/>
    <w:rsid w:val="00754014"/>
    <w:rsid w:val="00781A54"/>
    <w:rsid w:val="007D5C23"/>
    <w:rsid w:val="008123FE"/>
    <w:rsid w:val="00845B56"/>
    <w:rsid w:val="0088007D"/>
    <w:rsid w:val="00896823"/>
    <w:rsid w:val="00897828"/>
    <w:rsid w:val="0090334C"/>
    <w:rsid w:val="00912BE7"/>
    <w:rsid w:val="0093586B"/>
    <w:rsid w:val="0099480C"/>
    <w:rsid w:val="009B72ED"/>
    <w:rsid w:val="009C245D"/>
    <w:rsid w:val="009D21D0"/>
    <w:rsid w:val="009F11B8"/>
    <w:rsid w:val="00A24048"/>
    <w:rsid w:val="00A53A2F"/>
    <w:rsid w:val="00A61F59"/>
    <w:rsid w:val="00A97EC5"/>
    <w:rsid w:val="00AD043F"/>
    <w:rsid w:val="00B1573B"/>
    <w:rsid w:val="00B178E9"/>
    <w:rsid w:val="00B34D95"/>
    <w:rsid w:val="00B362A6"/>
    <w:rsid w:val="00B82AD6"/>
    <w:rsid w:val="00BA5CD4"/>
    <w:rsid w:val="00BE02D2"/>
    <w:rsid w:val="00C02416"/>
    <w:rsid w:val="00C65066"/>
    <w:rsid w:val="00CD0CE2"/>
    <w:rsid w:val="00CF1722"/>
    <w:rsid w:val="00CF53EC"/>
    <w:rsid w:val="00D40B78"/>
    <w:rsid w:val="00D72A6E"/>
    <w:rsid w:val="00D73A05"/>
    <w:rsid w:val="00DB4688"/>
    <w:rsid w:val="00DB5417"/>
    <w:rsid w:val="00E04518"/>
    <w:rsid w:val="00E1111E"/>
    <w:rsid w:val="00E30E35"/>
    <w:rsid w:val="00E31949"/>
    <w:rsid w:val="00E51597"/>
    <w:rsid w:val="00E55F0A"/>
    <w:rsid w:val="00E66DC7"/>
    <w:rsid w:val="00E75C15"/>
    <w:rsid w:val="00EB2929"/>
    <w:rsid w:val="00F0186F"/>
    <w:rsid w:val="00F237D7"/>
    <w:rsid w:val="00F30BC7"/>
    <w:rsid w:val="00F54BED"/>
    <w:rsid w:val="00F6417F"/>
    <w:rsid w:val="00FB3B20"/>
    <w:rsid w:val="00FC5D9F"/>
    <w:rsid w:val="00FF3C37"/>
  </w:rsids>
  <m:mathPr>
    <m:mathFont m:val="Cambria Math"/>
    <m:brkBin m:val="before"/>
    <m:brkBinSub m:val="--"/>
    <m:smallFrac m:val="0"/>
    <m:dispDef/>
    <m:lMargin m:val="0"/>
    <m:rMargin m:val="0"/>
    <m:defJc m:val="centerGroup"/>
    <m:wrapIndent m:val="1440"/>
    <m:intLim m:val="subSup"/>
    <m:naryLim m:val="undOvr"/>
  </m:mathPr>
  <w:themeFontLang w:val="en-CL"/>
  <w:clrSchemeMapping w:bg1="light1" w:t1="dark1" w:bg2="light2" w:t2="dark2" w:accent1="accent1" w:accent2="accent2" w:accent3="accent3" w:accent4="accent4" w:accent5="accent5" w:accent6="accent6" w:hyperlink="hyperlink" w:followedHyperlink="followedHyperlink"/>
  <w:decimalSymbol w:val=","/>
  <w:listSeparator w:val=","/>
  <w14:docId w14:val="22476AC4"/>
  <w15:chartTrackingRefBased/>
  <w15:docId w15:val="{D2A6E711-E748-6A42-B36D-7D682A00E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048"/>
    <w:pPr>
      <w:spacing w:line="480" w:lineRule="auto"/>
      <w:jc w:val="both"/>
    </w:pPr>
    <w:rPr>
      <w:rFonts w:ascii="Calibri" w:eastAsia="Calibri" w:hAnsi="Calibri" w:cs="Calibri"/>
      <w:lang w:val="en-US"/>
    </w:rPr>
  </w:style>
  <w:style w:type="paragraph" w:styleId="Heading1">
    <w:name w:val="heading 1"/>
    <w:basedOn w:val="Normal"/>
    <w:next w:val="Normal"/>
    <w:link w:val="Heading1Char"/>
    <w:uiPriority w:val="9"/>
    <w:qFormat/>
    <w:rsid w:val="00A24048"/>
    <w:pPr>
      <w:keepNext/>
      <w:keepLines/>
      <w:spacing w:before="360" w:after="80" w:line="240" w:lineRule="auto"/>
      <w:jc w:val="left"/>
      <w:outlineLvl w:val="0"/>
    </w:pPr>
    <w:rPr>
      <w:rFonts w:asciiTheme="majorHAnsi" w:eastAsiaTheme="majorEastAsia" w:hAnsiTheme="majorHAnsi" w:cstheme="majorBidi"/>
      <w:color w:val="0F4761" w:themeColor="accent1" w:themeShade="BF"/>
      <w:sz w:val="40"/>
      <w:szCs w:val="40"/>
      <w:lang w:val="en-CL"/>
    </w:rPr>
  </w:style>
  <w:style w:type="paragraph" w:styleId="Heading2">
    <w:name w:val="heading 2"/>
    <w:basedOn w:val="Normal"/>
    <w:next w:val="Normal"/>
    <w:link w:val="Heading2Char"/>
    <w:uiPriority w:val="9"/>
    <w:semiHidden/>
    <w:unhideWhenUsed/>
    <w:qFormat/>
    <w:rsid w:val="00A24048"/>
    <w:pPr>
      <w:keepNext/>
      <w:keepLines/>
      <w:spacing w:before="160" w:after="80" w:line="240" w:lineRule="auto"/>
      <w:jc w:val="left"/>
      <w:outlineLvl w:val="1"/>
    </w:pPr>
    <w:rPr>
      <w:rFonts w:asciiTheme="majorHAnsi" w:eastAsiaTheme="majorEastAsia" w:hAnsiTheme="majorHAnsi" w:cstheme="majorBidi"/>
      <w:color w:val="0F4761" w:themeColor="accent1" w:themeShade="BF"/>
      <w:sz w:val="32"/>
      <w:szCs w:val="32"/>
      <w:lang w:val="en-CL"/>
    </w:rPr>
  </w:style>
  <w:style w:type="paragraph" w:styleId="Heading3">
    <w:name w:val="heading 3"/>
    <w:basedOn w:val="Normal"/>
    <w:next w:val="Normal"/>
    <w:link w:val="Heading3Char"/>
    <w:uiPriority w:val="9"/>
    <w:semiHidden/>
    <w:unhideWhenUsed/>
    <w:qFormat/>
    <w:rsid w:val="00A24048"/>
    <w:pPr>
      <w:keepNext/>
      <w:keepLines/>
      <w:spacing w:before="160" w:after="80" w:line="240" w:lineRule="auto"/>
      <w:jc w:val="left"/>
      <w:outlineLvl w:val="2"/>
    </w:pPr>
    <w:rPr>
      <w:rFonts w:asciiTheme="minorHAnsi" w:eastAsiaTheme="majorEastAsia" w:hAnsiTheme="minorHAnsi" w:cstheme="majorBidi"/>
      <w:color w:val="0F4761" w:themeColor="accent1" w:themeShade="BF"/>
      <w:sz w:val="28"/>
      <w:szCs w:val="28"/>
      <w:lang w:val="en-CL"/>
    </w:rPr>
  </w:style>
  <w:style w:type="paragraph" w:styleId="Heading4">
    <w:name w:val="heading 4"/>
    <w:basedOn w:val="Normal"/>
    <w:next w:val="Normal"/>
    <w:link w:val="Heading4Char"/>
    <w:uiPriority w:val="9"/>
    <w:semiHidden/>
    <w:unhideWhenUsed/>
    <w:qFormat/>
    <w:rsid w:val="00A24048"/>
    <w:pPr>
      <w:keepNext/>
      <w:keepLines/>
      <w:spacing w:before="80" w:after="40" w:line="240" w:lineRule="auto"/>
      <w:jc w:val="left"/>
      <w:outlineLvl w:val="3"/>
    </w:pPr>
    <w:rPr>
      <w:rFonts w:asciiTheme="minorHAnsi" w:eastAsiaTheme="majorEastAsia" w:hAnsiTheme="minorHAnsi" w:cstheme="majorBidi"/>
      <w:i/>
      <w:iCs/>
      <w:color w:val="0F4761" w:themeColor="accent1" w:themeShade="BF"/>
      <w:lang w:val="en-CL"/>
    </w:rPr>
  </w:style>
  <w:style w:type="paragraph" w:styleId="Heading5">
    <w:name w:val="heading 5"/>
    <w:basedOn w:val="Normal"/>
    <w:next w:val="Normal"/>
    <w:link w:val="Heading5Char"/>
    <w:uiPriority w:val="9"/>
    <w:semiHidden/>
    <w:unhideWhenUsed/>
    <w:qFormat/>
    <w:rsid w:val="00A24048"/>
    <w:pPr>
      <w:keepNext/>
      <w:keepLines/>
      <w:spacing w:before="80" w:after="40" w:line="240" w:lineRule="auto"/>
      <w:jc w:val="left"/>
      <w:outlineLvl w:val="4"/>
    </w:pPr>
    <w:rPr>
      <w:rFonts w:asciiTheme="minorHAnsi" w:eastAsiaTheme="majorEastAsia" w:hAnsiTheme="minorHAnsi" w:cstheme="majorBidi"/>
      <w:color w:val="0F4761" w:themeColor="accent1" w:themeShade="BF"/>
      <w:lang w:val="en-CL"/>
    </w:rPr>
  </w:style>
  <w:style w:type="paragraph" w:styleId="Heading6">
    <w:name w:val="heading 6"/>
    <w:basedOn w:val="Normal"/>
    <w:next w:val="Normal"/>
    <w:link w:val="Heading6Char"/>
    <w:uiPriority w:val="9"/>
    <w:semiHidden/>
    <w:unhideWhenUsed/>
    <w:qFormat/>
    <w:rsid w:val="00A24048"/>
    <w:pPr>
      <w:keepNext/>
      <w:keepLines/>
      <w:spacing w:before="40" w:line="240" w:lineRule="auto"/>
      <w:jc w:val="left"/>
      <w:outlineLvl w:val="5"/>
    </w:pPr>
    <w:rPr>
      <w:rFonts w:asciiTheme="minorHAnsi" w:eastAsiaTheme="majorEastAsia" w:hAnsiTheme="minorHAnsi" w:cstheme="majorBidi"/>
      <w:i/>
      <w:iCs/>
      <w:color w:val="595959" w:themeColor="text1" w:themeTint="A6"/>
      <w:lang w:val="en-CL"/>
    </w:rPr>
  </w:style>
  <w:style w:type="paragraph" w:styleId="Heading7">
    <w:name w:val="heading 7"/>
    <w:basedOn w:val="Normal"/>
    <w:next w:val="Normal"/>
    <w:link w:val="Heading7Char"/>
    <w:uiPriority w:val="9"/>
    <w:semiHidden/>
    <w:unhideWhenUsed/>
    <w:qFormat/>
    <w:rsid w:val="00A24048"/>
    <w:pPr>
      <w:keepNext/>
      <w:keepLines/>
      <w:spacing w:before="40" w:line="240" w:lineRule="auto"/>
      <w:jc w:val="left"/>
      <w:outlineLvl w:val="6"/>
    </w:pPr>
    <w:rPr>
      <w:rFonts w:asciiTheme="minorHAnsi" w:eastAsiaTheme="majorEastAsia" w:hAnsiTheme="minorHAnsi" w:cstheme="majorBidi"/>
      <w:color w:val="595959" w:themeColor="text1" w:themeTint="A6"/>
      <w:lang w:val="en-CL"/>
    </w:rPr>
  </w:style>
  <w:style w:type="paragraph" w:styleId="Heading8">
    <w:name w:val="heading 8"/>
    <w:basedOn w:val="Normal"/>
    <w:next w:val="Normal"/>
    <w:link w:val="Heading8Char"/>
    <w:uiPriority w:val="9"/>
    <w:semiHidden/>
    <w:unhideWhenUsed/>
    <w:qFormat/>
    <w:rsid w:val="00A24048"/>
    <w:pPr>
      <w:keepNext/>
      <w:keepLines/>
      <w:spacing w:line="240" w:lineRule="auto"/>
      <w:jc w:val="left"/>
      <w:outlineLvl w:val="7"/>
    </w:pPr>
    <w:rPr>
      <w:rFonts w:asciiTheme="minorHAnsi" w:eastAsiaTheme="majorEastAsia" w:hAnsiTheme="minorHAnsi" w:cstheme="majorBidi"/>
      <w:i/>
      <w:iCs/>
      <w:color w:val="272727" w:themeColor="text1" w:themeTint="D8"/>
      <w:lang w:val="en-CL"/>
    </w:rPr>
  </w:style>
  <w:style w:type="paragraph" w:styleId="Heading9">
    <w:name w:val="heading 9"/>
    <w:basedOn w:val="Normal"/>
    <w:next w:val="Normal"/>
    <w:link w:val="Heading9Char"/>
    <w:uiPriority w:val="9"/>
    <w:semiHidden/>
    <w:unhideWhenUsed/>
    <w:qFormat/>
    <w:rsid w:val="00A24048"/>
    <w:pPr>
      <w:keepNext/>
      <w:keepLines/>
      <w:spacing w:line="240" w:lineRule="auto"/>
      <w:jc w:val="left"/>
      <w:outlineLvl w:val="8"/>
    </w:pPr>
    <w:rPr>
      <w:rFonts w:asciiTheme="minorHAnsi" w:eastAsiaTheme="majorEastAsia" w:hAnsiTheme="minorHAnsi" w:cstheme="majorBidi"/>
      <w:color w:val="272727" w:themeColor="text1" w:themeTint="D8"/>
      <w:lang w:val="en-C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0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40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40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40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40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40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0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0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048"/>
    <w:rPr>
      <w:rFonts w:eastAsiaTheme="majorEastAsia" w:cstheme="majorBidi"/>
      <w:color w:val="272727" w:themeColor="text1" w:themeTint="D8"/>
    </w:rPr>
  </w:style>
  <w:style w:type="paragraph" w:styleId="Title">
    <w:name w:val="Title"/>
    <w:basedOn w:val="Normal"/>
    <w:next w:val="Normal"/>
    <w:link w:val="TitleChar"/>
    <w:uiPriority w:val="10"/>
    <w:qFormat/>
    <w:rsid w:val="00A24048"/>
    <w:pPr>
      <w:spacing w:after="80" w:line="240" w:lineRule="auto"/>
      <w:contextualSpacing/>
      <w:jc w:val="left"/>
    </w:pPr>
    <w:rPr>
      <w:rFonts w:asciiTheme="majorHAnsi" w:eastAsiaTheme="majorEastAsia" w:hAnsiTheme="majorHAnsi" w:cstheme="majorBidi"/>
      <w:spacing w:val="-10"/>
      <w:kern w:val="28"/>
      <w:sz w:val="56"/>
      <w:szCs w:val="56"/>
      <w:lang w:val="en-CL"/>
    </w:rPr>
  </w:style>
  <w:style w:type="character" w:customStyle="1" w:styleId="TitleChar">
    <w:name w:val="Title Char"/>
    <w:basedOn w:val="DefaultParagraphFont"/>
    <w:link w:val="Title"/>
    <w:uiPriority w:val="10"/>
    <w:rsid w:val="00A240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048"/>
    <w:pPr>
      <w:numPr>
        <w:ilvl w:val="1"/>
      </w:numPr>
      <w:spacing w:after="160" w:line="240" w:lineRule="auto"/>
      <w:jc w:val="left"/>
    </w:pPr>
    <w:rPr>
      <w:rFonts w:asciiTheme="minorHAnsi" w:eastAsiaTheme="majorEastAsia" w:hAnsiTheme="minorHAnsi" w:cstheme="majorBidi"/>
      <w:color w:val="595959" w:themeColor="text1" w:themeTint="A6"/>
      <w:spacing w:val="15"/>
      <w:sz w:val="28"/>
      <w:szCs w:val="28"/>
      <w:lang w:val="en-CL"/>
    </w:rPr>
  </w:style>
  <w:style w:type="character" w:customStyle="1" w:styleId="SubtitleChar">
    <w:name w:val="Subtitle Char"/>
    <w:basedOn w:val="DefaultParagraphFont"/>
    <w:link w:val="Subtitle"/>
    <w:uiPriority w:val="11"/>
    <w:rsid w:val="00A240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048"/>
    <w:pPr>
      <w:spacing w:before="160" w:after="160" w:line="240" w:lineRule="auto"/>
      <w:jc w:val="center"/>
    </w:pPr>
    <w:rPr>
      <w:rFonts w:asciiTheme="minorHAnsi" w:eastAsiaTheme="minorHAnsi" w:hAnsiTheme="minorHAnsi" w:cstheme="minorBidi"/>
      <w:i/>
      <w:iCs/>
      <w:color w:val="404040" w:themeColor="text1" w:themeTint="BF"/>
      <w:lang w:val="en-CL"/>
    </w:rPr>
  </w:style>
  <w:style w:type="character" w:customStyle="1" w:styleId="QuoteChar">
    <w:name w:val="Quote Char"/>
    <w:basedOn w:val="DefaultParagraphFont"/>
    <w:link w:val="Quote"/>
    <w:uiPriority w:val="29"/>
    <w:rsid w:val="00A24048"/>
    <w:rPr>
      <w:i/>
      <w:iCs/>
      <w:color w:val="404040" w:themeColor="text1" w:themeTint="BF"/>
    </w:rPr>
  </w:style>
  <w:style w:type="paragraph" w:styleId="ListParagraph">
    <w:name w:val="List Paragraph"/>
    <w:basedOn w:val="Normal"/>
    <w:uiPriority w:val="34"/>
    <w:qFormat/>
    <w:rsid w:val="00A24048"/>
    <w:pPr>
      <w:spacing w:line="240" w:lineRule="auto"/>
      <w:ind w:left="720"/>
      <w:contextualSpacing/>
      <w:jc w:val="left"/>
    </w:pPr>
    <w:rPr>
      <w:rFonts w:asciiTheme="minorHAnsi" w:eastAsiaTheme="minorHAnsi" w:hAnsiTheme="minorHAnsi" w:cstheme="minorBidi"/>
      <w:lang w:val="en-CL"/>
    </w:rPr>
  </w:style>
  <w:style w:type="character" w:styleId="IntenseEmphasis">
    <w:name w:val="Intense Emphasis"/>
    <w:basedOn w:val="DefaultParagraphFont"/>
    <w:uiPriority w:val="21"/>
    <w:qFormat/>
    <w:rsid w:val="00A24048"/>
    <w:rPr>
      <w:i/>
      <w:iCs/>
      <w:color w:val="0F4761" w:themeColor="accent1" w:themeShade="BF"/>
    </w:rPr>
  </w:style>
  <w:style w:type="paragraph" w:styleId="IntenseQuote">
    <w:name w:val="Intense Quote"/>
    <w:basedOn w:val="Normal"/>
    <w:next w:val="Normal"/>
    <w:link w:val="IntenseQuoteChar"/>
    <w:uiPriority w:val="30"/>
    <w:qFormat/>
    <w:rsid w:val="00A24048"/>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lang w:val="en-CL"/>
    </w:rPr>
  </w:style>
  <w:style w:type="character" w:customStyle="1" w:styleId="IntenseQuoteChar">
    <w:name w:val="Intense Quote Char"/>
    <w:basedOn w:val="DefaultParagraphFont"/>
    <w:link w:val="IntenseQuote"/>
    <w:uiPriority w:val="30"/>
    <w:rsid w:val="00A24048"/>
    <w:rPr>
      <w:i/>
      <w:iCs/>
      <w:color w:val="0F4761" w:themeColor="accent1" w:themeShade="BF"/>
    </w:rPr>
  </w:style>
  <w:style w:type="character" w:styleId="IntenseReference">
    <w:name w:val="Intense Reference"/>
    <w:basedOn w:val="DefaultParagraphFont"/>
    <w:uiPriority w:val="32"/>
    <w:qFormat/>
    <w:rsid w:val="00A240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1947</Characters>
  <Application>Microsoft Office Word</Application>
  <DocSecurity>0</DocSecurity>
  <Lines>16</Lines>
  <Paragraphs>4</Paragraphs>
  <ScaleCrop>false</ScaleCrop>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Eduardo Gaete Olivares</dc:creator>
  <cp:keywords/>
  <dc:description/>
  <cp:lastModifiedBy>Jorge Eduardo Gaete Olivares</cp:lastModifiedBy>
  <cp:revision>1</cp:revision>
  <dcterms:created xsi:type="dcterms:W3CDTF">2024-03-20T14:43:00Z</dcterms:created>
  <dcterms:modified xsi:type="dcterms:W3CDTF">2024-03-20T14:43:00Z</dcterms:modified>
</cp:coreProperties>
</file>