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C0E61B" w14:textId="77777777" w:rsidR="00522963" w:rsidRPr="001337F5" w:rsidRDefault="00522963" w:rsidP="00522963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337F5">
        <w:rPr>
          <w:rFonts w:ascii="Times New Roman" w:hAnsi="Times New Roman" w:cs="Times New Roman"/>
          <w:b/>
          <w:bCs/>
          <w:sz w:val="24"/>
          <w:szCs w:val="24"/>
        </w:rPr>
        <w:t>Supplementary material:</w:t>
      </w:r>
    </w:p>
    <w:p w14:paraId="4F485EAB" w14:textId="77777777" w:rsidR="00522963" w:rsidRPr="001337F5" w:rsidRDefault="00522963" w:rsidP="0052296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CFCFC"/>
        </w:rPr>
      </w:pPr>
      <w:r w:rsidRPr="001337F5">
        <w:rPr>
          <w:rFonts w:ascii="Times New Roman" w:hAnsi="Times New Roman" w:cs="Times New Roman"/>
          <w:b/>
          <w:bCs/>
          <w:sz w:val="24"/>
          <w:szCs w:val="24"/>
          <w:shd w:val="clear" w:color="auto" w:fill="FCFCFC"/>
        </w:rPr>
        <w:t xml:space="preserve">Fig S1: </w:t>
      </w:r>
      <w:r w:rsidRPr="001337F5">
        <w:rPr>
          <w:rFonts w:ascii="Times New Roman" w:hAnsi="Times New Roman" w:cs="Times New Roman"/>
          <w:sz w:val="24"/>
          <w:szCs w:val="24"/>
          <w:shd w:val="clear" w:color="auto" w:fill="FCFCFC"/>
        </w:rPr>
        <w:t xml:space="preserve">SNPs-based and area under the disease progress curve (AUDPC) of </w:t>
      </w:r>
      <w:r w:rsidRPr="009906AD">
        <w:rPr>
          <w:rFonts w:ascii="Times New Roman" w:hAnsi="Times New Roman" w:cs="Times New Roman"/>
          <w:sz w:val="24"/>
          <w:szCs w:val="24"/>
          <w:shd w:val="clear" w:color="auto" w:fill="FCFCFC"/>
        </w:rPr>
        <w:t>Septoria tritici</w:t>
      </w:r>
      <w:r w:rsidRPr="001337F5">
        <w:rPr>
          <w:rFonts w:ascii="Times New Roman" w:hAnsi="Times New Roman" w:cs="Times New Roman"/>
          <w:sz w:val="24"/>
          <w:szCs w:val="24"/>
          <w:shd w:val="clear" w:color="auto" w:fill="FCFCFC"/>
        </w:rPr>
        <w:t xml:space="preserve"> blotch incidence-based population structure and dendrogram of 181 wheat genotypes (S1a) SNPs-based hierarchical cluster; (S2b) AUDPC-based hierarchical cluster.</w:t>
      </w:r>
    </w:p>
    <w:p w14:paraId="26649D31" w14:textId="77777777" w:rsidR="00522963" w:rsidRPr="001337F5" w:rsidRDefault="00522963" w:rsidP="0052296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CFCFC"/>
        </w:rPr>
      </w:pPr>
      <w:r w:rsidRPr="001337F5">
        <w:rPr>
          <w:rFonts w:ascii="Times New Roman" w:hAnsi="Times New Roman" w:cs="Times New Roman"/>
          <w:b/>
          <w:bCs/>
          <w:sz w:val="24"/>
          <w:szCs w:val="24"/>
          <w:shd w:val="clear" w:color="auto" w:fill="FCFCFC"/>
        </w:rPr>
        <w:t>Fig. S2:</w:t>
      </w:r>
      <w:r w:rsidRPr="001337F5">
        <w:rPr>
          <w:rFonts w:ascii="Times New Roman" w:hAnsi="Times New Roman" w:cs="Times New Roman"/>
          <w:sz w:val="24"/>
          <w:szCs w:val="24"/>
          <w:shd w:val="clear" w:color="auto" w:fill="FCFCFC"/>
        </w:rPr>
        <w:t xml:space="preserve"> Scatterplot showing linkage disequilibrium (LD) decay estimated by plotting (r</w:t>
      </w:r>
      <w:r w:rsidRPr="001337F5">
        <w:rPr>
          <w:rFonts w:ascii="Times New Roman" w:hAnsi="Times New Roman" w:cs="Times New Roman"/>
          <w:sz w:val="24"/>
          <w:szCs w:val="24"/>
          <w:shd w:val="clear" w:color="auto" w:fill="FCFCFC"/>
          <w:vertAlign w:val="superscript"/>
        </w:rPr>
        <w:t>2</w:t>
      </w:r>
      <w:r w:rsidRPr="001337F5">
        <w:rPr>
          <w:rFonts w:ascii="Times New Roman" w:hAnsi="Times New Roman" w:cs="Times New Roman"/>
          <w:sz w:val="24"/>
          <w:szCs w:val="24"/>
          <w:shd w:val="clear" w:color="auto" w:fill="FCFCFC"/>
        </w:rPr>
        <w:t xml:space="preserve">) against genetic distance (bp) in 181 diverse bread wheat accessions. The green line indicates the threshold point where LD dropped to 50% of its maximum value. LD decay value at cut off point is indicated on the x-axis with the green font </w:t>
      </w:r>
      <w:r w:rsidRPr="001337F5">
        <w:rPr>
          <w:rFonts w:ascii="Times New Roman" w:hAnsi="Times New Roman" w:cs="Times New Roman"/>
          <w:b/>
          <w:bCs/>
          <w:sz w:val="24"/>
          <w:szCs w:val="24"/>
          <w:shd w:val="clear" w:color="auto" w:fill="FCFCFC"/>
        </w:rPr>
        <w:t>(a)</w:t>
      </w:r>
      <w:r w:rsidRPr="001337F5">
        <w:rPr>
          <w:rFonts w:ascii="Times New Roman" w:hAnsi="Times New Roman" w:cs="Times New Roman"/>
          <w:sz w:val="24"/>
          <w:szCs w:val="24"/>
          <w:shd w:val="clear" w:color="auto" w:fill="FCFCFC"/>
        </w:rPr>
        <w:t xml:space="preserve"> A genome </w:t>
      </w:r>
      <w:r w:rsidRPr="001337F5">
        <w:rPr>
          <w:rFonts w:ascii="Times New Roman" w:hAnsi="Times New Roman" w:cs="Times New Roman"/>
          <w:b/>
          <w:bCs/>
          <w:sz w:val="24"/>
          <w:szCs w:val="24"/>
          <w:shd w:val="clear" w:color="auto" w:fill="FCFCFC"/>
        </w:rPr>
        <w:t>(b)</w:t>
      </w:r>
      <w:r w:rsidRPr="001337F5">
        <w:rPr>
          <w:rFonts w:ascii="Times New Roman" w:hAnsi="Times New Roman" w:cs="Times New Roman"/>
          <w:sz w:val="24"/>
          <w:szCs w:val="24"/>
          <w:shd w:val="clear" w:color="auto" w:fill="FCFCFC"/>
        </w:rPr>
        <w:t xml:space="preserve"> B genome </w:t>
      </w:r>
      <w:r w:rsidRPr="001337F5">
        <w:rPr>
          <w:rFonts w:ascii="Times New Roman" w:hAnsi="Times New Roman" w:cs="Times New Roman"/>
          <w:b/>
          <w:bCs/>
          <w:sz w:val="24"/>
          <w:szCs w:val="24"/>
          <w:shd w:val="clear" w:color="auto" w:fill="FCFCFC"/>
        </w:rPr>
        <w:t>(c)</w:t>
      </w:r>
      <w:r w:rsidRPr="001337F5">
        <w:rPr>
          <w:rFonts w:ascii="Times New Roman" w:hAnsi="Times New Roman" w:cs="Times New Roman"/>
          <w:sz w:val="24"/>
          <w:szCs w:val="24"/>
          <w:shd w:val="clear" w:color="auto" w:fill="FCFCFC"/>
        </w:rPr>
        <w:t xml:space="preserve"> D genome </w:t>
      </w:r>
      <w:r w:rsidRPr="001337F5">
        <w:rPr>
          <w:rFonts w:ascii="Times New Roman" w:hAnsi="Times New Roman" w:cs="Times New Roman"/>
          <w:b/>
          <w:bCs/>
          <w:sz w:val="24"/>
          <w:szCs w:val="24"/>
          <w:shd w:val="clear" w:color="auto" w:fill="FCFCFC"/>
        </w:rPr>
        <w:t>(d)</w:t>
      </w:r>
      <w:r w:rsidRPr="001337F5">
        <w:rPr>
          <w:rFonts w:ascii="Times New Roman" w:hAnsi="Times New Roman" w:cs="Times New Roman"/>
          <w:sz w:val="24"/>
          <w:szCs w:val="24"/>
          <w:shd w:val="clear" w:color="auto" w:fill="FCFCFC"/>
        </w:rPr>
        <w:t xml:space="preserve"> overall.</w:t>
      </w:r>
    </w:p>
    <w:p w14:paraId="7CEF16D2" w14:textId="77777777" w:rsidR="00522963" w:rsidRPr="001337F5" w:rsidRDefault="00522963" w:rsidP="0052296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CFCFC"/>
        </w:rPr>
      </w:pPr>
      <w:r w:rsidRPr="001337F5">
        <w:rPr>
          <w:rFonts w:ascii="Times New Roman" w:hAnsi="Times New Roman" w:cs="Times New Roman"/>
          <w:b/>
          <w:bCs/>
          <w:sz w:val="24"/>
          <w:szCs w:val="24"/>
          <w:shd w:val="clear" w:color="auto" w:fill="FCFCFC"/>
        </w:rPr>
        <w:t>Fig. S3</w:t>
      </w:r>
      <w:r w:rsidRPr="001337F5">
        <w:rPr>
          <w:rFonts w:ascii="Times New Roman" w:hAnsi="Times New Roman" w:cs="Times New Roman"/>
          <w:sz w:val="24"/>
          <w:szCs w:val="24"/>
          <w:shd w:val="clear" w:color="auto" w:fill="FCFCFC"/>
        </w:rPr>
        <w:t xml:space="preserve">. Manhattan plot for GWA scan for days to heading and plant height (mean over the years). Each dot represents a single SNP. On the X-axis is the genomic position of the SNPs on the corresponding chromosomes indicated in different colours. On the Y-axis is the –log10 of the P-value signifying the significance of the association test. The horizontal dotted line is the Bonferroni correction significance threshold used in the association study of STB. </w:t>
      </w:r>
    </w:p>
    <w:p w14:paraId="7B4B7510" w14:textId="77777777" w:rsidR="00522963" w:rsidRPr="001337F5" w:rsidRDefault="00522963" w:rsidP="0052296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CFCFC"/>
        </w:rPr>
      </w:pPr>
      <w:r w:rsidRPr="001337F5">
        <w:rPr>
          <w:rFonts w:ascii="Times New Roman" w:hAnsi="Times New Roman" w:cs="Times New Roman"/>
          <w:b/>
          <w:bCs/>
          <w:sz w:val="24"/>
          <w:szCs w:val="24"/>
          <w:shd w:val="clear" w:color="auto" w:fill="FCFCFC"/>
        </w:rPr>
        <w:t>Table S1:</w:t>
      </w:r>
      <w:r w:rsidRPr="001337F5">
        <w:rPr>
          <w:rFonts w:ascii="Times New Roman" w:hAnsi="Times New Roman" w:cs="Times New Roman"/>
          <w:sz w:val="24"/>
          <w:szCs w:val="24"/>
          <w:shd w:val="clear" w:color="auto" w:fill="FCFCFC"/>
        </w:rPr>
        <w:t xml:space="preserve"> Mean AUDPC for </w:t>
      </w:r>
      <w:r w:rsidRPr="004C0DE2">
        <w:rPr>
          <w:rFonts w:ascii="Times New Roman" w:hAnsi="Times New Roman" w:cs="Times New Roman"/>
          <w:sz w:val="24"/>
          <w:szCs w:val="24"/>
          <w:shd w:val="clear" w:color="auto" w:fill="FCFCFC"/>
        </w:rPr>
        <w:t>Septoria tritici</w:t>
      </w:r>
      <w:r w:rsidRPr="001337F5">
        <w:rPr>
          <w:rFonts w:ascii="Times New Roman" w:hAnsi="Times New Roman" w:cs="Times New Roman"/>
          <w:i/>
          <w:iCs/>
          <w:sz w:val="24"/>
          <w:szCs w:val="24"/>
          <w:shd w:val="clear" w:color="auto" w:fill="FCFCFC"/>
        </w:rPr>
        <w:t xml:space="preserve"> </w:t>
      </w:r>
      <w:r w:rsidRPr="001337F5">
        <w:rPr>
          <w:rFonts w:ascii="Times New Roman" w:hAnsi="Times New Roman" w:cs="Times New Roman"/>
          <w:sz w:val="24"/>
          <w:szCs w:val="24"/>
          <w:shd w:val="clear" w:color="auto" w:fill="FCFCFC"/>
        </w:rPr>
        <w:t>blotch (STB) disease across environments (years) in bread wheat genotypes.</w:t>
      </w:r>
    </w:p>
    <w:p w14:paraId="18D6F3E8" w14:textId="77777777" w:rsidR="00522963" w:rsidRPr="001337F5" w:rsidRDefault="00522963" w:rsidP="0052296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CFCFC"/>
        </w:rPr>
      </w:pPr>
      <w:r w:rsidRPr="001337F5">
        <w:rPr>
          <w:rFonts w:ascii="Times New Roman" w:hAnsi="Times New Roman" w:cs="Times New Roman"/>
          <w:b/>
          <w:bCs/>
          <w:sz w:val="24"/>
          <w:szCs w:val="24"/>
          <w:shd w:val="clear" w:color="auto" w:fill="FCFCFC"/>
        </w:rPr>
        <w:t>Table S2:</w:t>
      </w:r>
      <w:r w:rsidRPr="001337F5">
        <w:rPr>
          <w:rFonts w:ascii="Times New Roman" w:hAnsi="Times New Roman" w:cs="Times New Roman"/>
          <w:sz w:val="24"/>
          <w:szCs w:val="24"/>
          <w:shd w:val="clear" w:color="auto" w:fill="FCFCFC"/>
        </w:rPr>
        <w:t xml:space="preserve"> Descriptive statistic of </w:t>
      </w:r>
      <w:r w:rsidRPr="004C0DE2">
        <w:rPr>
          <w:rFonts w:ascii="Times New Roman" w:hAnsi="Times New Roman" w:cs="Times New Roman"/>
          <w:sz w:val="24"/>
          <w:szCs w:val="24"/>
          <w:shd w:val="clear" w:color="auto" w:fill="FCFCFC"/>
        </w:rPr>
        <w:t>Septoria tritici</w:t>
      </w:r>
      <w:r w:rsidRPr="001337F5">
        <w:rPr>
          <w:rFonts w:ascii="Times New Roman" w:hAnsi="Times New Roman" w:cs="Times New Roman"/>
          <w:sz w:val="24"/>
          <w:szCs w:val="24"/>
          <w:shd w:val="clear" w:color="auto" w:fill="FCFCFC"/>
        </w:rPr>
        <w:t xml:space="preserve"> blotch value from GWAS panel evaluated in three years during 2019 to 2021 growing season.</w:t>
      </w:r>
    </w:p>
    <w:p w14:paraId="0957BFF6" w14:textId="77777777" w:rsidR="00522963" w:rsidRPr="001337F5" w:rsidRDefault="00522963" w:rsidP="0052296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CFCFC"/>
        </w:rPr>
      </w:pPr>
      <w:r w:rsidRPr="001337F5">
        <w:rPr>
          <w:rFonts w:ascii="Times New Roman" w:hAnsi="Times New Roman" w:cs="Times New Roman"/>
          <w:b/>
          <w:bCs/>
          <w:sz w:val="24"/>
          <w:szCs w:val="24"/>
          <w:shd w:val="clear" w:color="auto" w:fill="FCFCFC"/>
        </w:rPr>
        <w:t>Table S3</w:t>
      </w:r>
      <w:r w:rsidRPr="001337F5">
        <w:rPr>
          <w:rFonts w:ascii="Times New Roman" w:hAnsi="Times New Roman" w:cs="Times New Roman"/>
          <w:sz w:val="24"/>
          <w:szCs w:val="24"/>
          <w:shd w:val="clear" w:color="auto" w:fill="FCFCFC"/>
        </w:rPr>
        <w:t>: Genotypic variance and heritability in the broad sense (h</w:t>
      </w:r>
      <w:r w:rsidRPr="001337F5">
        <w:rPr>
          <w:rFonts w:ascii="Times New Roman" w:hAnsi="Times New Roman" w:cs="Times New Roman"/>
          <w:sz w:val="24"/>
          <w:szCs w:val="24"/>
          <w:shd w:val="clear" w:color="auto" w:fill="FCFCFC"/>
          <w:vertAlign w:val="superscript"/>
        </w:rPr>
        <w:t>2</w:t>
      </w:r>
      <w:r w:rsidRPr="001337F5">
        <w:rPr>
          <w:rFonts w:ascii="Times New Roman" w:hAnsi="Times New Roman" w:cs="Times New Roman"/>
          <w:sz w:val="24"/>
          <w:szCs w:val="24"/>
          <w:shd w:val="clear" w:color="auto" w:fill="FCFCFC"/>
        </w:rPr>
        <w:t>) for phenotypic traits in 181 wheat genotypes in three years.</w:t>
      </w:r>
    </w:p>
    <w:p w14:paraId="066BE815" w14:textId="77777777" w:rsidR="00522963" w:rsidRPr="001337F5" w:rsidRDefault="00522963" w:rsidP="0052296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CFCFC"/>
        </w:rPr>
      </w:pPr>
      <w:r w:rsidRPr="001337F5">
        <w:rPr>
          <w:rFonts w:ascii="Times New Roman" w:hAnsi="Times New Roman" w:cs="Times New Roman"/>
          <w:b/>
          <w:bCs/>
          <w:sz w:val="24"/>
          <w:szCs w:val="24"/>
          <w:shd w:val="clear" w:color="auto" w:fill="FCFCFC"/>
        </w:rPr>
        <w:t>Table S4</w:t>
      </w:r>
      <w:r w:rsidRPr="001337F5">
        <w:rPr>
          <w:rFonts w:ascii="Times New Roman" w:hAnsi="Times New Roman" w:cs="Times New Roman"/>
          <w:sz w:val="24"/>
          <w:szCs w:val="24"/>
          <w:shd w:val="clear" w:color="auto" w:fill="FCFCFC"/>
        </w:rPr>
        <w:t>: Summary of linkage disequilibrium analysis among marker pairs and the number of significant marker pairs per chromosome and genome.</w:t>
      </w:r>
    </w:p>
    <w:p w14:paraId="74B32B71" w14:textId="77777777" w:rsidR="00522963" w:rsidRPr="001337F5" w:rsidRDefault="00522963" w:rsidP="0052296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CFCFC"/>
        </w:rPr>
      </w:pPr>
      <w:r w:rsidRPr="001337F5">
        <w:rPr>
          <w:rFonts w:ascii="Times New Roman" w:hAnsi="Times New Roman" w:cs="Times New Roman"/>
          <w:b/>
          <w:bCs/>
          <w:sz w:val="24"/>
          <w:szCs w:val="24"/>
          <w:shd w:val="clear" w:color="auto" w:fill="FCFCFC"/>
        </w:rPr>
        <w:t>Table S5</w:t>
      </w:r>
      <w:r w:rsidRPr="001337F5">
        <w:rPr>
          <w:rFonts w:ascii="Times New Roman" w:hAnsi="Times New Roman" w:cs="Times New Roman"/>
          <w:sz w:val="24"/>
          <w:szCs w:val="24"/>
          <w:shd w:val="clear" w:color="auto" w:fill="FCFCFC"/>
        </w:rPr>
        <w:t xml:space="preserve">: All quantitative trait SNPs (QTNs) controlling the </w:t>
      </w:r>
      <w:r w:rsidRPr="004C0DE2">
        <w:rPr>
          <w:rFonts w:ascii="Times New Roman" w:hAnsi="Times New Roman" w:cs="Times New Roman"/>
          <w:sz w:val="24"/>
          <w:szCs w:val="24"/>
          <w:shd w:val="clear" w:color="auto" w:fill="FCFCFC"/>
        </w:rPr>
        <w:t>Septoria tritici</w:t>
      </w:r>
      <w:r w:rsidRPr="001337F5">
        <w:rPr>
          <w:rFonts w:ascii="Times New Roman" w:hAnsi="Times New Roman" w:cs="Times New Roman"/>
          <w:sz w:val="24"/>
          <w:szCs w:val="24"/>
          <w:shd w:val="clear" w:color="auto" w:fill="FCFCFC"/>
        </w:rPr>
        <w:t xml:space="preserve"> blotch resistance.</w:t>
      </w:r>
    </w:p>
    <w:p w14:paraId="189688A3" w14:textId="77777777" w:rsidR="00522963" w:rsidRPr="001337F5" w:rsidRDefault="00522963" w:rsidP="0052296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CFCFC"/>
        </w:rPr>
      </w:pPr>
      <w:r w:rsidRPr="001337F5">
        <w:rPr>
          <w:rFonts w:ascii="Times New Roman" w:hAnsi="Times New Roman" w:cs="Times New Roman"/>
          <w:b/>
          <w:bCs/>
          <w:sz w:val="24"/>
          <w:szCs w:val="24"/>
          <w:shd w:val="clear" w:color="auto" w:fill="FCFCFC"/>
        </w:rPr>
        <w:t>Table S6:</w:t>
      </w:r>
      <w:r w:rsidRPr="001337F5">
        <w:rPr>
          <w:rFonts w:ascii="Times New Roman" w:hAnsi="Times New Roman" w:cs="Times New Roman"/>
          <w:sz w:val="24"/>
          <w:szCs w:val="24"/>
          <w:shd w:val="clear" w:color="auto" w:fill="FCFCFC"/>
        </w:rPr>
        <w:t xml:space="preserve"> The repetitive quantitative trait SNPs (QTNs) controlling the </w:t>
      </w:r>
      <w:r w:rsidRPr="004C0DE2">
        <w:rPr>
          <w:rFonts w:ascii="Times New Roman" w:hAnsi="Times New Roman" w:cs="Times New Roman"/>
          <w:sz w:val="24"/>
          <w:szCs w:val="24"/>
          <w:shd w:val="clear" w:color="auto" w:fill="FCFCFC"/>
        </w:rPr>
        <w:t>Septoria tritici</w:t>
      </w:r>
      <w:r w:rsidRPr="001337F5">
        <w:rPr>
          <w:rFonts w:ascii="Times New Roman" w:hAnsi="Times New Roman" w:cs="Times New Roman"/>
          <w:sz w:val="24"/>
          <w:szCs w:val="24"/>
          <w:shd w:val="clear" w:color="auto" w:fill="FCFCFC"/>
        </w:rPr>
        <w:t xml:space="preserve"> blotch resistance and the putative candidate genes covering the flanking region of repetitive QTNs.</w:t>
      </w:r>
    </w:p>
    <w:p w14:paraId="62048EFC" w14:textId="77777777" w:rsidR="00522963" w:rsidRPr="001337F5" w:rsidRDefault="00522963" w:rsidP="0052296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CFCFC"/>
        </w:rPr>
      </w:pPr>
      <w:r w:rsidRPr="001337F5">
        <w:rPr>
          <w:rFonts w:ascii="Times New Roman" w:hAnsi="Times New Roman" w:cs="Times New Roman"/>
          <w:b/>
          <w:bCs/>
          <w:sz w:val="24"/>
          <w:szCs w:val="24"/>
          <w:shd w:val="clear" w:color="auto" w:fill="FCFCFC"/>
        </w:rPr>
        <w:t>Table S7</w:t>
      </w:r>
      <w:r w:rsidRPr="001337F5">
        <w:rPr>
          <w:rFonts w:ascii="Times New Roman" w:hAnsi="Times New Roman" w:cs="Times New Roman"/>
          <w:sz w:val="24"/>
          <w:szCs w:val="24"/>
          <w:shd w:val="clear" w:color="auto" w:fill="FCFCFC"/>
        </w:rPr>
        <w:t xml:space="preserve">: The unique quantitative trait SNPs (QTNs) controlling the </w:t>
      </w:r>
      <w:r w:rsidRPr="004C0DE2">
        <w:rPr>
          <w:rFonts w:ascii="Times New Roman" w:hAnsi="Times New Roman" w:cs="Times New Roman"/>
          <w:sz w:val="24"/>
          <w:szCs w:val="24"/>
          <w:shd w:val="clear" w:color="auto" w:fill="FCFCFC"/>
        </w:rPr>
        <w:t>Septoria tritici</w:t>
      </w:r>
      <w:r w:rsidRPr="001337F5">
        <w:rPr>
          <w:rFonts w:ascii="Times New Roman" w:hAnsi="Times New Roman" w:cs="Times New Roman"/>
          <w:sz w:val="24"/>
          <w:szCs w:val="24"/>
          <w:shd w:val="clear" w:color="auto" w:fill="FCFCFC"/>
        </w:rPr>
        <w:t xml:space="preserve"> blotch resistance and the putative candidate genes covering the flanking region of repetitive resistance QTNs.</w:t>
      </w:r>
    </w:p>
    <w:p w14:paraId="63EE351B" w14:textId="77777777" w:rsidR="00522963" w:rsidRPr="001337F5" w:rsidRDefault="00522963" w:rsidP="0052296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37F5">
        <w:rPr>
          <w:rFonts w:ascii="Times New Roman" w:hAnsi="Times New Roman" w:cs="Times New Roman"/>
          <w:b/>
          <w:bCs/>
          <w:sz w:val="24"/>
          <w:szCs w:val="24"/>
          <w:shd w:val="clear" w:color="auto" w:fill="FCFCFC"/>
        </w:rPr>
        <w:t>Table S8:</w:t>
      </w:r>
      <w:r w:rsidRPr="001337F5">
        <w:rPr>
          <w:rFonts w:ascii="Times New Roman" w:hAnsi="Times New Roman" w:cs="Times New Roman"/>
          <w:sz w:val="24"/>
          <w:szCs w:val="24"/>
          <w:shd w:val="clear" w:color="auto" w:fill="FCFCFC"/>
        </w:rPr>
        <w:t xml:space="preserve"> Significant Haplotype contributing </w:t>
      </w:r>
      <w:r w:rsidRPr="004C0DE2">
        <w:rPr>
          <w:rFonts w:ascii="Times New Roman" w:hAnsi="Times New Roman" w:cs="Times New Roman"/>
          <w:sz w:val="24"/>
          <w:szCs w:val="24"/>
          <w:shd w:val="clear" w:color="auto" w:fill="FCFCFC"/>
        </w:rPr>
        <w:t xml:space="preserve">Septoria tritici </w:t>
      </w:r>
      <w:r w:rsidRPr="001337F5">
        <w:rPr>
          <w:rFonts w:ascii="Times New Roman" w:hAnsi="Times New Roman" w:cs="Times New Roman"/>
          <w:sz w:val="24"/>
          <w:szCs w:val="24"/>
          <w:shd w:val="clear" w:color="auto" w:fill="FCFCFC"/>
        </w:rPr>
        <w:t>blotch resistance.</w:t>
      </w:r>
    </w:p>
    <w:p w14:paraId="6E967F7D" w14:textId="77777777" w:rsidR="00F35240" w:rsidRDefault="00F35240"/>
    <w:sectPr w:rsidR="00F35240" w:rsidSect="00F251EE">
      <w:footerReference w:type="default" r:id="rId4"/>
      <w:pgSz w:w="11906" w:h="16838" w:code="9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5207045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4784BAA" w14:textId="77777777" w:rsidR="00000000" w:rsidRDefault="0000000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5FB8017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2963"/>
    <w:rsid w:val="002B7524"/>
    <w:rsid w:val="00342DA6"/>
    <w:rsid w:val="00522963"/>
    <w:rsid w:val="005868F4"/>
    <w:rsid w:val="00703469"/>
    <w:rsid w:val="00753CA0"/>
    <w:rsid w:val="007D23AF"/>
    <w:rsid w:val="0090563E"/>
    <w:rsid w:val="00AA3094"/>
    <w:rsid w:val="00AC3DA1"/>
    <w:rsid w:val="00AD5955"/>
    <w:rsid w:val="00D07031"/>
    <w:rsid w:val="00F251EE"/>
    <w:rsid w:val="00F35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E9A3AB"/>
  <w15:chartTrackingRefBased/>
  <w15:docId w15:val="{DA4E3012-49C6-45D4-BBC0-C7A470B14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2963"/>
    <w:rPr>
      <w:rFonts w:eastAsia="SimSun"/>
      <w:kern w:val="0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52296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2963"/>
    <w:rPr>
      <w:rFonts w:eastAsia="SimSun"/>
      <w:kern w:val="0"/>
      <w:lang w:val="en-IN"/>
    </w:rPr>
  </w:style>
  <w:style w:type="character" w:styleId="LineNumber">
    <w:name w:val="line number"/>
    <w:basedOn w:val="DefaultParagraphFont"/>
    <w:uiPriority w:val="99"/>
    <w:semiHidden/>
    <w:unhideWhenUsed/>
    <w:rsid w:val="005229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330</Words>
  <Characters>1881</Characters>
  <Application>Microsoft Office Word</Application>
  <DocSecurity>0</DocSecurity>
  <Lines>15</Lines>
  <Paragraphs>4</Paragraphs>
  <ScaleCrop>false</ScaleCrop>
  <Company>Springer Nature</Company>
  <LinksUpToDate>false</LinksUpToDate>
  <CharactersWithSpaces>2207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2</cp:revision>
  <dcterms:created xsi:type="dcterms:W3CDTF">2024-04-10T02:21:00Z</dcterms:created>
  <dcterms:modified xsi:type="dcterms:W3CDTF">2024-04-10T02:21:00Z</dcterms:modified>
</cp:coreProperties>
</file>