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5BBFB" w14:textId="6BDC31D0" w:rsidR="00221FA2" w:rsidRDefault="00221FA2" w:rsidP="00221FA2">
      <w:pPr>
        <w:tabs>
          <w:tab w:val="left" w:pos="1260"/>
        </w:tabs>
        <w:spacing w:line="360" w:lineRule="auto"/>
      </w:pPr>
      <w:r>
        <w:rPr>
          <w:noProof/>
        </w:rPr>
        <w:drawing>
          <wp:inline distT="0" distB="0" distL="0" distR="0" wp14:anchorId="79DECC05" wp14:editId="5534F65D">
            <wp:extent cx="2286000" cy="3632200"/>
            <wp:effectExtent l="0" t="0" r="0" b="6350"/>
            <wp:docPr id="19983756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95C0F" w14:textId="77777777" w:rsidR="00221FA2" w:rsidRDefault="00221FA2" w:rsidP="00221FA2">
      <w:pPr>
        <w:tabs>
          <w:tab w:val="left" w:pos="1260"/>
        </w:tabs>
        <w:spacing w:line="360" w:lineRule="auto"/>
      </w:pPr>
      <w:r>
        <w:t xml:space="preserve">Table 1. </w:t>
      </w:r>
      <w:r>
        <w:rPr>
          <w:rFonts w:cstheme="minorHAnsi"/>
          <w:lang w:val="en-GB"/>
        </w:rPr>
        <w:t xml:space="preserve">Significantly reduced abundances over time were observed in ARGs representing 15 out of the 18 main antibiotic drug classes. </w:t>
      </w:r>
      <w:r>
        <w:t>Test results for Spearman correlation between the abundance (RPKM) of genes conferring resistance to the 18 main classes of antibiotics and day after birth of sampling. P-values have been adjusted with the Benjamini-Hochberg method to correct for multiple hypothesis testing.</w:t>
      </w:r>
    </w:p>
    <w:p w14:paraId="1C6D770E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2E7D1221" w14:textId="622D75F1" w:rsidR="00221FA2" w:rsidRDefault="00221FA2" w:rsidP="00221FA2">
      <w:pPr>
        <w:tabs>
          <w:tab w:val="left" w:pos="1260"/>
        </w:tabs>
        <w:spacing w:line="360" w:lineRule="auto"/>
      </w:pPr>
      <w:r>
        <w:rPr>
          <w:noProof/>
        </w:rPr>
        <w:drawing>
          <wp:inline distT="0" distB="0" distL="0" distR="0" wp14:anchorId="7345D652" wp14:editId="5F55305E">
            <wp:extent cx="2609850" cy="1346200"/>
            <wp:effectExtent l="0" t="0" r="0" b="6350"/>
            <wp:docPr id="10188629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D3EC1" w14:textId="77777777" w:rsidR="00221FA2" w:rsidRDefault="00221FA2" w:rsidP="00221FA2">
      <w:pPr>
        <w:tabs>
          <w:tab w:val="left" w:pos="1260"/>
        </w:tabs>
        <w:spacing w:line="360" w:lineRule="auto"/>
      </w:pPr>
      <w:r>
        <w:t xml:space="preserve">Table 2. </w:t>
      </w:r>
      <w:r>
        <w:rPr>
          <w:rFonts w:cstheme="minorHAnsi"/>
          <w:lang w:val="en-GB"/>
        </w:rPr>
        <w:t xml:space="preserve">ARGs within three of the six main resistance mechanisms decreased significantly in abundance over time. </w:t>
      </w:r>
      <w:r>
        <w:t>Test results for Spearman correlation between the abundance (RPKM) of genes within the 6 main categories of resistance mechanism and day after birth of sampling. P-values have been adjusted with the Benjamini-Hochberg method to correct for multiple hypothesis testing.</w:t>
      </w:r>
    </w:p>
    <w:p w14:paraId="55CD1F85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393F0E01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43090A4A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4CDC8F20" w14:textId="3E856588" w:rsidR="00221FA2" w:rsidRDefault="00221FA2" w:rsidP="00221FA2">
      <w:pPr>
        <w:tabs>
          <w:tab w:val="left" w:pos="1260"/>
        </w:tabs>
        <w:spacing w:line="360" w:lineRule="auto"/>
      </w:pPr>
      <w:r>
        <w:rPr>
          <w:noProof/>
        </w:rPr>
        <w:drawing>
          <wp:inline distT="0" distB="0" distL="0" distR="0" wp14:anchorId="593C0764" wp14:editId="513A240A">
            <wp:extent cx="2438400" cy="2705100"/>
            <wp:effectExtent l="0" t="0" r="0" b="0"/>
            <wp:docPr id="8683737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B9B16" w14:textId="77777777" w:rsidR="00221FA2" w:rsidRDefault="00221FA2" w:rsidP="00221FA2">
      <w:pPr>
        <w:tabs>
          <w:tab w:val="left" w:pos="1260"/>
        </w:tabs>
        <w:spacing w:line="360" w:lineRule="auto"/>
      </w:pPr>
      <w:r>
        <w:t xml:space="preserve">Table 3. The percentage of sequence reads mapped to CARD generally correlated strongly with relative abundances of Proteobacteria and </w:t>
      </w:r>
      <w:r>
        <w:rPr>
          <w:i/>
          <w:iCs/>
        </w:rPr>
        <w:t xml:space="preserve">E. </w:t>
      </w:r>
      <w:proofErr w:type="gramStart"/>
      <w:r>
        <w:rPr>
          <w:i/>
          <w:iCs/>
        </w:rPr>
        <w:t>coli</w:t>
      </w:r>
      <w:r>
        <w:t xml:space="preserve"> in particular</w:t>
      </w:r>
      <w:proofErr w:type="gramEnd"/>
      <w:r>
        <w:t xml:space="preserve">. Correlation between the percentage of sequence reads mapped to CARD and the relative abundance of phylum Proteobacteria and species </w:t>
      </w:r>
      <w:r>
        <w:rPr>
          <w:i/>
          <w:iCs/>
        </w:rPr>
        <w:t>E. coli</w:t>
      </w:r>
      <w:r>
        <w:t>, with corresponding p-values.</w:t>
      </w:r>
    </w:p>
    <w:p w14:paraId="6F297A60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2548977C" w14:textId="672B5FAD" w:rsidR="00221FA2" w:rsidRDefault="00221FA2" w:rsidP="00221FA2">
      <w:pPr>
        <w:tabs>
          <w:tab w:val="left" w:pos="1260"/>
        </w:tabs>
        <w:spacing w:line="360" w:lineRule="auto"/>
      </w:pPr>
      <w:r>
        <w:rPr>
          <w:noProof/>
        </w:rPr>
        <w:lastRenderedPageBreak/>
        <w:drawing>
          <wp:inline distT="0" distB="0" distL="0" distR="0" wp14:anchorId="6EF46E0D" wp14:editId="4BCBDEB3">
            <wp:extent cx="2451100" cy="4013200"/>
            <wp:effectExtent l="0" t="0" r="6350" b="6350"/>
            <wp:docPr id="13136450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82505" w14:textId="77777777" w:rsidR="00221FA2" w:rsidRDefault="00221FA2" w:rsidP="00221FA2">
      <w:pPr>
        <w:tabs>
          <w:tab w:val="left" w:pos="1260"/>
        </w:tabs>
        <w:spacing w:line="360" w:lineRule="auto"/>
      </w:pPr>
      <w:r>
        <w:t xml:space="preserve">Table 4. 17 out of the 20 top ARG carriers are classified as Proteobacteria, with </w:t>
      </w:r>
      <w:r>
        <w:rPr>
          <w:i/>
          <w:iCs/>
        </w:rPr>
        <w:t>E. coli</w:t>
      </w:r>
      <w:r>
        <w:t xml:space="preserve"> having the highest percent carriage. Percentage of annotated ARGs found on individual MAGs.</w:t>
      </w:r>
    </w:p>
    <w:p w14:paraId="20E11AC4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76CCA50B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23E4A104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1501E069" w14:textId="77777777" w:rsidR="00221FA2" w:rsidRDefault="00221FA2" w:rsidP="00221FA2">
      <w:pPr>
        <w:tabs>
          <w:tab w:val="left" w:pos="1260"/>
        </w:tabs>
        <w:spacing w:line="360" w:lineRule="auto"/>
      </w:pPr>
    </w:p>
    <w:p w14:paraId="040ADA57" w14:textId="3926DE74" w:rsidR="00221FA2" w:rsidRDefault="00221FA2" w:rsidP="00221FA2">
      <w:pPr>
        <w:tabs>
          <w:tab w:val="left" w:pos="1260"/>
        </w:tabs>
        <w:spacing w:line="360" w:lineRule="auto"/>
      </w:pPr>
      <w:r>
        <w:rPr>
          <w:noProof/>
        </w:rPr>
        <w:lastRenderedPageBreak/>
        <w:drawing>
          <wp:inline distT="0" distB="0" distL="0" distR="0" wp14:anchorId="322EEA0D" wp14:editId="2BC4D4DD">
            <wp:extent cx="3581400" cy="2381250"/>
            <wp:effectExtent l="0" t="0" r="0" b="0"/>
            <wp:docPr id="8283321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6E5F1" w14:textId="77777777" w:rsidR="00221FA2" w:rsidRDefault="00221FA2" w:rsidP="00221FA2">
      <w:pPr>
        <w:spacing w:line="360" w:lineRule="auto"/>
      </w:pPr>
    </w:p>
    <w:p w14:paraId="19901A15" w14:textId="77777777" w:rsidR="00221FA2" w:rsidRDefault="00221FA2" w:rsidP="00221FA2">
      <w:pPr>
        <w:spacing w:line="360" w:lineRule="auto"/>
      </w:pPr>
      <w:r>
        <w:t xml:space="preserve">Table 5. The mapping rate to VFDB showed a significant contemporaneous correlation to the CARD mapping rate as well as a strong correlation with the relative abundance of Proteobacteria and </w:t>
      </w:r>
      <w:r>
        <w:rPr>
          <w:i/>
          <w:iCs/>
        </w:rPr>
        <w:t xml:space="preserve">E. </w:t>
      </w:r>
      <w:proofErr w:type="gramStart"/>
      <w:r>
        <w:rPr>
          <w:i/>
          <w:iCs/>
        </w:rPr>
        <w:t>coli</w:t>
      </w:r>
      <w:r>
        <w:t xml:space="preserve"> in particular</w:t>
      </w:r>
      <w:proofErr w:type="gramEnd"/>
      <w:r>
        <w:t>. Pearson correlation tests for association between population time series and read mapping rate to VFDB.</w:t>
      </w:r>
    </w:p>
    <w:p w14:paraId="1396E54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FA2"/>
    <w:rsid w:val="00221FA2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78F6F"/>
  <w15:chartTrackingRefBased/>
  <w15:docId w15:val="{30E06B2D-5372-4CBE-9FE3-07FFD7EE1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FA2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5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244</Words>
  <Characters>1395</Characters>
  <Application>Microsoft Office Word</Application>
  <DocSecurity>0</DocSecurity>
  <Lines>11</Lines>
  <Paragraphs>3</Paragraphs>
  <ScaleCrop>false</ScaleCrop>
  <Company>Springer Nature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2024-03-26T09:00:00Z</dcterms:created>
  <dcterms:modified xsi:type="dcterms:W3CDTF">2024-03-26T09:00:00Z</dcterms:modified>
</cp:coreProperties>
</file>