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6805B" w14:textId="77777777" w:rsidR="005C0149" w:rsidRPr="00FC5C2A" w:rsidRDefault="00FF6246" w:rsidP="00FC5C2A">
      <w:pPr>
        <w:pStyle w:val="Heading1"/>
        <w:rPr>
          <w:u w:val="single"/>
        </w:rPr>
      </w:pPr>
      <w:r w:rsidRPr="00FF6246">
        <w:rPr>
          <w:u w:val="single"/>
        </w:rPr>
        <w:t>Supplementary Material</w:t>
      </w:r>
    </w:p>
    <w:p w14:paraId="0CEC433B" w14:textId="77777777" w:rsidR="00DC360B" w:rsidRDefault="00DC360B">
      <w:pPr>
        <w:spacing w:after="160" w:line="259" w:lineRule="auto"/>
        <w:rPr>
          <w:b/>
        </w:rPr>
      </w:pPr>
    </w:p>
    <w:p w14:paraId="1D9B6B2D" w14:textId="77777777" w:rsidR="00726229" w:rsidRDefault="00F95B28">
      <w:pPr>
        <w:spacing w:after="160" w:line="259" w:lineRule="auto"/>
      </w:pPr>
      <w:r>
        <w:rPr>
          <w:noProof/>
        </w:rPr>
        <w:drawing>
          <wp:inline distT="0" distB="0" distL="0" distR="0" wp14:anchorId="5271FF6E" wp14:editId="6E863BDA">
            <wp:extent cx="5845228" cy="7232650"/>
            <wp:effectExtent l="0" t="0" r="0" b="0"/>
            <wp:docPr id="175638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51464" cy="7240366"/>
                    </a:xfrm>
                    <a:prstGeom prst="rect">
                      <a:avLst/>
                    </a:prstGeom>
                    <a:noFill/>
                  </pic:spPr>
                </pic:pic>
              </a:graphicData>
            </a:graphic>
          </wp:inline>
        </w:drawing>
      </w:r>
    </w:p>
    <w:p w14:paraId="5EDBE5A7" w14:textId="571D643D" w:rsidR="00CF4478" w:rsidRDefault="000A150B">
      <w:pPr>
        <w:spacing w:after="160" w:line="259" w:lineRule="auto"/>
      </w:pPr>
      <w:r>
        <w:t>Figure S</w:t>
      </w:r>
      <w:r w:rsidR="00F23101">
        <w:t>1</w:t>
      </w:r>
      <w:r w:rsidR="00CF4478">
        <w:t>.</w:t>
      </w:r>
      <w:r w:rsidR="00CF4478" w:rsidRPr="00CF4478">
        <w:t xml:space="preserve"> </w:t>
      </w:r>
      <w:r w:rsidR="00CF4478">
        <w:t>The</w:t>
      </w:r>
      <w:r w:rsidR="00CF4478" w:rsidRPr="001D3DBB">
        <w:t xml:space="preserve"> </w:t>
      </w:r>
      <w:r w:rsidR="00CF4478">
        <w:t>three</w:t>
      </w:r>
      <w:r w:rsidR="00CF4478" w:rsidRPr="001D3DBB">
        <w:t>-cluster solution</w:t>
      </w:r>
      <w:r w:rsidR="00370CF9">
        <w:t xml:space="preserve"> of the 1</w:t>
      </w:r>
      <w:r w:rsidR="003D202B">
        <w:t>5</w:t>
      </w:r>
      <w:r w:rsidR="00370CF9">
        <w:t xml:space="preserve"> language comprehension abilities</w:t>
      </w:r>
      <w:r w:rsidR="00CF4478" w:rsidRPr="001D3DBB">
        <w:t xml:space="preserve"> was</w:t>
      </w:r>
      <w:r w:rsidR="00CF4478">
        <w:t xml:space="preserve"> stable across different evaluation methods. A: Ward.D2. B: Ward.D. C: Average. D: Complete. E: Mc</w:t>
      </w:r>
      <w:r w:rsidR="00846FA5">
        <w:t>q</w:t>
      </w:r>
      <w:r w:rsidR="00CF4478">
        <w:t>uitty.</w:t>
      </w:r>
      <w:r w:rsidR="00CF4478">
        <w:br w:type="page"/>
      </w:r>
    </w:p>
    <w:p w14:paraId="350632DA" w14:textId="77777777" w:rsidR="00F23101" w:rsidRDefault="00F23101" w:rsidP="00F23101">
      <w:pPr>
        <w:spacing w:after="160" w:line="259" w:lineRule="auto"/>
        <w:rPr>
          <w:b/>
        </w:rPr>
      </w:pPr>
    </w:p>
    <w:p w14:paraId="6D63F0DF" w14:textId="3451E767" w:rsidR="00DB0853" w:rsidRDefault="00F95B28" w:rsidP="00DB0853">
      <w:pPr>
        <w:rPr>
          <w:b/>
        </w:rPr>
      </w:pPr>
      <w:r>
        <w:rPr>
          <w:b/>
          <w:noProof/>
        </w:rPr>
        <w:drawing>
          <wp:inline distT="0" distB="0" distL="0" distR="0" wp14:anchorId="6D93CA4C" wp14:editId="7E7D13D3">
            <wp:extent cx="5635597" cy="7641590"/>
            <wp:effectExtent l="0" t="0" r="0" b="0"/>
            <wp:docPr id="20422265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41070" cy="7649011"/>
                    </a:xfrm>
                    <a:prstGeom prst="rect">
                      <a:avLst/>
                    </a:prstGeom>
                    <a:noFill/>
                  </pic:spPr>
                </pic:pic>
              </a:graphicData>
            </a:graphic>
          </wp:inline>
        </w:drawing>
      </w:r>
      <w:r w:rsidR="00DB0853" w:rsidRPr="00C96764">
        <w:rPr>
          <w:b/>
        </w:rPr>
        <w:t xml:space="preserve"> </w:t>
      </w:r>
      <w:r w:rsidR="00DB0853">
        <w:rPr>
          <w:b/>
        </w:rPr>
        <w:br/>
      </w:r>
      <w:r w:rsidR="00DB0853" w:rsidRPr="00DB0853">
        <w:t>Figure S2. Clustering analysis of language comprehension items limited to 31,988 participants (4 to 6 years of age</w:t>
      </w:r>
      <w:r w:rsidR="00625463">
        <w:t>)</w:t>
      </w:r>
      <w:r w:rsidR="00DB0853" w:rsidRPr="00DB0853">
        <w:t xml:space="preserve">. (A) The dendrogram representing the hierarchical clustering of language comprehension abilities. (B) Principal component analysis of the 15 language comprehension abilities shows </w:t>
      </w:r>
      <w:r w:rsidR="00625463">
        <w:t xml:space="preserve">a </w:t>
      </w:r>
      <w:r w:rsidR="00DB0853" w:rsidRPr="00DB0853">
        <w:t>clear separation between command, modifier</w:t>
      </w:r>
      <w:r w:rsidR="00DB0853">
        <w:t>,</w:t>
      </w:r>
      <w:r w:rsidR="00DB0853" w:rsidRPr="00DB0853">
        <w:t xml:space="preserve"> and prepositional items. Principal component 1 accounts for 40.8% of the variance in the data. Principal component 2 accounts for 11.1% of the variance in the data.</w:t>
      </w:r>
    </w:p>
    <w:p w14:paraId="0EAE4E39" w14:textId="4532DD21" w:rsidR="00DB0853" w:rsidRDefault="00DB0853" w:rsidP="00F23101">
      <w:pPr>
        <w:spacing w:after="160" w:line="259" w:lineRule="auto"/>
      </w:pPr>
    </w:p>
    <w:p w14:paraId="0F62674B" w14:textId="1F6E8EC6" w:rsidR="00DB0853" w:rsidRDefault="00DB0853" w:rsidP="00F23101">
      <w:pPr>
        <w:spacing w:after="160" w:line="259" w:lineRule="auto"/>
      </w:pPr>
    </w:p>
    <w:p w14:paraId="49D9A059" w14:textId="21D4A10D" w:rsidR="00DB0853" w:rsidRDefault="00F95B28" w:rsidP="00F23101">
      <w:pPr>
        <w:spacing w:after="160" w:line="259" w:lineRule="auto"/>
      </w:pPr>
      <w:r>
        <w:rPr>
          <w:noProof/>
        </w:rPr>
        <w:drawing>
          <wp:inline distT="0" distB="0" distL="0" distR="0" wp14:anchorId="04944D8F" wp14:editId="3B04C2CF">
            <wp:extent cx="5381625" cy="7236807"/>
            <wp:effectExtent l="0" t="0" r="0" b="0"/>
            <wp:docPr id="2763119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88475" cy="7246018"/>
                    </a:xfrm>
                    <a:prstGeom prst="rect">
                      <a:avLst/>
                    </a:prstGeom>
                    <a:noFill/>
                  </pic:spPr>
                </pic:pic>
              </a:graphicData>
            </a:graphic>
          </wp:inline>
        </w:drawing>
      </w:r>
      <w:r>
        <w:br/>
      </w:r>
      <w:r w:rsidR="00DB0853" w:rsidRPr="00DB0853">
        <w:t>Figure S</w:t>
      </w:r>
      <w:r w:rsidR="00DB0853">
        <w:t>3</w:t>
      </w:r>
      <w:r w:rsidR="00DB0853" w:rsidRPr="00DB0853">
        <w:t>.</w:t>
      </w:r>
      <w:r w:rsidR="00DB0853">
        <w:t xml:space="preserve"> </w:t>
      </w:r>
      <w:r w:rsidR="00DB0853" w:rsidRPr="00DB0853">
        <w:t>Clustering analysis of language comprehension items limited to 20</w:t>
      </w:r>
      <w:r w:rsidR="00DB0853">
        <w:t>,</w:t>
      </w:r>
      <w:r w:rsidR="00DB0853" w:rsidRPr="00DB0853">
        <w:t>694</w:t>
      </w:r>
      <w:r w:rsidR="00DB0853">
        <w:t xml:space="preserve"> </w:t>
      </w:r>
      <w:r w:rsidR="00DB0853" w:rsidRPr="00DB0853">
        <w:t>participants (</w:t>
      </w:r>
      <w:r w:rsidR="00DB0853">
        <w:t>6</w:t>
      </w:r>
      <w:r w:rsidR="00DB0853" w:rsidRPr="00DB0853">
        <w:t xml:space="preserve"> to </w:t>
      </w:r>
      <w:r w:rsidR="00DB0853">
        <w:t>12</w:t>
      </w:r>
      <w:r w:rsidR="00DB0853" w:rsidRPr="00DB0853">
        <w:t xml:space="preserve"> years of age</w:t>
      </w:r>
      <w:r w:rsidR="000B151D">
        <w:t>)</w:t>
      </w:r>
      <w:r w:rsidR="00DB0853" w:rsidRPr="00DB0853">
        <w:t xml:space="preserve">. (A) The dendrogram representing the hierarchical clustering of language comprehension abilities. (B) Principal component analysis of the 15 language comprehension abilities shows </w:t>
      </w:r>
      <w:r w:rsidR="00625463">
        <w:t xml:space="preserve">a </w:t>
      </w:r>
      <w:r w:rsidR="00DB0853" w:rsidRPr="00DB0853">
        <w:t>clear separation between command, modifier</w:t>
      </w:r>
      <w:r w:rsidR="00DB0853">
        <w:t>,</w:t>
      </w:r>
      <w:r w:rsidR="00DB0853" w:rsidRPr="00DB0853">
        <w:t xml:space="preserve"> and prepositional items. Principal component 1 accounts for 4</w:t>
      </w:r>
      <w:r w:rsidR="00DB0853">
        <w:t>4</w:t>
      </w:r>
      <w:r w:rsidR="00DB0853" w:rsidRPr="00DB0853">
        <w:t>.</w:t>
      </w:r>
      <w:r w:rsidR="00DB0853">
        <w:t>7</w:t>
      </w:r>
      <w:r w:rsidR="00DB0853" w:rsidRPr="00DB0853">
        <w:t>% of the variance in the data. Principal component 2 accounts for 1</w:t>
      </w:r>
      <w:r w:rsidR="00DB0853">
        <w:t>0</w:t>
      </w:r>
      <w:r w:rsidR="00DB0853" w:rsidRPr="00DB0853">
        <w:t>.</w:t>
      </w:r>
      <w:r w:rsidR="00DB0853">
        <w:t>8</w:t>
      </w:r>
      <w:r w:rsidR="00DB0853" w:rsidRPr="00DB0853">
        <w:t>% of the variance in the data.</w:t>
      </w:r>
    </w:p>
    <w:p w14:paraId="0C5F9387" w14:textId="150EA64F" w:rsidR="00DB0853" w:rsidRDefault="00DB0853" w:rsidP="00DB0853">
      <w:pPr>
        <w:spacing w:after="160" w:line="259" w:lineRule="auto"/>
      </w:pPr>
    </w:p>
    <w:p w14:paraId="5E863F25" w14:textId="5321F6C8" w:rsidR="00DB0853" w:rsidRDefault="00F95B28" w:rsidP="00DB0853">
      <w:pPr>
        <w:spacing w:after="160" w:line="259" w:lineRule="auto"/>
        <w:rPr>
          <w:b/>
        </w:rPr>
      </w:pPr>
      <w:r>
        <w:rPr>
          <w:noProof/>
        </w:rPr>
        <w:drawing>
          <wp:inline distT="0" distB="0" distL="0" distR="0" wp14:anchorId="4A76C8CC" wp14:editId="3084CA9A">
            <wp:extent cx="5490366" cy="7301865"/>
            <wp:effectExtent l="0" t="0" r="0" b="0"/>
            <wp:docPr id="48472838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94059" cy="7306777"/>
                    </a:xfrm>
                    <a:prstGeom prst="rect">
                      <a:avLst/>
                    </a:prstGeom>
                    <a:noFill/>
                  </pic:spPr>
                </pic:pic>
              </a:graphicData>
            </a:graphic>
          </wp:inline>
        </w:drawing>
      </w:r>
      <w:r>
        <w:br/>
      </w:r>
      <w:r w:rsidR="00DB0853" w:rsidRPr="00DB0853">
        <w:t>Figure S</w:t>
      </w:r>
      <w:r w:rsidR="00DB0853">
        <w:t>4</w:t>
      </w:r>
      <w:r w:rsidR="00DB0853" w:rsidRPr="00DB0853">
        <w:t>.</w:t>
      </w:r>
      <w:r w:rsidR="00DB0853">
        <w:t xml:space="preserve"> </w:t>
      </w:r>
      <w:r w:rsidR="00DB0853" w:rsidRPr="00DB0853">
        <w:t>Clustering analysis of language comprehension items limited to 2,876</w:t>
      </w:r>
      <w:r w:rsidR="00DB0853">
        <w:t xml:space="preserve"> </w:t>
      </w:r>
      <w:r w:rsidR="00DB0853" w:rsidRPr="00DB0853">
        <w:t>participants (</w:t>
      </w:r>
      <w:r w:rsidR="00DB0853">
        <w:t>12</w:t>
      </w:r>
      <w:r w:rsidR="00DB0853" w:rsidRPr="00DB0853">
        <w:t xml:space="preserve"> to </w:t>
      </w:r>
      <w:r w:rsidR="00DB0853">
        <w:t>21</w:t>
      </w:r>
      <w:r w:rsidR="00DB0853" w:rsidRPr="00DB0853">
        <w:t xml:space="preserve"> years of age</w:t>
      </w:r>
      <w:r w:rsidR="000B151D">
        <w:t>)</w:t>
      </w:r>
      <w:r w:rsidR="00DB0853" w:rsidRPr="00DB0853">
        <w:t xml:space="preserve">. (A) The dendrogram representing the hierarchical clustering of language comprehension abilities. (B) Principal component analysis of the 15 language comprehension abilities shows </w:t>
      </w:r>
      <w:r w:rsidR="00625463">
        <w:t xml:space="preserve">a </w:t>
      </w:r>
      <w:r w:rsidR="00DB0853" w:rsidRPr="00DB0853">
        <w:t>clear separation between command, modifier</w:t>
      </w:r>
      <w:r w:rsidR="00DB0853">
        <w:t>,</w:t>
      </w:r>
      <w:r w:rsidR="00DB0853" w:rsidRPr="00DB0853">
        <w:t xml:space="preserve"> and prepositional items. Principal component 1 accounts for 4</w:t>
      </w:r>
      <w:r w:rsidR="00DB0853">
        <w:t>5</w:t>
      </w:r>
      <w:r w:rsidR="00DB0853" w:rsidRPr="00DB0853">
        <w:t>.</w:t>
      </w:r>
      <w:r w:rsidR="00DB0853">
        <w:t>9</w:t>
      </w:r>
      <w:r w:rsidR="00DB0853" w:rsidRPr="00DB0853">
        <w:t>% of the variance in the data. Principal component 2 accounts for 1</w:t>
      </w:r>
      <w:r w:rsidR="00DB0853">
        <w:t>0</w:t>
      </w:r>
      <w:r w:rsidR="00DB0853" w:rsidRPr="00DB0853">
        <w:t>.</w:t>
      </w:r>
      <w:r w:rsidR="00DB0853">
        <w:t>1</w:t>
      </w:r>
      <w:r w:rsidR="00DB0853" w:rsidRPr="00DB0853">
        <w:t>% of the variance in the data.</w:t>
      </w:r>
    </w:p>
    <w:p w14:paraId="13BCBFF7" w14:textId="77777777" w:rsidR="00F23101" w:rsidRDefault="00F23101" w:rsidP="00F23101">
      <w:pPr>
        <w:spacing w:after="160" w:line="259" w:lineRule="auto"/>
        <w:rPr>
          <w:b/>
        </w:rPr>
      </w:pPr>
    </w:p>
    <w:p w14:paraId="3CE9574A" w14:textId="774AFA17" w:rsidR="00F23101" w:rsidRDefault="00F23101" w:rsidP="00F23101">
      <w:pPr>
        <w:spacing w:after="160" w:line="259" w:lineRule="auto"/>
        <w:rPr>
          <w:b/>
        </w:rPr>
      </w:pPr>
    </w:p>
    <w:p w14:paraId="549440A1" w14:textId="3E9A2EA8" w:rsidR="00DB0853" w:rsidRDefault="00F95B28" w:rsidP="00DB0853">
      <w:pPr>
        <w:spacing w:after="160" w:line="259" w:lineRule="auto"/>
        <w:rPr>
          <w:b/>
        </w:rPr>
      </w:pPr>
      <w:r>
        <w:rPr>
          <w:noProof/>
        </w:rPr>
        <w:drawing>
          <wp:inline distT="0" distB="0" distL="0" distR="0" wp14:anchorId="4509B4D0" wp14:editId="781B3B59">
            <wp:extent cx="5524934" cy="7362825"/>
            <wp:effectExtent l="0" t="0" r="0" b="0"/>
            <wp:docPr id="174384143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33017" cy="7373596"/>
                    </a:xfrm>
                    <a:prstGeom prst="rect">
                      <a:avLst/>
                    </a:prstGeom>
                    <a:noFill/>
                  </pic:spPr>
                </pic:pic>
              </a:graphicData>
            </a:graphic>
          </wp:inline>
        </w:drawing>
      </w:r>
      <w:r w:rsidR="009A01C1">
        <w:br/>
      </w:r>
      <w:r w:rsidR="00DB0853" w:rsidRPr="00DB0853">
        <w:t>Figure S</w:t>
      </w:r>
      <w:r w:rsidR="00DB0853">
        <w:t>5</w:t>
      </w:r>
      <w:r w:rsidR="00DB0853" w:rsidRPr="00DB0853">
        <w:t>.</w:t>
      </w:r>
      <w:r w:rsidR="00DB0853">
        <w:t xml:space="preserve"> </w:t>
      </w:r>
      <w:r w:rsidR="00DB0853" w:rsidRPr="00DB0853">
        <w:t>Clustering analysis of language comprehension items</w:t>
      </w:r>
      <w:r w:rsidR="00A65C69">
        <w:t xml:space="preserve"> (</w:t>
      </w:r>
      <w:r w:rsidR="00DB0853">
        <w:t>55,558 participants</w:t>
      </w:r>
      <w:r w:rsidR="00A65C69">
        <w:t xml:space="preserve">, </w:t>
      </w:r>
      <w:r w:rsidR="00DB0853">
        <w:t>4 to 21 years of age, first evaluation)</w:t>
      </w:r>
      <w:r w:rsidR="00DB0853" w:rsidRPr="00DB0853">
        <w:t xml:space="preserve">. (A) The dendrogram representing the hierarchical clustering of language comprehension abilities. (B) Principal component analysis of the 15 language comprehension abilities shows </w:t>
      </w:r>
      <w:r w:rsidR="00625463">
        <w:t xml:space="preserve">a </w:t>
      </w:r>
      <w:r w:rsidR="00DB0853" w:rsidRPr="00DB0853">
        <w:t>clear separation between command, modifier</w:t>
      </w:r>
      <w:r w:rsidR="00DB0853">
        <w:t>,</w:t>
      </w:r>
      <w:r w:rsidR="00DB0853" w:rsidRPr="00DB0853">
        <w:t xml:space="preserve"> and prepositional items. Principal component 1 accounts for 4</w:t>
      </w:r>
      <w:r w:rsidR="00DB0853">
        <w:t>5</w:t>
      </w:r>
      <w:r w:rsidR="00DB0853" w:rsidRPr="00DB0853">
        <w:t>.</w:t>
      </w:r>
      <w:r w:rsidR="00DB0853">
        <w:t>9</w:t>
      </w:r>
      <w:r w:rsidR="00DB0853" w:rsidRPr="00DB0853">
        <w:t>% of the variance in the data. Principal component 2 accounts for 1</w:t>
      </w:r>
      <w:r w:rsidR="00DB0853">
        <w:t>0</w:t>
      </w:r>
      <w:r w:rsidR="00DB0853" w:rsidRPr="00DB0853">
        <w:t>.</w:t>
      </w:r>
      <w:r w:rsidR="00DB0853">
        <w:t>1</w:t>
      </w:r>
      <w:r w:rsidR="00DB0853" w:rsidRPr="00DB0853">
        <w:t>% of the variance in the data.</w:t>
      </w:r>
    </w:p>
    <w:p w14:paraId="5EC68D5E" w14:textId="49AB63D4" w:rsidR="00DB0853" w:rsidRDefault="00DB0853">
      <w:pPr>
        <w:spacing w:after="160" w:line="259" w:lineRule="auto"/>
        <w:rPr>
          <w:rFonts w:eastAsiaTheme="majorEastAsia" w:cstheme="majorBidi"/>
          <w:b/>
          <w:bCs/>
          <w:sz w:val="24"/>
          <w:szCs w:val="26"/>
        </w:rPr>
      </w:pPr>
    </w:p>
    <w:p w14:paraId="0232D260" w14:textId="77777777" w:rsidR="00F23101" w:rsidRDefault="00F23101" w:rsidP="00F23101">
      <w:pPr>
        <w:pStyle w:val="Heading2"/>
      </w:pPr>
    </w:p>
    <w:p w14:paraId="022A470A" w14:textId="7F996578" w:rsidR="00F23101" w:rsidRDefault="00F95B28" w:rsidP="00F23101">
      <w:r>
        <w:rPr>
          <w:noProof/>
        </w:rPr>
        <w:drawing>
          <wp:inline distT="0" distB="0" distL="0" distR="0" wp14:anchorId="74B24AE6" wp14:editId="6546A630">
            <wp:extent cx="6473825" cy="4403570"/>
            <wp:effectExtent l="0" t="0" r="0" b="0"/>
            <wp:docPr id="2473509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4326" cy="4410713"/>
                    </a:xfrm>
                    <a:prstGeom prst="rect">
                      <a:avLst/>
                    </a:prstGeom>
                    <a:noFill/>
                  </pic:spPr>
                </pic:pic>
              </a:graphicData>
            </a:graphic>
          </wp:inline>
        </w:drawing>
      </w:r>
      <w:r w:rsidR="00F23101">
        <w:t>Figure S</w:t>
      </w:r>
      <w:r w:rsidR="00872F6D">
        <w:t>6</w:t>
      </w:r>
      <w:r w:rsidR="00F23101">
        <w:t>. Two</w:t>
      </w:r>
      <w:r w:rsidR="00625463">
        <w:t>-</w:t>
      </w:r>
      <w:r w:rsidR="00F23101">
        <w:t xml:space="preserve">dimensional heatmap relating </w:t>
      </w:r>
      <w:r w:rsidR="00A06E17" w:rsidRPr="00A06E17">
        <w:t>31</w:t>
      </w:r>
      <w:r w:rsidR="00A06E17">
        <w:t>,</w:t>
      </w:r>
      <w:r w:rsidR="00A06E17" w:rsidRPr="00A06E17">
        <w:t>988</w:t>
      </w:r>
      <w:r w:rsidR="00A06E17">
        <w:t xml:space="preserve"> </w:t>
      </w:r>
      <w:r w:rsidR="00F23101">
        <w:t xml:space="preserve">participants (4 to 6 years of age) to their language comprehension abilities. The </w:t>
      </w:r>
      <w:r w:rsidR="009D10AC">
        <w:t>15</w:t>
      </w:r>
      <w:r w:rsidR="00F23101">
        <w:t xml:space="preserve"> language comprehension abilities are shown as rows. The dendrogram representing language comprehension abilities is shown on the left. Participants are shown as </w:t>
      </w:r>
      <w:r w:rsidR="00A06E17" w:rsidRPr="00A06E17">
        <w:t>31</w:t>
      </w:r>
      <w:r w:rsidR="00A06E17">
        <w:t>,</w:t>
      </w:r>
      <w:r w:rsidR="00A06E17" w:rsidRPr="00A06E17">
        <w:t>988</w:t>
      </w:r>
      <w:r w:rsidR="00A06E17">
        <w:t xml:space="preserve"> </w:t>
      </w:r>
      <w:r w:rsidR="00F23101">
        <w:t>columns. The dendrogram representing participants is shown on the top. Blue color indicates the presence of a skill (the “very true” answer), red indicates the lack of skill (the “not true” answer), and white indicates the “somewhat true” answer.</w:t>
      </w:r>
    </w:p>
    <w:p w14:paraId="2AF3EFB9" w14:textId="77777777" w:rsidR="00F23101" w:rsidRDefault="00F23101" w:rsidP="00F23101">
      <w:pPr>
        <w:spacing w:after="160" w:line="259" w:lineRule="auto"/>
        <w:rPr>
          <w:b/>
        </w:rPr>
      </w:pPr>
    </w:p>
    <w:p w14:paraId="6B4062AD" w14:textId="77777777" w:rsidR="00F23101" w:rsidRDefault="00F23101" w:rsidP="00F23101">
      <w:pPr>
        <w:spacing w:after="160" w:line="259" w:lineRule="auto"/>
        <w:rPr>
          <w:b/>
        </w:rPr>
      </w:pPr>
    </w:p>
    <w:p w14:paraId="201668DB" w14:textId="77777777" w:rsidR="00F23101" w:rsidRDefault="00F23101" w:rsidP="00F23101">
      <w:pPr>
        <w:spacing w:after="160" w:line="259" w:lineRule="auto"/>
        <w:rPr>
          <w:b/>
        </w:rPr>
      </w:pPr>
    </w:p>
    <w:p w14:paraId="16C16384" w14:textId="77777777" w:rsidR="00A06E17" w:rsidRDefault="00A06E17" w:rsidP="00F23101">
      <w:pPr>
        <w:rPr>
          <w:noProof/>
        </w:rPr>
      </w:pPr>
    </w:p>
    <w:p w14:paraId="14137D26" w14:textId="77777777" w:rsidR="00A06E17" w:rsidRDefault="00A06E17" w:rsidP="00F23101">
      <w:pPr>
        <w:rPr>
          <w:noProof/>
        </w:rPr>
      </w:pPr>
    </w:p>
    <w:p w14:paraId="4AB4C524" w14:textId="77777777" w:rsidR="00A06E17" w:rsidRDefault="00A06E17" w:rsidP="00F23101">
      <w:pPr>
        <w:rPr>
          <w:noProof/>
        </w:rPr>
      </w:pPr>
    </w:p>
    <w:p w14:paraId="13FBC19C" w14:textId="77777777" w:rsidR="00A06E17" w:rsidRDefault="00A06E17" w:rsidP="00F23101">
      <w:pPr>
        <w:rPr>
          <w:noProof/>
        </w:rPr>
      </w:pPr>
    </w:p>
    <w:p w14:paraId="3C3F34BF" w14:textId="77777777" w:rsidR="00A06E17" w:rsidRDefault="00A06E17" w:rsidP="00F23101">
      <w:pPr>
        <w:rPr>
          <w:noProof/>
        </w:rPr>
      </w:pPr>
    </w:p>
    <w:p w14:paraId="5FD74A44" w14:textId="77777777" w:rsidR="00A06E17" w:rsidRDefault="00A06E17" w:rsidP="00F23101">
      <w:pPr>
        <w:rPr>
          <w:noProof/>
        </w:rPr>
      </w:pPr>
    </w:p>
    <w:p w14:paraId="61490C76" w14:textId="77777777" w:rsidR="00A06E17" w:rsidRDefault="00A06E17" w:rsidP="00F23101">
      <w:pPr>
        <w:rPr>
          <w:noProof/>
        </w:rPr>
      </w:pPr>
    </w:p>
    <w:p w14:paraId="4A6FEB13" w14:textId="7F880686" w:rsidR="00A06E17" w:rsidRDefault="00F95B28" w:rsidP="00F23101">
      <w:pPr>
        <w:rPr>
          <w:noProof/>
        </w:rPr>
      </w:pPr>
      <w:r>
        <w:rPr>
          <w:noProof/>
        </w:rPr>
        <w:lastRenderedPageBreak/>
        <w:drawing>
          <wp:inline distT="0" distB="0" distL="0" distR="0" wp14:anchorId="473E35D0" wp14:editId="70ACC72F">
            <wp:extent cx="6410832" cy="4432300"/>
            <wp:effectExtent l="0" t="0" r="0" b="0"/>
            <wp:docPr id="17863356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17162" cy="4436676"/>
                    </a:xfrm>
                    <a:prstGeom prst="rect">
                      <a:avLst/>
                    </a:prstGeom>
                    <a:noFill/>
                  </pic:spPr>
                </pic:pic>
              </a:graphicData>
            </a:graphic>
          </wp:inline>
        </w:drawing>
      </w:r>
    </w:p>
    <w:p w14:paraId="429A1A6F" w14:textId="33338861" w:rsidR="00F23101" w:rsidRPr="00872F6D" w:rsidRDefault="00F23101" w:rsidP="00F23101">
      <w:pPr>
        <w:rPr>
          <w:rFonts w:ascii="Calibri" w:eastAsia="Times New Roman" w:hAnsi="Calibri" w:cs="Calibri"/>
          <w:color w:val="000000"/>
        </w:rPr>
      </w:pPr>
      <w:r>
        <w:t>Figure S</w:t>
      </w:r>
      <w:r w:rsidR="00872F6D">
        <w:t>7</w:t>
      </w:r>
      <w:r>
        <w:t>. Two</w:t>
      </w:r>
      <w:r w:rsidR="00625463">
        <w:t>-</w:t>
      </w:r>
      <w:r>
        <w:t xml:space="preserve">dimensional heatmap relating </w:t>
      </w:r>
      <w:r w:rsidR="00872F6D" w:rsidRPr="00872F6D">
        <w:rPr>
          <w:rFonts w:ascii="Calibri" w:eastAsia="Times New Roman" w:hAnsi="Calibri" w:cs="Calibri"/>
          <w:color w:val="000000"/>
        </w:rPr>
        <w:t>20,694</w:t>
      </w:r>
      <w:r w:rsidR="00872F6D">
        <w:rPr>
          <w:rFonts w:ascii="Calibri" w:eastAsia="Times New Roman" w:hAnsi="Calibri" w:cs="Calibri"/>
          <w:color w:val="000000"/>
        </w:rPr>
        <w:t xml:space="preserve"> </w:t>
      </w:r>
      <w:r>
        <w:t xml:space="preserve">participants (6 to </w:t>
      </w:r>
      <w:r w:rsidR="00872F6D">
        <w:t>12</w:t>
      </w:r>
      <w:r>
        <w:t xml:space="preserve"> years of age) to their language comprehension abilities. The </w:t>
      </w:r>
      <w:r w:rsidR="009D10AC">
        <w:t>15</w:t>
      </w:r>
      <w:r>
        <w:t xml:space="preserve"> language comprehension abilities are shown as rows. The dendrogram representing language comprehension abilities is shown on the left. Participants are shown as </w:t>
      </w:r>
      <w:r w:rsidR="00EF1B7B" w:rsidRPr="00872F6D">
        <w:rPr>
          <w:rFonts w:ascii="Calibri" w:eastAsia="Times New Roman" w:hAnsi="Calibri" w:cs="Calibri"/>
          <w:color w:val="000000"/>
        </w:rPr>
        <w:t>20,694</w:t>
      </w:r>
      <w:r w:rsidR="00EF1B7B">
        <w:rPr>
          <w:rFonts w:ascii="Calibri" w:eastAsia="Times New Roman" w:hAnsi="Calibri" w:cs="Calibri"/>
          <w:color w:val="000000"/>
        </w:rPr>
        <w:t xml:space="preserve"> </w:t>
      </w:r>
      <w:r>
        <w:t>columns. The dendrogram representing participants is shown on the top. Blue color indicates the presence of a skill (the “very true” answer), red indicates the lack of skill (the “not true” answer), and white indicates the “somewhat true” answer.</w:t>
      </w:r>
    </w:p>
    <w:p w14:paraId="36382ACC" w14:textId="77777777" w:rsidR="00872F6D" w:rsidRDefault="00872F6D" w:rsidP="00F23101"/>
    <w:p w14:paraId="03A813CE" w14:textId="77777777" w:rsidR="00872F6D" w:rsidRDefault="00872F6D">
      <w:pPr>
        <w:spacing w:after="160" w:line="259" w:lineRule="auto"/>
      </w:pPr>
      <w:r>
        <w:br w:type="page"/>
      </w:r>
    </w:p>
    <w:p w14:paraId="7F7848E0" w14:textId="1C6B79E9" w:rsidR="00872F6D" w:rsidRPr="00872F6D" w:rsidRDefault="00EF1B7B" w:rsidP="00872F6D">
      <w:pPr>
        <w:rPr>
          <w:rFonts w:ascii="Calibri" w:eastAsia="Times New Roman" w:hAnsi="Calibri" w:cs="Calibri"/>
          <w:color w:val="000000"/>
        </w:rPr>
      </w:pPr>
      <w:r>
        <w:rPr>
          <w:noProof/>
        </w:rPr>
        <w:lastRenderedPageBreak/>
        <w:drawing>
          <wp:inline distT="0" distB="0" distL="0" distR="0" wp14:anchorId="24DA88B0" wp14:editId="516C6045">
            <wp:extent cx="6213475" cy="4295852"/>
            <wp:effectExtent l="0" t="0" r="0" b="0"/>
            <wp:docPr id="182083682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20742" cy="4300876"/>
                    </a:xfrm>
                    <a:prstGeom prst="rect">
                      <a:avLst/>
                    </a:prstGeom>
                    <a:noFill/>
                  </pic:spPr>
                </pic:pic>
              </a:graphicData>
            </a:graphic>
          </wp:inline>
        </w:drawing>
      </w:r>
      <w:r w:rsidR="00872F6D">
        <w:t>Figure S8. Two</w:t>
      </w:r>
      <w:r w:rsidR="00625463">
        <w:t>-</w:t>
      </w:r>
      <w:r w:rsidR="00872F6D">
        <w:t xml:space="preserve">dimensional heatmap relating </w:t>
      </w:r>
      <w:r w:rsidR="00872F6D" w:rsidRPr="00872F6D">
        <w:rPr>
          <w:rFonts w:ascii="Calibri" w:eastAsia="Times New Roman" w:hAnsi="Calibri" w:cs="Calibri"/>
          <w:color w:val="000000"/>
        </w:rPr>
        <w:t>2</w:t>
      </w:r>
      <w:r w:rsidR="00872F6D">
        <w:rPr>
          <w:rFonts w:ascii="Calibri" w:eastAsia="Times New Roman" w:hAnsi="Calibri" w:cs="Calibri"/>
          <w:color w:val="000000"/>
        </w:rPr>
        <w:t>,</w:t>
      </w:r>
      <w:r w:rsidR="00872F6D" w:rsidRPr="00872F6D">
        <w:rPr>
          <w:rFonts w:ascii="Calibri" w:eastAsia="Times New Roman" w:hAnsi="Calibri" w:cs="Calibri"/>
          <w:color w:val="000000"/>
        </w:rPr>
        <w:t>876</w:t>
      </w:r>
      <w:r w:rsidR="00872F6D">
        <w:rPr>
          <w:rFonts w:ascii="Calibri" w:eastAsia="Times New Roman" w:hAnsi="Calibri" w:cs="Calibri"/>
          <w:color w:val="000000"/>
        </w:rPr>
        <w:t xml:space="preserve"> </w:t>
      </w:r>
      <w:r w:rsidR="00872F6D">
        <w:t xml:space="preserve">participants (12 to 21 years of age) to their language comprehension abilities. The 15 language comprehension abilities are shown as rows. The dendrogram representing language comprehension abilities is shown on the left. Participants are shown as </w:t>
      </w:r>
      <w:r w:rsidRPr="00872F6D">
        <w:rPr>
          <w:rFonts w:ascii="Calibri" w:eastAsia="Times New Roman" w:hAnsi="Calibri" w:cs="Calibri"/>
          <w:color w:val="000000"/>
        </w:rPr>
        <w:t>2</w:t>
      </w:r>
      <w:r>
        <w:rPr>
          <w:rFonts w:ascii="Calibri" w:eastAsia="Times New Roman" w:hAnsi="Calibri" w:cs="Calibri"/>
          <w:color w:val="000000"/>
        </w:rPr>
        <w:t>,</w:t>
      </w:r>
      <w:r w:rsidRPr="00872F6D">
        <w:rPr>
          <w:rFonts w:ascii="Calibri" w:eastAsia="Times New Roman" w:hAnsi="Calibri" w:cs="Calibri"/>
          <w:color w:val="000000"/>
        </w:rPr>
        <w:t>876</w:t>
      </w:r>
      <w:r>
        <w:rPr>
          <w:rFonts w:ascii="Calibri" w:eastAsia="Times New Roman" w:hAnsi="Calibri" w:cs="Calibri"/>
          <w:color w:val="000000"/>
        </w:rPr>
        <w:t xml:space="preserve"> </w:t>
      </w:r>
      <w:r w:rsidR="00872F6D">
        <w:t>columns. The dendrogram representing participants is shown on the top. Blue color indicates the presence of a skill (the “very true” answer), red indicates the lack of skill (the “not true” answer), and white indicates the “somewhat true” answer.</w:t>
      </w:r>
    </w:p>
    <w:p w14:paraId="48C66E0A" w14:textId="77777777" w:rsidR="00872F6D" w:rsidRDefault="00872F6D" w:rsidP="00F23101"/>
    <w:p w14:paraId="2CF4E8B2" w14:textId="77777777" w:rsidR="00F23101" w:rsidRDefault="00F23101" w:rsidP="00F23101">
      <w:pPr>
        <w:rPr>
          <w:b/>
        </w:rPr>
      </w:pPr>
    </w:p>
    <w:p w14:paraId="4A8FBC5F" w14:textId="77777777" w:rsidR="00F23101" w:rsidRDefault="00F23101" w:rsidP="00F23101">
      <w:pPr>
        <w:rPr>
          <w:b/>
        </w:rPr>
      </w:pPr>
    </w:p>
    <w:p w14:paraId="073A5BD6" w14:textId="77777777" w:rsidR="00F23101" w:rsidRDefault="00F23101" w:rsidP="00F23101">
      <w:pPr>
        <w:spacing w:after="160" w:line="259" w:lineRule="auto"/>
        <w:rPr>
          <w:b/>
        </w:rPr>
      </w:pPr>
      <w:r>
        <w:rPr>
          <w:b/>
        </w:rPr>
        <w:br w:type="page"/>
      </w:r>
    </w:p>
    <w:p w14:paraId="64E1D39E" w14:textId="77777777" w:rsidR="00F23101" w:rsidRDefault="00F23101" w:rsidP="00F23101">
      <w:pPr>
        <w:spacing w:after="160" w:line="259" w:lineRule="auto"/>
        <w:rPr>
          <w:b/>
        </w:rPr>
      </w:pPr>
    </w:p>
    <w:p w14:paraId="46803B0D" w14:textId="77777777" w:rsidR="00A06E17" w:rsidRDefault="00A06E17" w:rsidP="00F23101">
      <w:pPr>
        <w:rPr>
          <w:noProof/>
        </w:rPr>
      </w:pPr>
    </w:p>
    <w:p w14:paraId="406635B8" w14:textId="4DCF8C07" w:rsidR="00A06E17" w:rsidRDefault="00EF1B7B" w:rsidP="00F23101">
      <w:pPr>
        <w:rPr>
          <w:noProof/>
        </w:rPr>
      </w:pPr>
      <w:r>
        <w:rPr>
          <w:noProof/>
        </w:rPr>
        <w:drawing>
          <wp:inline distT="0" distB="0" distL="0" distR="0" wp14:anchorId="312DCD14" wp14:editId="309E19A0">
            <wp:extent cx="6311900" cy="4293427"/>
            <wp:effectExtent l="0" t="0" r="0" b="0"/>
            <wp:docPr id="96116206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18448" cy="4297881"/>
                    </a:xfrm>
                    <a:prstGeom prst="rect">
                      <a:avLst/>
                    </a:prstGeom>
                    <a:noFill/>
                  </pic:spPr>
                </pic:pic>
              </a:graphicData>
            </a:graphic>
          </wp:inline>
        </w:drawing>
      </w:r>
    </w:p>
    <w:p w14:paraId="2C279F13" w14:textId="0ED95141" w:rsidR="00F23101" w:rsidRDefault="00F23101" w:rsidP="00F23101">
      <w:r>
        <w:t>Figure S</w:t>
      </w:r>
      <w:r w:rsidR="008C4C6E">
        <w:t>9</w:t>
      </w:r>
      <w:r>
        <w:t>. Two</w:t>
      </w:r>
      <w:r w:rsidR="00625463">
        <w:t>-</w:t>
      </w:r>
      <w:r>
        <w:t xml:space="preserve">dimensional heatmap relating </w:t>
      </w:r>
      <w:r w:rsidR="006E65A6">
        <w:t>55,558</w:t>
      </w:r>
      <w:r>
        <w:t xml:space="preserve"> participants (4 to 21 years of age, first evaluation) to their language comprehension abilities. The </w:t>
      </w:r>
      <w:r w:rsidR="009D10AC">
        <w:t>15</w:t>
      </w:r>
      <w:r>
        <w:t xml:space="preserve"> language comprehension abilities are shown as rows. The dendrogram representing language comprehension abilities is shown on the left. Participants are shown as </w:t>
      </w:r>
      <w:r w:rsidR="00A85B44">
        <w:t xml:space="preserve">55,558 </w:t>
      </w:r>
      <w:r>
        <w:t>columns. The dendrogram representing participants is shown on the top. Blue color indicates the presence of a skill (the “very true” answer), red indicates the lack of skill (the “not true” answer), and white indicates the “somewhat true” answer.</w:t>
      </w:r>
    </w:p>
    <w:p w14:paraId="070E5D78" w14:textId="77777777" w:rsidR="00F23101" w:rsidRDefault="00F23101" w:rsidP="00F23101"/>
    <w:p w14:paraId="4D247599" w14:textId="77777777" w:rsidR="000A150B" w:rsidRDefault="00F23101" w:rsidP="00F23101">
      <w:pPr>
        <w:spacing w:after="160" w:line="259" w:lineRule="auto"/>
        <w:rPr>
          <w:b/>
        </w:rPr>
      </w:pPr>
      <w:r>
        <w:br w:type="page"/>
      </w:r>
    </w:p>
    <w:p w14:paraId="0AC0407B" w14:textId="77777777" w:rsidR="00CF4478" w:rsidRDefault="00CF4478">
      <w:pPr>
        <w:spacing w:after="160" w:line="259" w:lineRule="auto"/>
      </w:pPr>
    </w:p>
    <w:p w14:paraId="0C76769E" w14:textId="3C49CB38" w:rsidR="00CF4478" w:rsidRDefault="00CF4478">
      <w:pPr>
        <w:spacing w:after="160" w:line="259" w:lineRule="auto"/>
      </w:pPr>
    </w:p>
    <w:p w14:paraId="37B14D43" w14:textId="0EB06AC5" w:rsidR="00EB214B" w:rsidRDefault="00EF1B7B">
      <w:pPr>
        <w:spacing w:after="160" w:line="259" w:lineRule="auto"/>
      </w:pPr>
      <w:r>
        <w:rPr>
          <w:noProof/>
        </w:rPr>
        <w:drawing>
          <wp:inline distT="0" distB="0" distL="0" distR="0" wp14:anchorId="5CF19B36" wp14:editId="7CA23F25">
            <wp:extent cx="6273800" cy="4267511"/>
            <wp:effectExtent l="0" t="0" r="0" b="0"/>
            <wp:docPr id="82145337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281326" cy="4272630"/>
                    </a:xfrm>
                    <a:prstGeom prst="rect">
                      <a:avLst/>
                    </a:prstGeom>
                    <a:noFill/>
                  </pic:spPr>
                </pic:pic>
              </a:graphicData>
            </a:graphic>
          </wp:inline>
        </w:drawing>
      </w:r>
    </w:p>
    <w:p w14:paraId="27EDD038" w14:textId="15B9FC9D" w:rsidR="00EB214B" w:rsidRDefault="0049320F" w:rsidP="00463CE4">
      <w:r>
        <w:t>Figure S</w:t>
      </w:r>
      <w:r w:rsidR="008C4C6E">
        <w:t>10</w:t>
      </w:r>
      <w:r w:rsidR="00EB214B">
        <w:t>. Two</w:t>
      </w:r>
      <w:r w:rsidR="00625463">
        <w:t>-</w:t>
      </w:r>
      <w:r w:rsidR="00EB214B">
        <w:t xml:space="preserve">dimensional heatmap relating </w:t>
      </w:r>
      <w:r w:rsidR="006E65A6">
        <w:t>55,558</w:t>
      </w:r>
      <w:r w:rsidR="00EB214B">
        <w:t xml:space="preserve"> participants (4 to 21 years of age, last evaluation) to their language comprehension abilities. This heatmap uses </w:t>
      </w:r>
      <w:r w:rsidR="00EB214B">
        <w:rPr>
          <w:rFonts w:ascii="Calibri" w:eastAsia="+mn-ea" w:hAnsi="Calibri" w:cs="+mn-cs"/>
          <w:color w:val="000000"/>
          <w:kern w:val="24"/>
        </w:rPr>
        <w:t>Manhattan</w:t>
      </w:r>
      <w:r w:rsidR="00EB214B" w:rsidRPr="001D3DBB">
        <w:t xml:space="preserve"> distance metric</w:t>
      </w:r>
      <w:r w:rsidR="00EB214B">
        <w:t xml:space="preserve"> unlike heatmaps </w:t>
      </w:r>
      <w:r w:rsidR="00B13B4C">
        <w:t xml:space="preserve">above </w:t>
      </w:r>
      <w:r w:rsidR="00EB214B">
        <w:t xml:space="preserve">that use </w:t>
      </w:r>
      <w:r w:rsidR="00EB214B" w:rsidRPr="001D3DBB">
        <w:t>Euclidean distance metric</w:t>
      </w:r>
      <w:r w:rsidR="00EB214B">
        <w:t xml:space="preserve">. The </w:t>
      </w:r>
      <w:r w:rsidR="009D10AC">
        <w:t>15</w:t>
      </w:r>
      <w:r w:rsidR="00EB214B">
        <w:t xml:space="preserve"> language comprehension abilities are shown as rows. The dendrogram representing language comprehension abilities is shown on the left. Participants are shown as </w:t>
      </w:r>
      <w:r w:rsidR="006E65A6">
        <w:t>55,558</w:t>
      </w:r>
      <w:r w:rsidR="00EB214B">
        <w:t xml:space="preserve"> columns. The dendrogram representing participants is shown on the top. Blue color indicates the presence of a skill (the “very true” answer), red indicates the lack of skill (the “not true” answer), and white indicates the “somewhat true” answer.</w:t>
      </w:r>
    </w:p>
    <w:p w14:paraId="6959B5C1" w14:textId="77777777" w:rsidR="003238B9" w:rsidRDefault="003238B9" w:rsidP="00463CE4"/>
    <w:p w14:paraId="319E9CE8" w14:textId="77777777" w:rsidR="003238B9" w:rsidRDefault="003238B9">
      <w:pPr>
        <w:spacing w:after="160" w:line="259" w:lineRule="auto"/>
      </w:pPr>
      <w:r>
        <w:br w:type="page"/>
      </w:r>
    </w:p>
    <w:p w14:paraId="2CF64A6C" w14:textId="21CAAC6F" w:rsidR="007B722C" w:rsidRDefault="00EF1B7B" w:rsidP="007B722C">
      <w:r>
        <w:rPr>
          <w:noProof/>
        </w:rPr>
        <w:lastRenderedPageBreak/>
        <w:drawing>
          <wp:inline distT="0" distB="0" distL="0" distR="0" wp14:anchorId="43568AC6" wp14:editId="64A23809">
            <wp:extent cx="6264275" cy="4261032"/>
            <wp:effectExtent l="0" t="0" r="0" b="0"/>
            <wp:docPr id="190268398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68996" cy="4264243"/>
                    </a:xfrm>
                    <a:prstGeom prst="rect">
                      <a:avLst/>
                    </a:prstGeom>
                    <a:noFill/>
                  </pic:spPr>
                </pic:pic>
              </a:graphicData>
            </a:graphic>
          </wp:inline>
        </w:drawing>
      </w:r>
    </w:p>
    <w:p w14:paraId="7F91D86A" w14:textId="2F733A0D" w:rsidR="00EB214B" w:rsidRDefault="0049320F" w:rsidP="00EB214B">
      <w:r>
        <w:t>Figure S</w:t>
      </w:r>
      <w:r w:rsidR="008C4C6E">
        <w:t>11</w:t>
      </w:r>
      <w:r w:rsidR="00EB214B">
        <w:t>. Two</w:t>
      </w:r>
      <w:r w:rsidR="00625463">
        <w:t>-</w:t>
      </w:r>
      <w:r w:rsidR="00EB214B">
        <w:t xml:space="preserve">dimensional heatmap relating </w:t>
      </w:r>
      <w:r w:rsidR="006E65A6">
        <w:t>55,558</w:t>
      </w:r>
      <w:r w:rsidR="00EB214B">
        <w:t xml:space="preserve"> participants (4 to 21 years of age, last evaluation) to their language comprehension abilities. This heatmap uses </w:t>
      </w:r>
      <w:r w:rsidR="00EB214B">
        <w:rPr>
          <w:rFonts w:ascii="Calibri" w:eastAsia="+mn-ea" w:hAnsi="Calibri" w:cs="+mn-cs"/>
          <w:color w:val="000000"/>
          <w:kern w:val="24"/>
        </w:rPr>
        <w:t>M</w:t>
      </w:r>
      <w:r w:rsidR="00EB214B" w:rsidRPr="00EB214B">
        <w:rPr>
          <w:rFonts w:ascii="Calibri" w:eastAsia="+mn-ea" w:hAnsi="Calibri" w:cs="+mn-cs"/>
          <w:color w:val="000000"/>
          <w:kern w:val="24"/>
        </w:rPr>
        <w:t xml:space="preserve">inkowski </w:t>
      </w:r>
      <w:r w:rsidR="00EB214B" w:rsidRPr="001D3DBB">
        <w:t>distance metric</w:t>
      </w:r>
      <w:r w:rsidR="00EB214B">
        <w:t xml:space="preserve">. The </w:t>
      </w:r>
      <w:r w:rsidR="009D10AC">
        <w:t>15</w:t>
      </w:r>
      <w:r w:rsidR="00EB214B">
        <w:t xml:space="preserve"> language comprehension abilities are shown as rows. The dendrogram representing language comprehension abilities is shown on the left. Participants are shown as </w:t>
      </w:r>
      <w:r w:rsidR="006E65A6">
        <w:t>55,558</w:t>
      </w:r>
      <w:r w:rsidR="00EB214B">
        <w:t xml:space="preserve"> columns. The dendrogram representing participants is shown on the top. Blue color indicates the presence of a skill (the “very true” answer), red indicates the lack of skill (the “not true” answer), and white indicates the “somewhat true” answer.</w:t>
      </w:r>
    </w:p>
    <w:p w14:paraId="192849C7" w14:textId="77777777" w:rsidR="005D6791" w:rsidRDefault="005D6791" w:rsidP="00A06E17">
      <w:pPr>
        <w:spacing w:after="160" w:line="259" w:lineRule="auto"/>
      </w:pPr>
    </w:p>
    <w:p w14:paraId="3B121AF8" w14:textId="77777777" w:rsidR="009D69ED" w:rsidRDefault="009D69ED" w:rsidP="00A06E17">
      <w:pPr>
        <w:spacing w:after="160" w:line="259" w:lineRule="auto"/>
      </w:pPr>
    </w:p>
    <w:p w14:paraId="0C085114" w14:textId="77777777" w:rsidR="009D69ED" w:rsidRDefault="009D69ED" w:rsidP="00A06E17">
      <w:pPr>
        <w:spacing w:after="160" w:line="259" w:lineRule="auto"/>
      </w:pPr>
    </w:p>
    <w:p w14:paraId="4B275BFA" w14:textId="40006A13" w:rsidR="009D69ED" w:rsidRDefault="009D69ED">
      <w:pPr>
        <w:spacing w:after="160" w:line="259" w:lineRule="auto"/>
      </w:pPr>
      <w:r>
        <w:br w:type="page"/>
      </w:r>
    </w:p>
    <w:p w14:paraId="6AF23616" w14:textId="1EA2E4B2" w:rsidR="009D69ED" w:rsidRDefault="009D69ED" w:rsidP="00A06E17">
      <w:pPr>
        <w:spacing w:after="160" w:line="259" w:lineRule="auto"/>
      </w:pPr>
      <w:r>
        <w:rPr>
          <w:noProof/>
        </w:rPr>
        <w:lastRenderedPageBreak/>
        <w:drawing>
          <wp:inline distT="0" distB="0" distL="0" distR="0" wp14:anchorId="78C7EC16" wp14:editId="31596AA0">
            <wp:extent cx="5423108" cy="3257550"/>
            <wp:effectExtent l="0" t="0" r="0" b="0"/>
            <wp:docPr id="16837770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38501" cy="3266796"/>
                    </a:xfrm>
                    <a:prstGeom prst="rect">
                      <a:avLst/>
                    </a:prstGeom>
                    <a:noFill/>
                  </pic:spPr>
                </pic:pic>
              </a:graphicData>
            </a:graphic>
          </wp:inline>
        </w:drawing>
      </w:r>
    </w:p>
    <w:p w14:paraId="740616D8" w14:textId="77777777" w:rsidR="009D69ED" w:rsidRDefault="009D69ED" w:rsidP="00A06E17">
      <w:pPr>
        <w:spacing w:after="160" w:line="259" w:lineRule="auto"/>
      </w:pPr>
    </w:p>
    <w:p w14:paraId="34482A83" w14:textId="38B7A530" w:rsidR="009D69ED" w:rsidRDefault="00E540B7" w:rsidP="00A06E17">
      <w:pPr>
        <w:spacing w:after="160" w:line="259" w:lineRule="auto"/>
      </w:pPr>
      <w:r>
        <w:rPr>
          <w:noProof/>
        </w:rPr>
        <w:drawing>
          <wp:inline distT="0" distB="0" distL="0" distR="0" wp14:anchorId="14CB0B14" wp14:editId="035D5AEA">
            <wp:extent cx="5506085" cy="3706163"/>
            <wp:effectExtent l="0" t="0" r="0" b="0"/>
            <wp:docPr id="65584787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520582" cy="3715921"/>
                    </a:xfrm>
                    <a:prstGeom prst="rect">
                      <a:avLst/>
                    </a:prstGeom>
                    <a:noFill/>
                  </pic:spPr>
                </pic:pic>
              </a:graphicData>
            </a:graphic>
          </wp:inline>
        </w:drawing>
      </w:r>
    </w:p>
    <w:p w14:paraId="70629059" w14:textId="5685E455" w:rsidR="009D69ED" w:rsidRDefault="009D69ED" w:rsidP="00A06E17">
      <w:pPr>
        <w:spacing w:after="160" w:line="259" w:lineRule="auto"/>
      </w:pPr>
      <w:r>
        <w:t>Figure S12.</w:t>
      </w:r>
      <w:r w:rsidRPr="00CF4478">
        <w:t xml:space="preserve"> </w:t>
      </w:r>
      <w:r>
        <w:t>The</w:t>
      </w:r>
      <w:r w:rsidRPr="001D3DBB">
        <w:t xml:space="preserve"> cluster</w:t>
      </w:r>
      <w:r>
        <w:t>ing</w:t>
      </w:r>
      <w:r w:rsidRPr="001D3DBB">
        <w:t xml:space="preserve"> solution</w:t>
      </w:r>
      <w:r>
        <w:t xml:space="preserve"> of the 15 language comprehension abilities</w:t>
      </w:r>
      <w:r w:rsidRPr="001D3DBB">
        <w:t xml:space="preserve"> </w:t>
      </w:r>
      <w:r>
        <w:t xml:space="preserve">along with the “hyperactivity” item (55,558 participants, 4 to 21 years of age, last evaluation). </w:t>
      </w:r>
      <w:r w:rsidRPr="00DB0853">
        <w:t>(A) The dendrogram representing the hierarchical clustering. (B) Principal component analysis</w:t>
      </w:r>
      <w:r>
        <w:t xml:space="preserve">. </w:t>
      </w:r>
      <w:r w:rsidRPr="00DB0853">
        <w:t xml:space="preserve">Principal component 1 accounts for </w:t>
      </w:r>
      <w:r>
        <w:t>36.1</w:t>
      </w:r>
      <w:r w:rsidRPr="00DB0853">
        <w:t xml:space="preserve">% of the variance in the data. Principal component 2 accounts for </w:t>
      </w:r>
      <w:r>
        <w:t>16.9</w:t>
      </w:r>
      <w:r w:rsidRPr="00DB0853">
        <w:t>% of the variance in the data.</w:t>
      </w:r>
      <w:r>
        <w:t xml:space="preserve"> The hyperactivity item clusters into its own group at a significant distance from the three language clusters, confirming that hyperactivity item is not related to language comprehension abilities</w:t>
      </w:r>
      <w:r w:rsidR="003D10EF">
        <w:t>.</w:t>
      </w:r>
    </w:p>
    <w:p w14:paraId="05FB96CF" w14:textId="1703E99F" w:rsidR="00094CA0" w:rsidRDefault="003C0FAB" w:rsidP="00A06E17">
      <w:pPr>
        <w:spacing w:after="160" w:line="259" w:lineRule="auto"/>
      </w:pPr>
      <w:r>
        <w:rPr>
          <w:noProof/>
        </w:rPr>
        <w:lastRenderedPageBreak/>
        <w:drawing>
          <wp:inline distT="0" distB="0" distL="0" distR="0" wp14:anchorId="5A056936" wp14:editId="30298D0D">
            <wp:extent cx="3331210" cy="2474694"/>
            <wp:effectExtent l="0" t="0" r="0" b="0"/>
            <wp:docPr id="209392936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47675" cy="2486925"/>
                    </a:xfrm>
                    <a:prstGeom prst="rect">
                      <a:avLst/>
                    </a:prstGeom>
                    <a:noFill/>
                  </pic:spPr>
                </pic:pic>
              </a:graphicData>
            </a:graphic>
          </wp:inline>
        </w:drawing>
      </w:r>
      <w:r>
        <w:rPr>
          <w:noProof/>
        </w:rPr>
        <w:drawing>
          <wp:inline distT="0" distB="0" distL="0" distR="0" wp14:anchorId="3553A320" wp14:editId="45DFA77F">
            <wp:extent cx="3430905" cy="2565257"/>
            <wp:effectExtent l="0" t="0" r="0" b="0"/>
            <wp:docPr id="203519155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42766" cy="2574126"/>
                    </a:xfrm>
                    <a:prstGeom prst="rect">
                      <a:avLst/>
                    </a:prstGeom>
                    <a:noFill/>
                  </pic:spPr>
                </pic:pic>
              </a:graphicData>
            </a:graphic>
          </wp:inline>
        </w:drawing>
      </w:r>
    </w:p>
    <w:p w14:paraId="379A2B9A" w14:textId="77777777" w:rsidR="00942F76" w:rsidRDefault="00942F76" w:rsidP="00A06E17">
      <w:pPr>
        <w:spacing w:after="160" w:line="259" w:lineRule="auto"/>
      </w:pPr>
    </w:p>
    <w:p w14:paraId="0256A780" w14:textId="77777777" w:rsidR="00942F76" w:rsidRDefault="00942F76" w:rsidP="00A06E17">
      <w:pPr>
        <w:spacing w:after="160" w:line="259" w:lineRule="auto"/>
      </w:pPr>
    </w:p>
    <w:p w14:paraId="2C976B75" w14:textId="71D7555D" w:rsidR="00942F76" w:rsidRDefault="003C0FAB" w:rsidP="00A06E17">
      <w:pPr>
        <w:spacing w:after="160" w:line="259" w:lineRule="auto"/>
      </w:pPr>
      <w:r>
        <w:rPr>
          <w:noProof/>
        </w:rPr>
        <w:drawing>
          <wp:inline distT="0" distB="0" distL="0" distR="0" wp14:anchorId="7CBB2DA5" wp14:editId="4BF66078">
            <wp:extent cx="3439588" cy="2571750"/>
            <wp:effectExtent l="0" t="0" r="0" b="0"/>
            <wp:docPr id="24257193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451676" cy="2580788"/>
                    </a:xfrm>
                    <a:prstGeom prst="rect">
                      <a:avLst/>
                    </a:prstGeom>
                    <a:noFill/>
                  </pic:spPr>
                </pic:pic>
              </a:graphicData>
            </a:graphic>
          </wp:inline>
        </w:drawing>
      </w:r>
      <w:r>
        <w:rPr>
          <w:noProof/>
        </w:rPr>
        <w:drawing>
          <wp:inline distT="0" distB="0" distL="0" distR="0" wp14:anchorId="41E4A57D" wp14:editId="5B9A5D33">
            <wp:extent cx="3400425" cy="2542467"/>
            <wp:effectExtent l="0" t="0" r="0" b="0"/>
            <wp:docPr id="52593369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429506" cy="2564211"/>
                    </a:xfrm>
                    <a:prstGeom prst="rect">
                      <a:avLst/>
                    </a:prstGeom>
                    <a:noFill/>
                  </pic:spPr>
                </pic:pic>
              </a:graphicData>
            </a:graphic>
          </wp:inline>
        </w:drawing>
      </w:r>
    </w:p>
    <w:p w14:paraId="15B4CB22" w14:textId="77777777" w:rsidR="00942F76" w:rsidRDefault="00942F76" w:rsidP="00A06E17">
      <w:pPr>
        <w:spacing w:after="160" w:line="259" w:lineRule="auto"/>
      </w:pPr>
    </w:p>
    <w:p w14:paraId="5799B5B5" w14:textId="48022791" w:rsidR="00094CA0" w:rsidRDefault="00094CA0" w:rsidP="00A06E17">
      <w:pPr>
        <w:spacing w:after="160" w:line="259" w:lineRule="auto"/>
      </w:pPr>
      <w:r>
        <w:t>Figure S13.</w:t>
      </w:r>
      <w:r w:rsidRPr="00CF4478">
        <w:t xml:space="preserve"> </w:t>
      </w:r>
      <w:r>
        <w:t>The</w:t>
      </w:r>
      <w:r w:rsidRPr="001D3DBB">
        <w:t xml:space="preserve"> </w:t>
      </w:r>
      <w:r>
        <w:t>three</w:t>
      </w:r>
      <w:r w:rsidRPr="001D3DBB">
        <w:t>-cluster solution</w:t>
      </w:r>
      <w:r>
        <w:t xml:space="preserve"> of the 11 expressive language abilities</w:t>
      </w:r>
      <w:r w:rsidRPr="001D3DBB">
        <w:t xml:space="preserve"> was</w:t>
      </w:r>
      <w:r>
        <w:t xml:space="preserve"> stable across different evaluation methods. A: Ward.D. B: Average. C: Complete. D: Mcquitty.</w:t>
      </w:r>
    </w:p>
    <w:p w14:paraId="69179E08" w14:textId="77777777" w:rsidR="00A9172A" w:rsidRDefault="00A9172A" w:rsidP="00A06E17">
      <w:pPr>
        <w:spacing w:after="160" w:line="259" w:lineRule="auto"/>
      </w:pPr>
    </w:p>
    <w:p w14:paraId="789FE3D1" w14:textId="77777777" w:rsidR="00A9172A" w:rsidRDefault="00A9172A" w:rsidP="00A06E17">
      <w:pPr>
        <w:spacing w:after="160" w:line="259" w:lineRule="auto"/>
      </w:pPr>
    </w:p>
    <w:p w14:paraId="29D41B9E" w14:textId="2B0EA474" w:rsidR="00A9172A" w:rsidRDefault="00A9172A" w:rsidP="00A06E17">
      <w:pPr>
        <w:spacing w:after="160" w:line="259" w:lineRule="auto"/>
      </w:pPr>
      <w:r>
        <w:rPr>
          <w:noProof/>
        </w:rPr>
        <w:lastRenderedPageBreak/>
        <w:drawing>
          <wp:inline distT="0" distB="0" distL="0" distR="0" wp14:anchorId="77059D87" wp14:editId="2D99B15B">
            <wp:extent cx="5566374" cy="3695700"/>
            <wp:effectExtent l="0" t="0" r="0" b="0"/>
            <wp:docPr id="125635751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76762" cy="3702597"/>
                    </a:xfrm>
                    <a:prstGeom prst="rect">
                      <a:avLst/>
                    </a:prstGeom>
                    <a:noFill/>
                  </pic:spPr>
                </pic:pic>
              </a:graphicData>
            </a:graphic>
          </wp:inline>
        </w:drawing>
      </w:r>
    </w:p>
    <w:p w14:paraId="38E0B70C" w14:textId="77777777" w:rsidR="00894FC5" w:rsidRDefault="00894FC5" w:rsidP="00A06E17">
      <w:pPr>
        <w:spacing w:after="160" w:line="259" w:lineRule="auto"/>
      </w:pPr>
      <w:r>
        <w:rPr>
          <w:noProof/>
        </w:rPr>
        <w:drawing>
          <wp:inline distT="0" distB="0" distL="0" distR="0" wp14:anchorId="60D086CF" wp14:editId="366F0187">
            <wp:extent cx="5647055" cy="4068464"/>
            <wp:effectExtent l="0" t="0" r="0" b="0"/>
            <wp:docPr id="58813458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647055" cy="4068464"/>
                    </a:xfrm>
                    <a:prstGeom prst="rect">
                      <a:avLst/>
                    </a:prstGeom>
                    <a:noFill/>
                  </pic:spPr>
                </pic:pic>
              </a:graphicData>
            </a:graphic>
          </wp:inline>
        </w:drawing>
      </w:r>
    </w:p>
    <w:p w14:paraId="5621D62D" w14:textId="2DEEAFF3" w:rsidR="00A9172A" w:rsidRDefault="00A9172A" w:rsidP="00A06E17">
      <w:pPr>
        <w:spacing w:after="160" w:line="259" w:lineRule="auto"/>
      </w:pPr>
      <w:r w:rsidRPr="00DB0853">
        <w:t>Figure S</w:t>
      </w:r>
      <w:r>
        <w:t>14</w:t>
      </w:r>
      <w:r w:rsidRPr="00DB0853">
        <w:t xml:space="preserve">. Clustering analysis of </w:t>
      </w:r>
      <w:r>
        <w:t xml:space="preserve">expressive </w:t>
      </w:r>
      <w:r w:rsidRPr="00DB0853">
        <w:t>language items</w:t>
      </w:r>
      <w:r>
        <w:t xml:space="preserve"> (55,558 participants, 4 to 21 years of age, first evaluation)</w:t>
      </w:r>
      <w:r w:rsidRPr="00DB0853">
        <w:t xml:space="preserve">. (A) The dendrogram representing the hierarchical clustering of </w:t>
      </w:r>
      <w:r>
        <w:t xml:space="preserve">expressive </w:t>
      </w:r>
      <w:r w:rsidRPr="00DB0853">
        <w:t xml:space="preserve">language abilities. (B) Principal component analysis of the </w:t>
      </w:r>
      <w:r>
        <w:t>11 expressive</w:t>
      </w:r>
      <w:r w:rsidRPr="00DB0853">
        <w:t xml:space="preserve"> language abilities. Principal component 1 accounts for </w:t>
      </w:r>
      <w:r>
        <w:t>51.8%</w:t>
      </w:r>
      <w:r w:rsidRPr="00DB0853">
        <w:t xml:space="preserve"> of the variance in the data. Principal component 2 accounts for 1</w:t>
      </w:r>
      <w:r>
        <w:t>1</w:t>
      </w:r>
      <w:r w:rsidRPr="00DB0853">
        <w:t>.</w:t>
      </w:r>
      <w:r>
        <w:t>1</w:t>
      </w:r>
      <w:r w:rsidRPr="00DB0853">
        <w:t>% of the variance in the data.</w:t>
      </w:r>
    </w:p>
    <w:p w14:paraId="7F4FD42A" w14:textId="086A17FB" w:rsidR="00505879" w:rsidRDefault="00505879" w:rsidP="00A06E17">
      <w:pPr>
        <w:spacing w:after="160" w:line="259" w:lineRule="auto"/>
        <w:rPr>
          <w:b/>
        </w:rPr>
      </w:pPr>
      <w:r>
        <w:rPr>
          <w:b/>
          <w:noProof/>
        </w:rPr>
        <w:lastRenderedPageBreak/>
        <w:drawing>
          <wp:inline distT="0" distB="0" distL="0" distR="0" wp14:anchorId="4834F82E" wp14:editId="588D0305">
            <wp:extent cx="5167630" cy="3586496"/>
            <wp:effectExtent l="0" t="0" r="0" b="0"/>
            <wp:docPr id="652166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173167" cy="3590339"/>
                    </a:xfrm>
                    <a:prstGeom prst="rect">
                      <a:avLst/>
                    </a:prstGeom>
                    <a:noFill/>
                  </pic:spPr>
                </pic:pic>
              </a:graphicData>
            </a:graphic>
          </wp:inline>
        </w:drawing>
      </w:r>
    </w:p>
    <w:p w14:paraId="5732FB3B" w14:textId="11FB850F" w:rsidR="00505879" w:rsidRDefault="00505879" w:rsidP="00A06E17">
      <w:pPr>
        <w:spacing w:after="160" w:line="259" w:lineRule="auto"/>
        <w:rPr>
          <w:b/>
        </w:rPr>
      </w:pPr>
      <w:r>
        <w:rPr>
          <w:b/>
          <w:noProof/>
        </w:rPr>
        <w:drawing>
          <wp:inline distT="0" distB="0" distL="0" distR="0" wp14:anchorId="0AED9F96" wp14:editId="7286BF8A">
            <wp:extent cx="4995545" cy="3234905"/>
            <wp:effectExtent l="0" t="0" r="0" b="0"/>
            <wp:docPr id="3566875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005949" cy="3241642"/>
                    </a:xfrm>
                    <a:prstGeom prst="rect">
                      <a:avLst/>
                    </a:prstGeom>
                    <a:noFill/>
                  </pic:spPr>
                </pic:pic>
              </a:graphicData>
            </a:graphic>
          </wp:inline>
        </w:drawing>
      </w:r>
    </w:p>
    <w:p w14:paraId="1AF78835" w14:textId="717F3D6A" w:rsidR="00505879" w:rsidRDefault="00505879" w:rsidP="00505879">
      <w:pPr>
        <w:spacing w:after="160" w:line="259" w:lineRule="auto"/>
      </w:pPr>
      <w:r>
        <w:t>Figure S15.</w:t>
      </w:r>
      <w:r w:rsidRPr="00CF4478">
        <w:t xml:space="preserve"> </w:t>
      </w:r>
      <w:r>
        <w:t>The</w:t>
      </w:r>
      <w:r w:rsidRPr="001D3DBB">
        <w:t xml:space="preserve"> cluster</w:t>
      </w:r>
      <w:r>
        <w:t>ing</w:t>
      </w:r>
      <w:r w:rsidRPr="001D3DBB">
        <w:t xml:space="preserve"> solution</w:t>
      </w:r>
      <w:r>
        <w:t xml:space="preserve"> of the 11 language comprehension abilities</w:t>
      </w:r>
      <w:r w:rsidRPr="001D3DBB">
        <w:t xml:space="preserve"> </w:t>
      </w:r>
      <w:r>
        <w:t xml:space="preserve">along with the “hyperactivity” item (55,558 participants, 4 to 21 years of age, last evaluation). </w:t>
      </w:r>
      <w:r w:rsidRPr="00DB0853">
        <w:t>(A) The dendrogram representing the hierarchical clustering. (B) Principal component analysis</w:t>
      </w:r>
      <w:r>
        <w:t xml:space="preserve">. </w:t>
      </w:r>
      <w:r w:rsidRPr="00DB0853">
        <w:t xml:space="preserve">Principal component 1 accounts for </w:t>
      </w:r>
      <w:r>
        <w:t>41.1</w:t>
      </w:r>
      <w:r w:rsidRPr="00DB0853">
        <w:t xml:space="preserve">% of the variance in the data. Principal component 2 accounts for </w:t>
      </w:r>
      <w:r>
        <w:t>22.1</w:t>
      </w:r>
      <w:r w:rsidRPr="00DB0853">
        <w:t>% of the variance in the data.</w:t>
      </w:r>
      <w:r>
        <w:t xml:space="preserve"> The hyperactivity item clusters into its own group at a significant distance from the three language clusters, confirming that hyperactivity item is not related to expressive language abilities.</w:t>
      </w:r>
    </w:p>
    <w:p w14:paraId="17B1CC4E" w14:textId="77777777" w:rsidR="00505879" w:rsidRDefault="00505879" w:rsidP="00A06E17">
      <w:pPr>
        <w:spacing w:after="160" w:line="259" w:lineRule="auto"/>
        <w:rPr>
          <w:b/>
        </w:rPr>
      </w:pPr>
    </w:p>
    <w:p w14:paraId="1D37C32E" w14:textId="77777777" w:rsidR="001F26BF" w:rsidRDefault="001F26BF" w:rsidP="00A06E17">
      <w:pPr>
        <w:spacing w:after="160" w:line="259" w:lineRule="auto"/>
        <w:rPr>
          <w:b/>
        </w:rPr>
      </w:pPr>
    </w:p>
    <w:p w14:paraId="728CD597" w14:textId="00057054" w:rsidR="001F26BF" w:rsidRDefault="001F26BF" w:rsidP="00A06E17">
      <w:pPr>
        <w:spacing w:after="160" w:line="259" w:lineRule="auto"/>
        <w:rPr>
          <w:b/>
        </w:rPr>
      </w:pPr>
      <w:r>
        <w:rPr>
          <w:b/>
          <w:noProof/>
        </w:rPr>
        <w:lastRenderedPageBreak/>
        <w:drawing>
          <wp:inline distT="0" distB="0" distL="0" distR="0" wp14:anchorId="1336E82B" wp14:editId="3EAAEDF6">
            <wp:extent cx="5796915" cy="3494809"/>
            <wp:effectExtent l="0" t="0" r="0" b="0"/>
            <wp:docPr id="11970846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11260" cy="3503457"/>
                    </a:xfrm>
                    <a:prstGeom prst="rect">
                      <a:avLst/>
                    </a:prstGeom>
                    <a:noFill/>
                  </pic:spPr>
                </pic:pic>
              </a:graphicData>
            </a:graphic>
          </wp:inline>
        </w:drawing>
      </w:r>
    </w:p>
    <w:p w14:paraId="1208DAA2" w14:textId="77777777" w:rsidR="001F26BF" w:rsidRDefault="001F26BF" w:rsidP="00A06E17">
      <w:pPr>
        <w:spacing w:after="160" w:line="259" w:lineRule="auto"/>
        <w:rPr>
          <w:b/>
        </w:rPr>
      </w:pPr>
    </w:p>
    <w:p w14:paraId="4C588663" w14:textId="0FB278D2" w:rsidR="001F26BF" w:rsidRDefault="001F26BF" w:rsidP="00A06E17">
      <w:pPr>
        <w:spacing w:after="160" w:line="259" w:lineRule="auto"/>
        <w:rPr>
          <w:b/>
        </w:rPr>
      </w:pPr>
      <w:r>
        <w:rPr>
          <w:b/>
          <w:noProof/>
        </w:rPr>
        <w:drawing>
          <wp:inline distT="0" distB="0" distL="0" distR="0" wp14:anchorId="559545AA" wp14:editId="018FA71E">
            <wp:extent cx="5116195" cy="3883829"/>
            <wp:effectExtent l="0" t="0" r="0" b="0"/>
            <wp:docPr id="207884808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123823" cy="3889619"/>
                    </a:xfrm>
                    <a:prstGeom prst="rect">
                      <a:avLst/>
                    </a:prstGeom>
                    <a:noFill/>
                  </pic:spPr>
                </pic:pic>
              </a:graphicData>
            </a:graphic>
          </wp:inline>
        </w:drawing>
      </w:r>
    </w:p>
    <w:p w14:paraId="50B827EE" w14:textId="515F6387" w:rsidR="001F26BF" w:rsidRPr="00AF6433" w:rsidRDefault="001F26BF" w:rsidP="00A06E17">
      <w:pPr>
        <w:spacing w:after="160" w:line="259" w:lineRule="auto"/>
      </w:pPr>
      <w:r w:rsidRPr="00DB0853">
        <w:t>Figure S</w:t>
      </w:r>
      <w:r>
        <w:t>16</w:t>
      </w:r>
      <w:r w:rsidRPr="00DB0853">
        <w:t xml:space="preserve">. </w:t>
      </w:r>
      <w:bookmarkStart w:id="0" w:name="_Hlk156904608"/>
      <w:r w:rsidRPr="00DB0853">
        <w:t xml:space="preserve">Clustering analysis of </w:t>
      </w:r>
      <w:r>
        <w:t xml:space="preserve">15 receptive </w:t>
      </w:r>
      <w:r w:rsidRPr="00DB0853">
        <w:t>language</w:t>
      </w:r>
      <w:r w:rsidR="002C22F1">
        <w:t xml:space="preserve"> and 11 expressive language</w:t>
      </w:r>
      <w:r w:rsidRPr="00DB0853">
        <w:t xml:space="preserve"> items</w:t>
      </w:r>
      <w:r>
        <w:t xml:space="preserve"> </w:t>
      </w:r>
      <w:bookmarkEnd w:id="0"/>
      <w:r>
        <w:t>(55,558 participants, 4 to 21 years of age, first evaluation)</w:t>
      </w:r>
      <w:r w:rsidRPr="00DB0853">
        <w:t xml:space="preserve">. (A) The dendrogram representing the hierarchical clustering of </w:t>
      </w:r>
      <w:r>
        <w:t xml:space="preserve">expressive and receptive </w:t>
      </w:r>
      <w:r w:rsidRPr="00DB0853">
        <w:t xml:space="preserve">language abilities. (B) Principal component analysis </w:t>
      </w:r>
      <w:r>
        <w:t>all expressive and receptive</w:t>
      </w:r>
      <w:r w:rsidRPr="00DB0853">
        <w:t xml:space="preserve"> language abilities. Principal component 1 accounts for</w:t>
      </w:r>
      <w:r w:rsidR="004824B1">
        <w:t xml:space="preserve"> 3</w:t>
      </w:r>
      <w:r>
        <w:t>8%</w:t>
      </w:r>
      <w:r w:rsidRPr="00DB0853">
        <w:t xml:space="preserve"> of the variance in the data. Principal component 2 accounts for </w:t>
      </w:r>
      <w:r w:rsidR="004824B1">
        <w:t>10.6</w:t>
      </w:r>
      <w:r w:rsidRPr="00DB0853">
        <w:t>% of the variance in the data.</w:t>
      </w:r>
    </w:p>
    <w:sectPr w:rsidR="001F26BF" w:rsidRPr="00AF6433" w:rsidSect="005E050D">
      <w:footerReference w:type="default" r:id="rId2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D4B2F3" w14:textId="77777777" w:rsidR="00AD1363" w:rsidRDefault="00AD1363" w:rsidP="0096319A">
      <w:r>
        <w:separator/>
      </w:r>
    </w:p>
  </w:endnote>
  <w:endnote w:type="continuationSeparator" w:id="0">
    <w:p w14:paraId="3A86CF0E" w14:textId="77777777" w:rsidR="00AD1363" w:rsidRDefault="00AD1363" w:rsidP="00963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19920"/>
      <w:docPartObj>
        <w:docPartGallery w:val="Page Numbers (Bottom of Page)"/>
        <w:docPartUnique/>
      </w:docPartObj>
    </w:sdtPr>
    <w:sdtContent>
      <w:p w14:paraId="0545B42F" w14:textId="77777777" w:rsidR="00A41ECA" w:rsidRDefault="00000000">
        <w:pPr>
          <w:pStyle w:val="Footer"/>
          <w:jc w:val="center"/>
        </w:pPr>
        <w:r>
          <w:fldChar w:fldCharType="begin"/>
        </w:r>
        <w:r>
          <w:instrText xml:space="preserve"> PAGE   \* MERGEFORMAT </w:instrText>
        </w:r>
        <w:r>
          <w:fldChar w:fldCharType="separate"/>
        </w:r>
        <w:r w:rsidR="00B72431">
          <w:rPr>
            <w:noProof/>
          </w:rPr>
          <w:t>7</w:t>
        </w:r>
        <w:r>
          <w:rPr>
            <w:noProof/>
          </w:rPr>
          <w:fldChar w:fldCharType="end"/>
        </w:r>
      </w:p>
    </w:sdtContent>
  </w:sdt>
  <w:p w14:paraId="5E1E1A3B" w14:textId="77777777" w:rsidR="00A41ECA" w:rsidRDefault="00A41E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E990D6" w14:textId="77777777" w:rsidR="00AD1363" w:rsidRDefault="00AD1363" w:rsidP="0096319A">
      <w:r>
        <w:separator/>
      </w:r>
    </w:p>
  </w:footnote>
  <w:footnote w:type="continuationSeparator" w:id="0">
    <w:p w14:paraId="76366738" w14:textId="77777777" w:rsidR="00AD1363" w:rsidRDefault="00AD1363" w:rsidP="009631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02E7"/>
    <w:rsid w:val="00001DD7"/>
    <w:rsid w:val="00001F57"/>
    <w:rsid w:val="00003152"/>
    <w:rsid w:val="0000326B"/>
    <w:rsid w:val="00004B08"/>
    <w:rsid w:val="00007804"/>
    <w:rsid w:val="000100B0"/>
    <w:rsid w:val="000127AC"/>
    <w:rsid w:val="00015279"/>
    <w:rsid w:val="00020FC9"/>
    <w:rsid w:val="00023C4A"/>
    <w:rsid w:val="00036773"/>
    <w:rsid w:val="000470DE"/>
    <w:rsid w:val="0005104D"/>
    <w:rsid w:val="000518E1"/>
    <w:rsid w:val="00053D5D"/>
    <w:rsid w:val="000657E5"/>
    <w:rsid w:val="00093EB4"/>
    <w:rsid w:val="00094CA0"/>
    <w:rsid w:val="000965A3"/>
    <w:rsid w:val="000A150B"/>
    <w:rsid w:val="000A3AA9"/>
    <w:rsid w:val="000A50F2"/>
    <w:rsid w:val="000A649B"/>
    <w:rsid w:val="000B0A76"/>
    <w:rsid w:val="000B151D"/>
    <w:rsid w:val="000C3DE1"/>
    <w:rsid w:val="000C6927"/>
    <w:rsid w:val="000C7028"/>
    <w:rsid w:val="000C71BA"/>
    <w:rsid w:val="000D1C7C"/>
    <w:rsid w:val="000D7244"/>
    <w:rsid w:val="000E4580"/>
    <w:rsid w:val="000F1546"/>
    <w:rsid w:val="0010317E"/>
    <w:rsid w:val="00112C3B"/>
    <w:rsid w:val="00121834"/>
    <w:rsid w:val="001260C7"/>
    <w:rsid w:val="001402F9"/>
    <w:rsid w:val="0014201A"/>
    <w:rsid w:val="00151A42"/>
    <w:rsid w:val="00151BA9"/>
    <w:rsid w:val="00155782"/>
    <w:rsid w:val="00157BA2"/>
    <w:rsid w:val="00157EDD"/>
    <w:rsid w:val="0017141B"/>
    <w:rsid w:val="00174C16"/>
    <w:rsid w:val="00176C90"/>
    <w:rsid w:val="00194689"/>
    <w:rsid w:val="001A3276"/>
    <w:rsid w:val="001A632A"/>
    <w:rsid w:val="001B184C"/>
    <w:rsid w:val="001B54D5"/>
    <w:rsid w:val="001C33D7"/>
    <w:rsid w:val="001C74F2"/>
    <w:rsid w:val="001D2EB4"/>
    <w:rsid w:val="001D38CE"/>
    <w:rsid w:val="001F0C46"/>
    <w:rsid w:val="001F26BF"/>
    <w:rsid w:val="00200040"/>
    <w:rsid w:val="00200706"/>
    <w:rsid w:val="002021A4"/>
    <w:rsid w:val="002040D0"/>
    <w:rsid w:val="002045F8"/>
    <w:rsid w:val="00204C33"/>
    <w:rsid w:val="00207EEE"/>
    <w:rsid w:val="002141D7"/>
    <w:rsid w:val="0022365F"/>
    <w:rsid w:val="00223EB8"/>
    <w:rsid w:val="002248E5"/>
    <w:rsid w:val="00237738"/>
    <w:rsid w:val="00240D59"/>
    <w:rsid w:val="00242255"/>
    <w:rsid w:val="0024291D"/>
    <w:rsid w:val="00256E7B"/>
    <w:rsid w:val="0027152D"/>
    <w:rsid w:val="00274FD1"/>
    <w:rsid w:val="0027784D"/>
    <w:rsid w:val="00283D3C"/>
    <w:rsid w:val="002869FF"/>
    <w:rsid w:val="00286B0F"/>
    <w:rsid w:val="00287656"/>
    <w:rsid w:val="00287AE5"/>
    <w:rsid w:val="00292F87"/>
    <w:rsid w:val="002A29DD"/>
    <w:rsid w:val="002B4DA8"/>
    <w:rsid w:val="002B6873"/>
    <w:rsid w:val="002C0CC7"/>
    <w:rsid w:val="002C22F1"/>
    <w:rsid w:val="002C282E"/>
    <w:rsid w:val="002C3F48"/>
    <w:rsid w:val="002C4A81"/>
    <w:rsid w:val="002D0367"/>
    <w:rsid w:val="002D566A"/>
    <w:rsid w:val="002F2BC4"/>
    <w:rsid w:val="002F3DD5"/>
    <w:rsid w:val="00302B1A"/>
    <w:rsid w:val="00303191"/>
    <w:rsid w:val="00307237"/>
    <w:rsid w:val="00314CEB"/>
    <w:rsid w:val="003237DC"/>
    <w:rsid w:val="003238B9"/>
    <w:rsid w:val="00324E03"/>
    <w:rsid w:val="0033275A"/>
    <w:rsid w:val="003338D4"/>
    <w:rsid w:val="00335115"/>
    <w:rsid w:val="00335411"/>
    <w:rsid w:val="0033557E"/>
    <w:rsid w:val="00345084"/>
    <w:rsid w:val="003465A1"/>
    <w:rsid w:val="00346B32"/>
    <w:rsid w:val="0034720F"/>
    <w:rsid w:val="00347565"/>
    <w:rsid w:val="003502E7"/>
    <w:rsid w:val="003505A3"/>
    <w:rsid w:val="0035260D"/>
    <w:rsid w:val="00356E5E"/>
    <w:rsid w:val="00360A07"/>
    <w:rsid w:val="00360B9D"/>
    <w:rsid w:val="00360FFA"/>
    <w:rsid w:val="0036513B"/>
    <w:rsid w:val="0036660F"/>
    <w:rsid w:val="00370CF9"/>
    <w:rsid w:val="00374576"/>
    <w:rsid w:val="003873BF"/>
    <w:rsid w:val="003A062A"/>
    <w:rsid w:val="003A0894"/>
    <w:rsid w:val="003A2597"/>
    <w:rsid w:val="003B0F13"/>
    <w:rsid w:val="003B6A87"/>
    <w:rsid w:val="003C0FAB"/>
    <w:rsid w:val="003C53E6"/>
    <w:rsid w:val="003D10EF"/>
    <w:rsid w:val="003D202B"/>
    <w:rsid w:val="003D4AD7"/>
    <w:rsid w:val="003D535B"/>
    <w:rsid w:val="003E06FF"/>
    <w:rsid w:val="003E0821"/>
    <w:rsid w:val="003E74FA"/>
    <w:rsid w:val="003F39D3"/>
    <w:rsid w:val="003F69F4"/>
    <w:rsid w:val="0041188C"/>
    <w:rsid w:val="00412F47"/>
    <w:rsid w:val="00415338"/>
    <w:rsid w:val="004167BB"/>
    <w:rsid w:val="00420DD2"/>
    <w:rsid w:val="004372D1"/>
    <w:rsid w:val="0044037E"/>
    <w:rsid w:val="0044386F"/>
    <w:rsid w:val="00445F49"/>
    <w:rsid w:val="00450082"/>
    <w:rsid w:val="00461284"/>
    <w:rsid w:val="00463CE4"/>
    <w:rsid w:val="00465452"/>
    <w:rsid w:val="00476850"/>
    <w:rsid w:val="00476C76"/>
    <w:rsid w:val="00480577"/>
    <w:rsid w:val="004824B1"/>
    <w:rsid w:val="00487C86"/>
    <w:rsid w:val="00490972"/>
    <w:rsid w:val="004923D5"/>
    <w:rsid w:val="0049320F"/>
    <w:rsid w:val="00494791"/>
    <w:rsid w:val="0049487D"/>
    <w:rsid w:val="004A34A2"/>
    <w:rsid w:val="004A7C06"/>
    <w:rsid w:val="004B1203"/>
    <w:rsid w:val="004B5073"/>
    <w:rsid w:val="004B74C3"/>
    <w:rsid w:val="004C37FD"/>
    <w:rsid w:val="004E6DB6"/>
    <w:rsid w:val="004E70A2"/>
    <w:rsid w:val="004F6E70"/>
    <w:rsid w:val="005025E6"/>
    <w:rsid w:val="00505879"/>
    <w:rsid w:val="00507814"/>
    <w:rsid w:val="00520AB7"/>
    <w:rsid w:val="00522676"/>
    <w:rsid w:val="005260EB"/>
    <w:rsid w:val="00531255"/>
    <w:rsid w:val="00532702"/>
    <w:rsid w:val="00543C5D"/>
    <w:rsid w:val="00547EF8"/>
    <w:rsid w:val="00554AE3"/>
    <w:rsid w:val="00555BF6"/>
    <w:rsid w:val="005622E3"/>
    <w:rsid w:val="00571EF2"/>
    <w:rsid w:val="005749A3"/>
    <w:rsid w:val="005767F3"/>
    <w:rsid w:val="00577579"/>
    <w:rsid w:val="005871ED"/>
    <w:rsid w:val="00596A32"/>
    <w:rsid w:val="00597145"/>
    <w:rsid w:val="005A4604"/>
    <w:rsid w:val="005A6030"/>
    <w:rsid w:val="005A69A8"/>
    <w:rsid w:val="005B1182"/>
    <w:rsid w:val="005B7424"/>
    <w:rsid w:val="005C0149"/>
    <w:rsid w:val="005C397B"/>
    <w:rsid w:val="005D0CEE"/>
    <w:rsid w:val="005D4929"/>
    <w:rsid w:val="005D6791"/>
    <w:rsid w:val="005E040A"/>
    <w:rsid w:val="005E050D"/>
    <w:rsid w:val="005E3A13"/>
    <w:rsid w:val="005F1070"/>
    <w:rsid w:val="005F6220"/>
    <w:rsid w:val="00602289"/>
    <w:rsid w:val="00605E07"/>
    <w:rsid w:val="00605E63"/>
    <w:rsid w:val="0061130F"/>
    <w:rsid w:val="00611EF3"/>
    <w:rsid w:val="00612BC4"/>
    <w:rsid w:val="00616C9A"/>
    <w:rsid w:val="0062396B"/>
    <w:rsid w:val="00625463"/>
    <w:rsid w:val="00632282"/>
    <w:rsid w:val="0063376B"/>
    <w:rsid w:val="006376EF"/>
    <w:rsid w:val="00654C05"/>
    <w:rsid w:val="00656450"/>
    <w:rsid w:val="00660177"/>
    <w:rsid w:val="006639D2"/>
    <w:rsid w:val="00667BBE"/>
    <w:rsid w:val="00674D02"/>
    <w:rsid w:val="006763A6"/>
    <w:rsid w:val="00687379"/>
    <w:rsid w:val="006940D3"/>
    <w:rsid w:val="00694856"/>
    <w:rsid w:val="006A1D27"/>
    <w:rsid w:val="006A2763"/>
    <w:rsid w:val="006A3D84"/>
    <w:rsid w:val="006A55FA"/>
    <w:rsid w:val="006A6A69"/>
    <w:rsid w:val="006B1B6F"/>
    <w:rsid w:val="006B704C"/>
    <w:rsid w:val="006C1E89"/>
    <w:rsid w:val="006C6D3F"/>
    <w:rsid w:val="006D1DB7"/>
    <w:rsid w:val="006D278E"/>
    <w:rsid w:val="006D5FA3"/>
    <w:rsid w:val="006E65A6"/>
    <w:rsid w:val="006F0F8D"/>
    <w:rsid w:val="006F172D"/>
    <w:rsid w:val="006F2E9E"/>
    <w:rsid w:val="006F417D"/>
    <w:rsid w:val="00707E54"/>
    <w:rsid w:val="00726229"/>
    <w:rsid w:val="00730390"/>
    <w:rsid w:val="00732ADA"/>
    <w:rsid w:val="00743082"/>
    <w:rsid w:val="00744426"/>
    <w:rsid w:val="007507C8"/>
    <w:rsid w:val="00750B15"/>
    <w:rsid w:val="00754712"/>
    <w:rsid w:val="0076109B"/>
    <w:rsid w:val="00761BA8"/>
    <w:rsid w:val="00762DFB"/>
    <w:rsid w:val="00774ACF"/>
    <w:rsid w:val="007766E3"/>
    <w:rsid w:val="0078019B"/>
    <w:rsid w:val="00787714"/>
    <w:rsid w:val="00795A67"/>
    <w:rsid w:val="007A2E78"/>
    <w:rsid w:val="007B62CE"/>
    <w:rsid w:val="007B722C"/>
    <w:rsid w:val="007C0B8E"/>
    <w:rsid w:val="007C35AD"/>
    <w:rsid w:val="007C7537"/>
    <w:rsid w:val="007F02FA"/>
    <w:rsid w:val="007F6D45"/>
    <w:rsid w:val="007F782A"/>
    <w:rsid w:val="00800C20"/>
    <w:rsid w:val="008026CD"/>
    <w:rsid w:val="008045AD"/>
    <w:rsid w:val="008103D1"/>
    <w:rsid w:val="008122E3"/>
    <w:rsid w:val="00813D6B"/>
    <w:rsid w:val="008177F7"/>
    <w:rsid w:val="00824CF3"/>
    <w:rsid w:val="0082511D"/>
    <w:rsid w:val="00834302"/>
    <w:rsid w:val="00843BEE"/>
    <w:rsid w:val="00846FA5"/>
    <w:rsid w:val="00851238"/>
    <w:rsid w:val="00864104"/>
    <w:rsid w:val="00872F6D"/>
    <w:rsid w:val="0087743A"/>
    <w:rsid w:val="00877A6D"/>
    <w:rsid w:val="0088228B"/>
    <w:rsid w:val="008839AD"/>
    <w:rsid w:val="008866DA"/>
    <w:rsid w:val="00893614"/>
    <w:rsid w:val="00893D3F"/>
    <w:rsid w:val="00894FC5"/>
    <w:rsid w:val="00895DDB"/>
    <w:rsid w:val="008A287B"/>
    <w:rsid w:val="008A3246"/>
    <w:rsid w:val="008A706D"/>
    <w:rsid w:val="008C0F3B"/>
    <w:rsid w:val="008C4C6E"/>
    <w:rsid w:val="008E1F32"/>
    <w:rsid w:val="00902BC8"/>
    <w:rsid w:val="00914D50"/>
    <w:rsid w:val="009333AE"/>
    <w:rsid w:val="00934ECC"/>
    <w:rsid w:val="00935434"/>
    <w:rsid w:val="00940063"/>
    <w:rsid w:val="00941055"/>
    <w:rsid w:val="00942F76"/>
    <w:rsid w:val="00960734"/>
    <w:rsid w:val="0096319A"/>
    <w:rsid w:val="009646F2"/>
    <w:rsid w:val="00967596"/>
    <w:rsid w:val="009763C2"/>
    <w:rsid w:val="00981202"/>
    <w:rsid w:val="0098632A"/>
    <w:rsid w:val="009925F9"/>
    <w:rsid w:val="009A01C1"/>
    <w:rsid w:val="009A048E"/>
    <w:rsid w:val="009A061A"/>
    <w:rsid w:val="009A1422"/>
    <w:rsid w:val="009A3E67"/>
    <w:rsid w:val="009A6BB6"/>
    <w:rsid w:val="009B1D83"/>
    <w:rsid w:val="009C3DAC"/>
    <w:rsid w:val="009D10AC"/>
    <w:rsid w:val="009D1683"/>
    <w:rsid w:val="009D69ED"/>
    <w:rsid w:val="009D7F75"/>
    <w:rsid w:val="009E2BF4"/>
    <w:rsid w:val="009F1940"/>
    <w:rsid w:val="009F4DD1"/>
    <w:rsid w:val="009F5AA7"/>
    <w:rsid w:val="00A00E5B"/>
    <w:rsid w:val="00A06E17"/>
    <w:rsid w:val="00A127F8"/>
    <w:rsid w:val="00A2295C"/>
    <w:rsid w:val="00A23670"/>
    <w:rsid w:val="00A25680"/>
    <w:rsid w:val="00A25CFD"/>
    <w:rsid w:val="00A26C21"/>
    <w:rsid w:val="00A332F7"/>
    <w:rsid w:val="00A34D28"/>
    <w:rsid w:val="00A41ECA"/>
    <w:rsid w:val="00A42D4E"/>
    <w:rsid w:val="00A54D61"/>
    <w:rsid w:val="00A5511F"/>
    <w:rsid w:val="00A562AF"/>
    <w:rsid w:val="00A56FB1"/>
    <w:rsid w:val="00A575AF"/>
    <w:rsid w:val="00A60311"/>
    <w:rsid w:val="00A65C69"/>
    <w:rsid w:val="00A74B00"/>
    <w:rsid w:val="00A85B44"/>
    <w:rsid w:val="00A9172A"/>
    <w:rsid w:val="00A92CD0"/>
    <w:rsid w:val="00A939EF"/>
    <w:rsid w:val="00A966C2"/>
    <w:rsid w:val="00AA6E15"/>
    <w:rsid w:val="00AB34C9"/>
    <w:rsid w:val="00AC6CD8"/>
    <w:rsid w:val="00AC7F4C"/>
    <w:rsid w:val="00AD1363"/>
    <w:rsid w:val="00AD45FE"/>
    <w:rsid w:val="00AD4B66"/>
    <w:rsid w:val="00AD6D46"/>
    <w:rsid w:val="00AE21FA"/>
    <w:rsid w:val="00AE5667"/>
    <w:rsid w:val="00AE7060"/>
    <w:rsid w:val="00AF6433"/>
    <w:rsid w:val="00B04761"/>
    <w:rsid w:val="00B114F8"/>
    <w:rsid w:val="00B13B4C"/>
    <w:rsid w:val="00B20627"/>
    <w:rsid w:val="00B23C20"/>
    <w:rsid w:val="00B41164"/>
    <w:rsid w:val="00B418F8"/>
    <w:rsid w:val="00B45BFD"/>
    <w:rsid w:val="00B56214"/>
    <w:rsid w:val="00B5746D"/>
    <w:rsid w:val="00B6133E"/>
    <w:rsid w:val="00B72431"/>
    <w:rsid w:val="00B72DEE"/>
    <w:rsid w:val="00B8211C"/>
    <w:rsid w:val="00B825A2"/>
    <w:rsid w:val="00B8388C"/>
    <w:rsid w:val="00B86474"/>
    <w:rsid w:val="00B91A99"/>
    <w:rsid w:val="00BA1A8F"/>
    <w:rsid w:val="00BA3011"/>
    <w:rsid w:val="00BA41E0"/>
    <w:rsid w:val="00BB1131"/>
    <w:rsid w:val="00BB584C"/>
    <w:rsid w:val="00BB785E"/>
    <w:rsid w:val="00BC455F"/>
    <w:rsid w:val="00BE76CB"/>
    <w:rsid w:val="00C017C7"/>
    <w:rsid w:val="00C031A6"/>
    <w:rsid w:val="00C04D23"/>
    <w:rsid w:val="00C202B7"/>
    <w:rsid w:val="00C310F7"/>
    <w:rsid w:val="00C34FA5"/>
    <w:rsid w:val="00C41D07"/>
    <w:rsid w:val="00C41DC8"/>
    <w:rsid w:val="00C5446D"/>
    <w:rsid w:val="00C57487"/>
    <w:rsid w:val="00C70182"/>
    <w:rsid w:val="00C7297A"/>
    <w:rsid w:val="00C769C8"/>
    <w:rsid w:val="00C80B4E"/>
    <w:rsid w:val="00C86B7F"/>
    <w:rsid w:val="00C91820"/>
    <w:rsid w:val="00CA3867"/>
    <w:rsid w:val="00CA7468"/>
    <w:rsid w:val="00CB0A4B"/>
    <w:rsid w:val="00CB166C"/>
    <w:rsid w:val="00CB38E8"/>
    <w:rsid w:val="00CC6CD8"/>
    <w:rsid w:val="00CD6AB4"/>
    <w:rsid w:val="00CE0B21"/>
    <w:rsid w:val="00CE12B9"/>
    <w:rsid w:val="00CF33E5"/>
    <w:rsid w:val="00CF4478"/>
    <w:rsid w:val="00CF5AA0"/>
    <w:rsid w:val="00CF72AD"/>
    <w:rsid w:val="00D009C0"/>
    <w:rsid w:val="00D16D89"/>
    <w:rsid w:val="00D16FBC"/>
    <w:rsid w:val="00D174FC"/>
    <w:rsid w:val="00D2037D"/>
    <w:rsid w:val="00D234C7"/>
    <w:rsid w:val="00D27D4F"/>
    <w:rsid w:val="00D31358"/>
    <w:rsid w:val="00D52081"/>
    <w:rsid w:val="00D54CBC"/>
    <w:rsid w:val="00D570B5"/>
    <w:rsid w:val="00D6248D"/>
    <w:rsid w:val="00D80332"/>
    <w:rsid w:val="00D81BEF"/>
    <w:rsid w:val="00D83C78"/>
    <w:rsid w:val="00D90CB6"/>
    <w:rsid w:val="00DB0853"/>
    <w:rsid w:val="00DB15E3"/>
    <w:rsid w:val="00DB39C0"/>
    <w:rsid w:val="00DB544E"/>
    <w:rsid w:val="00DC360B"/>
    <w:rsid w:val="00DC7373"/>
    <w:rsid w:val="00DE6064"/>
    <w:rsid w:val="00DE79E3"/>
    <w:rsid w:val="00DF0CE1"/>
    <w:rsid w:val="00DF26A5"/>
    <w:rsid w:val="00E01355"/>
    <w:rsid w:val="00E07142"/>
    <w:rsid w:val="00E07F52"/>
    <w:rsid w:val="00E22367"/>
    <w:rsid w:val="00E31081"/>
    <w:rsid w:val="00E3274C"/>
    <w:rsid w:val="00E32789"/>
    <w:rsid w:val="00E330E9"/>
    <w:rsid w:val="00E37086"/>
    <w:rsid w:val="00E4058B"/>
    <w:rsid w:val="00E5078B"/>
    <w:rsid w:val="00E540B7"/>
    <w:rsid w:val="00E675FC"/>
    <w:rsid w:val="00E7466B"/>
    <w:rsid w:val="00E74CB4"/>
    <w:rsid w:val="00E81796"/>
    <w:rsid w:val="00E82F6B"/>
    <w:rsid w:val="00E9178C"/>
    <w:rsid w:val="00E91B0F"/>
    <w:rsid w:val="00EA157C"/>
    <w:rsid w:val="00EA1AAD"/>
    <w:rsid w:val="00EA5648"/>
    <w:rsid w:val="00EB1292"/>
    <w:rsid w:val="00EB214B"/>
    <w:rsid w:val="00EB2E9A"/>
    <w:rsid w:val="00EB3C7A"/>
    <w:rsid w:val="00EB53E8"/>
    <w:rsid w:val="00EB69A6"/>
    <w:rsid w:val="00EC0F19"/>
    <w:rsid w:val="00EC50E4"/>
    <w:rsid w:val="00ED2EDE"/>
    <w:rsid w:val="00ED4FD8"/>
    <w:rsid w:val="00ED72F7"/>
    <w:rsid w:val="00EE430B"/>
    <w:rsid w:val="00EE6BE0"/>
    <w:rsid w:val="00EF1B7B"/>
    <w:rsid w:val="00EF286A"/>
    <w:rsid w:val="00F01568"/>
    <w:rsid w:val="00F043ED"/>
    <w:rsid w:val="00F04486"/>
    <w:rsid w:val="00F0584E"/>
    <w:rsid w:val="00F12F09"/>
    <w:rsid w:val="00F23101"/>
    <w:rsid w:val="00F27B21"/>
    <w:rsid w:val="00F31E43"/>
    <w:rsid w:val="00F4141E"/>
    <w:rsid w:val="00F53EAC"/>
    <w:rsid w:val="00F546FD"/>
    <w:rsid w:val="00F55F66"/>
    <w:rsid w:val="00F57DD6"/>
    <w:rsid w:val="00F63B96"/>
    <w:rsid w:val="00F75544"/>
    <w:rsid w:val="00F83956"/>
    <w:rsid w:val="00F83D45"/>
    <w:rsid w:val="00F8409A"/>
    <w:rsid w:val="00F8770C"/>
    <w:rsid w:val="00F87ADD"/>
    <w:rsid w:val="00F916E6"/>
    <w:rsid w:val="00F95B28"/>
    <w:rsid w:val="00FA67C0"/>
    <w:rsid w:val="00FC29C7"/>
    <w:rsid w:val="00FC5C2A"/>
    <w:rsid w:val="00FC6D15"/>
    <w:rsid w:val="00FD137C"/>
    <w:rsid w:val="00FD6D82"/>
    <w:rsid w:val="00FE0BAE"/>
    <w:rsid w:val="00FE3F82"/>
    <w:rsid w:val="00FE426B"/>
    <w:rsid w:val="00FE7689"/>
    <w:rsid w:val="00FF4838"/>
    <w:rsid w:val="00FF6246"/>
    <w:rsid w:val="00FF72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7DCDB"/>
  <w15:docId w15:val="{2BB3E12D-7364-4763-9417-6989E0C4F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319A"/>
    <w:pPr>
      <w:spacing w:after="0" w:line="240" w:lineRule="auto"/>
    </w:pPr>
  </w:style>
  <w:style w:type="paragraph" w:styleId="Heading1">
    <w:name w:val="heading 1"/>
    <w:basedOn w:val="Normal"/>
    <w:next w:val="Normal"/>
    <w:link w:val="Heading1Char"/>
    <w:uiPriority w:val="9"/>
    <w:qFormat/>
    <w:rsid w:val="00FF6246"/>
    <w:pPr>
      <w:keepNext/>
      <w:keepLines/>
      <w:spacing w:before="480"/>
      <w:jc w:val="center"/>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B8388C"/>
    <w:pPr>
      <w:keepNext/>
      <w:keepLines/>
      <w:spacing w:before="120" w:after="120"/>
      <w:outlineLvl w:val="1"/>
    </w:pPr>
    <w:rPr>
      <w:rFonts w:eastAsiaTheme="majorEastAsia" w:cstheme="majorBidi"/>
      <w:b/>
      <w:bCs/>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ode">
    <w:name w:val="HTML Code"/>
    <w:basedOn w:val="DefaultParagraphFont"/>
    <w:uiPriority w:val="99"/>
    <w:semiHidden/>
    <w:unhideWhenUsed/>
    <w:rsid w:val="003502E7"/>
    <w:rPr>
      <w:rFonts w:ascii="Courier New" w:eastAsia="Times New Roman" w:hAnsi="Courier New" w:cs="Courier New"/>
      <w:sz w:val="20"/>
      <w:szCs w:val="20"/>
    </w:rPr>
  </w:style>
  <w:style w:type="table" w:styleId="TableGrid">
    <w:name w:val="Table Grid"/>
    <w:basedOn w:val="TableNormal"/>
    <w:uiPriority w:val="59"/>
    <w:rsid w:val="00350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TableCentered"/>
    <w:link w:val="NoSpacingChar"/>
    <w:qFormat/>
    <w:rsid w:val="003502E7"/>
    <w:pPr>
      <w:spacing w:after="0" w:line="240" w:lineRule="auto"/>
      <w:jc w:val="center"/>
    </w:pPr>
    <w:rPr>
      <w:sz w:val="20"/>
    </w:rPr>
  </w:style>
  <w:style w:type="paragraph" w:customStyle="1" w:styleId="NoTab">
    <w:name w:val="NoTab"/>
    <w:basedOn w:val="Normal"/>
    <w:link w:val="NoTabChar"/>
    <w:qFormat/>
    <w:rsid w:val="003502E7"/>
  </w:style>
  <w:style w:type="character" w:customStyle="1" w:styleId="NoTabChar">
    <w:name w:val="NoTab Char"/>
    <w:basedOn w:val="DefaultParagraphFont"/>
    <w:link w:val="NoTab"/>
    <w:rsid w:val="003502E7"/>
  </w:style>
  <w:style w:type="character" w:customStyle="1" w:styleId="NoSpacingChar">
    <w:name w:val="No Spacing Char"/>
    <w:aliases w:val="TableCentered Char"/>
    <w:basedOn w:val="DefaultParagraphFont"/>
    <w:link w:val="NoSpacing"/>
    <w:rsid w:val="005C397B"/>
    <w:rPr>
      <w:sz w:val="20"/>
    </w:rPr>
  </w:style>
  <w:style w:type="character" w:styleId="CommentReference">
    <w:name w:val="annotation reference"/>
    <w:basedOn w:val="DefaultParagraphFont"/>
    <w:uiPriority w:val="99"/>
    <w:semiHidden/>
    <w:unhideWhenUsed/>
    <w:rsid w:val="002040D0"/>
    <w:rPr>
      <w:sz w:val="16"/>
      <w:szCs w:val="16"/>
    </w:rPr>
  </w:style>
  <w:style w:type="paragraph" w:styleId="CommentText">
    <w:name w:val="annotation text"/>
    <w:basedOn w:val="Normal"/>
    <w:link w:val="CommentTextChar"/>
    <w:uiPriority w:val="99"/>
    <w:semiHidden/>
    <w:unhideWhenUsed/>
    <w:rsid w:val="002040D0"/>
    <w:rPr>
      <w:sz w:val="20"/>
      <w:szCs w:val="20"/>
    </w:rPr>
  </w:style>
  <w:style w:type="character" w:customStyle="1" w:styleId="CommentTextChar">
    <w:name w:val="Comment Text Char"/>
    <w:basedOn w:val="DefaultParagraphFont"/>
    <w:link w:val="CommentText"/>
    <w:uiPriority w:val="99"/>
    <w:semiHidden/>
    <w:rsid w:val="002040D0"/>
    <w:rPr>
      <w:sz w:val="20"/>
      <w:szCs w:val="20"/>
    </w:rPr>
  </w:style>
  <w:style w:type="paragraph" w:styleId="CommentSubject">
    <w:name w:val="annotation subject"/>
    <w:basedOn w:val="CommentText"/>
    <w:next w:val="CommentText"/>
    <w:link w:val="CommentSubjectChar"/>
    <w:uiPriority w:val="99"/>
    <w:semiHidden/>
    <w:unhideWhenUsed/>
    <w:rsid w:val="002040D0"/>
    <w:rPr>
      <w:b/>
      <w:bCs/>
    </w:rPr>
  </w:style>
  <w:style w:type="character" w:customStyle="1" w:styleId="CommentSubjectChar">
    <w:name w:val="Comment Subject Char"/>
    <w:basedOn w:val="CommentTextChar"/>
    <w:link w:val="CommentSubject"/>
    <w:uiPriority w:val="99"/>
    <w:semiHidden/>
    <w:rsid w:val="002040D0"/>
    <w:rPr>
      <w:b/>
      <w:bCs/>
      <w:sz w:val="20"/>
      <w:szCs w:val="20"/>
    </w:rPr>
  </w:style>
  <w:style w:type="paragraph" w:styleId="BalloonText">
    <w:name w:val="Balloon Text"/>
    <w:basedOn w:val="Normal"/>
    <w:link w:val="BalloonTextChar"/>
    <w:uiPriority w:val="99"/>
    <w:semiHidden/>
    <w:unhideWhenUsed/>
    <w:rsid w:val="002040D0"/>
    <w:rPr>
      <w:rFonts w:ascii="Tahoma" w:hAnsi="Tahoma" w:cs="Tahoma"/>
      <w:sz w:val="16"/>
      <w:szCs w:val="16"/>
    </w:rPr>
  </w:style>
  <w:style w:type="character" w:customStyle="1" w:styleId="BalloonTextChar">
    <w:name w:val="Balloon Text Char"/>
    <w:basedOn w:val="DefaultParagraphFont"/>
    <w:link w:val="BalloonText"/>
    <w:uiPriority w:val="99"/>
    <w:semiHidden/>
    <w:rsid w:val="002040D0"/>
    <w:rPr>
      <w:rFonts w:ascii="Tahoma" w:hAnsi="Tahoma" w:cs="Tahoma"/>
      <w:sz w:val="16"/>
      <w:szCs w:val="16"/>
    </w:rPr>
  </w:style>
  <w:style w:type="paragraph" w:styleId="Header">
    <w:name w:val="header"/>
    <w:basedOn w:val="Normal"/>
    <w:link w:val="HeaderChar"/>
    <w:uiPriority w:val="99"/>
    <w:unhideWhenUsed/>
    <w:rsid w:val="0096319A"/>
    <w:pPr>
      <w:tabs>
        <w:tab w:val="center" w:pos="4680"/>
        <w:tab w:val="right" w:pos="9360"/>
      </w:tabs>
    </w:pPr>
  </w:style>
  <w:style w:type="character" w:customStyle="1" w:styleId="HeaderChar">
    <w:name w:val="Header Char"/>
    <w:basedOn w:val="DefaultParagraphFont"/>
    <w:link w:val="Header"/>
    <w:uiPriority w:val="99"/>
    <w:rsid w:val="0096319A"/>
  </w:style>
  <w:style w:type="paragraph" w:styleId="Footer">
    <w:name w:val="footer"/>
    <w:basedOn w:val="Normal"/>
    <w:link w:val="FooterChar"/>
    <w:uiPriority w:val="99"/>
    <w:unhideWhenUsed/>
    <w:rsid w:val="0096319A"/>
    <w:pPr>
      <w:tabs>
        <w:tab w:val="center" w:pos="4680"/>
        <w:tab w:val="right" w:pos="9360"/>
      </w:tabs>
    </w:pPr>
  </w:style>
  <w:style w:type="character" w:customStyle="1" w:styleId="FooterChar">
    <w:name w:val="Footer Char"/>
    <w:basedOn w:val="DefaultParagraphFont"/>
    <w:link w:val="Footer"/>
    <w:uiPriority w:val="99"/>
    <w:rsid w:val="0096319A"/>
  </w:style>
  <w:style w:type="character" w:customStyle="1" w:styleId="Heading2Char">
    <w:name w:val="Heading 2 Char"/>
    <w:basedOn w:val="DefaultParagraphFont"/>
    <w:link w:val="Heading2"/>
    <w:uiPriority w:val="9"/>
    <w:rsid w:val="00B8388C"/>
    <w:rPr>
      <w:rFonts w:eastAsiaTheme="majorEastAsia" w:cstheme="majorBidi"/>
      <w:b/>
      <w:bCs/>
      <w:sz w:val="24"/>
      <w:szCs w:val="26"/>
    </w:rPr>
  </w:style>
  <w:style w:type="character" w:customStyle="1" w:styleId="Heading1Char">
    <w:name w:val="Heading 1 Char"/>
    <w:basedOn w:val="DefaultParagraphFont"/>
    <w:link w:val="Heading1"/>
    <w:uiPriority w:val="9"/>
    <w:rsid w:val="00FF6246"/>
    <w:rPr>
      <w:rFonts w:eastAsiaTheme="majorEastAsia" w:cstheme="majorBidi"/>
      <w:b/>
      <w:bCs/>
      <w:sz w:val="28"/>
      <w:szCs w:val="28"/>
    </w:rPr>
  </w:style>
  <w:style w:type="paragraph" w:customStyle="1" w:styleId="Normal1">
    <w:name w:val="Normal1"/>
    <w:rsid w:val="00FF6246"/>
    <w:pPr>
      <w:pBdr>
        <w:top w:val="nil"/>
        <w:left w:val="nil"/>
        <w:bottom w:val="nil"/>
        <w:right w:val="nil"/>
        <w:between w:val="nil"/>
      </w:pBdr>
      <w:spacing w:after="0" w:line="276" w:lineRule="auto"/>
    </w:pPr>
    <w:rPr>
      <w:rFonts w:ascii="Arial" w:eastAsia="Arial" w:hAnsi="Arial" w:cs="Arial"/>
      <w:color w:val="000000"/>
    </w:rPr>
  </w:style>
  <w:style w:type="paragraph" w:customStyle="1" w:styleId="NoSpace">
    <w:name w:val="NoSpace"/>
    <w:basedOn w:val="Normal"/>
    <w:link w:val="NoSpaceChar"/>
    <w:qFormat/>
    <w:rsid w:val="00AD45FE"/>
    <w:pPr>
      <w:framePr w:hSpace="180" w:wrap="around" w:vAnchor="page" w:hAnchor="margin" w:y="4512"/>
      <w:widowControl w:val="0"/>
      <w:pBdr>
        <w:top w:val="nil"/>
        <w:left w:val="nil"/>
        <w:bottom w:val="nil"/>
        <w:right w:val="nil"/>
        <w:between w:val="nil"/>
      </w:pBdr>
    </w:pPr>
    <w:rPr>
      <w:rFonts w:eastAsia="Times New Roman" w:cs="Times New Roman"/>
      <w:color w:val="000000"/>
    </w:rPr>
  </w:style>
  <w:style w:type="character" w:customStyle="1" w:styleId="NoSpaceChar">
    <w:name w:val="NoSpace Char"/>
    <w:basedOn w:val="DefaultParagraphFont"/>
    <w:link w:val="NoSpace"/>
    <w:rsid w:val="00AD45FE"/>
    <w:rPr>
      <w:rFonts w:eastAsia="Times New Roman" w:cs="Times New Roman"/>
      <w:color w:val="000000"/>
    </w:rPr>
  </w:style>
  <w:style w:type="paragraph" w:customStyle="1" w:styleId="TableCenter">
    <w:name w:val="TableCenter"/>
    <w:basedOn w:val="Normal"/>
    <w:link w:val="TableCenterChar"/>
    <w:qFormat/>
    <w:rsid w:val="00611EF3"/>
    <w:pPr>
      <w:widowControl w:val="0"/>
      <w:contextualSpacing/>
      <w:jc w:val="center"/>
    </w:pPr>
    <w:rPr>
      <w:rFonts w:ascii="Times New Roman" w:eastAsia="Calibri" w:hAnsi="Times New Roman" w:cs="Times New Roman"/>
    </w:rPr>
  </w:style>
  <w:style w:type="character" w:customStyle="1" w:styleId="TableCenterChar">
    <w:name w:val="TableCenter Char"/>
    <w:basedOn w:val="DefaultParagraphFont"/>
    <w:link w:val="TableCenter"/>
    <w:rsid w:val="00611EF3"/>
    <w:rPr>
      <w:rFonts w:ascii="Times New Roman" w:eastAsia="Calibri" w:hAnsi="Times New Roman" w:cs="Times New Roman"/>
    </w:rPr>
  </w:style>
  <w:style w:type="paragraph" w:styleId="Revision">
    <w:name w:val="Revision"/>
    <w:hidden/>
    <w:uiPriority w:val="99"/>
    <w:semiHidden/>
    <w:rsid w:val="007262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48202">
      <w:bodyDiv w:val="1"/>
      <w:marLeft w:val="0"/>
      <w:marRight w:val="0"/>
      <w:marTop w:val="0"/>
      <w:marBottom w:val="0"/>
      <w:divBdr>
        <w:top w:val="none" w:sz="0" w:space="0" w:color="auto"/>
        <w:left w:val="none" w:sz="0" w:space="0" w:color="auto"/>
        <w:bottom w:val="none" w:sz="0" w:space="0" w:color="auto"/>
        <w:right w:val="none" w:sz="0" w:space="0" w:color="auto"/>
      </w:divBdr>
    </w:div>
    <w:div w:id="35129155">
      <w:bodyDiv w:val="1"/>
      <w:marLeft w:val="0"/>
      <w:marRight w:val="0"/>
      <w:marTop w:val="0"/>
      <w:marBottom w:val="0"/>
      <w:divBdr>
        <w:top w:val="none" w:sz="0" w:space="0" w:color="auto"/>
        <w:left w:val="none" w:sz="0" w:space="0" w:color="auto"/>
        <w:bottom w:val="none" w:sz="0" w:space="0" w:color="auto"/>
        <w:right w:val="none" w:sz="0" w:space="0" w:color="auto"/>
      </w:divBdr>
    </w:div>
    <w:div w:id="45682843">
      <w:bodyDiv w:val="1"/>
      <w:marLeft w:val="0"/>
      <w:marRight w:val="0"/>
      <w:marTop w:val="0"/>
      <w:marBottom w:val="0"/>
      <w:divBdr>
        <w:top w:val="none" w:sz="0" w:space="0" w:color="auto"/>
        <w:left w:val="none" w:sz="0" w:space="0" w:color="auto"/>
        <w:bottom w:val="none" w:sz="0" w:space="0" w:color="auto"/>
        <w:right w:val="none" w:sz="0" w:space="0" w:color="auto"/>
      </w:divBdr>
    </w:div>
    <w:div w:id="77754667">
      <w:bodyDiv w:val="1"/>
      <w:marLeft w:val="0"/>
      <w:marRight w:val="0"/>
      <w:marTop w:val="0"/>
      <w:marBottom w:val="0"/>
      <w:divBdr>
        <w:top w:val="none" w:sz="0" w:space="0" w:color="auto"/>
        <w:left w:val="none" w:sz="0" w:space="0" w:color="auto"/>
        <w:bottom w:val="none" w:sz="0" w:space="0" w:color="auto"/>
        <w:right w:val="none" w:sz="0" w:space="0" w:color="auto"/>
      </w:divBdr>
    </w:div>
    <w:div w:id="86731826">
      <w:bodyDiv w:val="1"/>
      <w:marLeft w:val="0"/>
      <w:marRight w:val="0"/>
      <w:marTop w:val="0"/>
      <w:marBottom w:val="0"/>
      <w:divBdr>
        <w:top w:val="none" w:sz="0" w:space="0" w:color="auto"/>
        <w:left w:val="none" w:sz="0" w:space="0" w:color="auto"/>
        <w:bottom w:val="none" w:sz="0" w:space="0" w:color="auto"/>
        <w:right w:val="none" w:sz="0" w:space="0" w:color="auto"/>
      </w:divBdr>
    </w:div>
    <w:div w:id="115754904">
      <w:bodyDiv w:val="1"/>
      <w:marLeft w:val="0"/>
      <w:marRight w:val="0"/>
      <w:marTop w:val="0"/>
      <w:marBottom w:val="0"/>
      <w:divBdr>
        <w:top w:val="none" w:sz="0" w:space="0" w:color="auto"/>
        <w:left w:val="none" w:sz="0" w:space="0" w:color="auto"/>
        <w:bottom w:val="none" w:sz="0" w:space="0" w:color="auto"/>
        <w:right w:val="none" w:sz="0" w:space="0" w:color="auto"/>
      </w:divBdr>
    </w:div>
    <w:div w:id="123550964">
      <w:bodyDiv w:val="1"/>
      <w:marLeft w:val="0"/>
      <w:marRight w:val="0"/>
      <w:marTop w:val="0"/>
      <w:marBottom w:val="0"/>
      <w:divBdr>
        <w:top w:val="none" w:sz="0" w:space="0" w:color="auto"/>
        <w:left w:val="none" w:sz="0" w:space="0" w:color="auto"/>
        <w:bottom w:val="none" w:sz="0" w:space="0" w:color="auto"/>
        <w:right w:val="none" w:sz="0" w:space="0" w:color="auto"/>
      </w:divBdr>
    </w:div>
    <w:div w:id="125241948">
      <w:bodyDiv w:val="1"/>
      <w:marLeft w:val="0"/>
      <w:marRight w:val="0"/>
      <w:marTop w:val="0"/>
      <w:marBottom w:val="0"/>
      <w:divBdr>
        <w:top w:val="none" w:sz="0" w:space="0" w:color="auto"/>
        <w:left w:val="none" w:sz="0" w:space="0" w:color="auto"/>
        <w:bottom w:val="none" w:sz="0" w:space="0" w:color="auto"/>
        <w:right w:val="none" w:sz="0" w:space="0" w:color="auto"/>
      </w:divBdr>
    </w:div>
    <w:div w:id="155463948">
      <w:bodyDiv w:val="1"/>
      <w:marLeft w:val="0"/>
      <w:marRight w:val="0"/>
      <w:marTop w:val="0"/>
      <w:marBottom w:val="0"/>
      <w:divBdr>
        <w:top w:val="none" w:sz="0" w:space="0" w:color="auto"/>
        <w:left w:val="none" w:sz="0" w:space="0" w:color="auto"/>
        <w:bottom w:val="none" w:sz="0" w:space="0" w:color="auto"/>
        <w:right w:val="none" w:sz="0" w:space="0" w:color="auto"/>
      </w:divBdr>
    </w:div>
    <w:div w:id="159081142">
      <w:bodyDiv w:val="1"/>
      <w:marLeft w:val="0"/>
      <w:marRight w:val="0"/>
      <w:marTop w:val="0"/>
      <w:marBottom w:val="0"/>
      <w:divBdr>
        <w:top w:val="none" w:sz="0" w:space="0" w:color="auto"/>
        <w:left w:val="none" w:sz="0" w:space="0" w:color="auto"/>
        <w:bottom w:val="none" w:sz="0" w:space="0" w:color="auto"/>
        <w:right w:val="none" w:sz="0" w:space="0" w:color="auto"/>
      </w:divBdr>
    </w:div>
    <w:div w:id="174073188">
      <w:bodyDiv w:val="1"/>
      <w:marLeft w:val="0"/>
      <w:marRight w:val="0"/>
      <w:marTop w:val="0"/>
      <w:marBottom w:val="0"/>
      <w:divBdr>
        <w:top w:val="none" w:sz="0" w:space="0" w:color="auto"/>
        <w:left w:val="none" w:sz="0" w:space="0" w:color="auto"/>
        <w:bottom w:val="none" w:sz="0" w:space="0" w:color="auto"/>
        <w:right w:val="none" w:sz="0" w:space="0" w:color="auto"/>
      </w:divBdr>
    </w:div>
    <w:div w:id="186450412">
      <w:bodyDiv w:val="1"/>
      <w:marLeft w:val="0"/>
      <w:marRight w:val="0"/>
      <w:marTop w:val="0"/>
      <w:marBottom w:val="0"/>
      <w:divBdr>
        <w:top w:val="none" w:sz="0" w:space="0" w:color="auto"/>
        <w:left w:val="none" w:sz="0" w:space="0" w:color="auto"/>
        <w:bottom w:val="none" w:sz="0" w:space="0" w:color="auto"/>
        <w:right w:val="none" w:sz="0" w:space="0" w:color="auto"/>
      </w:divBdr>
    </w:div>
    <w:div w:id="204608369">
      <w:bodyDiv w:val="1"/>
      <w:marLeft w:val="0"/>
      <w:marRight w:val="0"/>
      <w:marTop w:val="0"/>
      <w:marBottom w:val="0"/>
      <w:divBdr>
        <w:top w:val="none" w:sz="0" w:space="0" w:color="auto"/>
        <w:left w:val="none" w:sz="0" w:space="0" w:color="auto"/>
        <w:bottom w:val="none" w:sz="0" w:space="0" w:color="auto"/>
        <w:right w:val="none" w:sz="0" w:space="0" w:color="auto"/>
      </w:divBdr>
    </w:div>
    <w:div w:id="380447716">
      <w:bodyDiv w:val="1"/>
      <w:marLeft w:val="0"/>
      <w:marRight w:val="0"/>
      <w:marTop w:val="0"/>
      <w:marBottom w:val="0"/>
      <w:divBdr>
        <w:top w:val="none" w:sz="0" w:space="0" w:color="auto"/>
        <w:left w:val="none" w:sz="0" w:space="0" w:color="auto"/>
        <w:bottom w:val="none" w:sz="0" w:space="0" w:color="auto"/>
        <w:right w:val="none" w:sz="0" w:space="0" w:color="auto"/>
      </w:divBdr>
    </w:div>
    <w:div w:id="389381460">
      <w:bodyDiv w:val="1"/>
      <w:marLeft w:val="0"/>
      <w:marRight w:val="0"/>
      <w:marTop w:val="0"/>
      <w:marBottom w:val="0"/>
      <w:divBdr>
        <w:top w:val="none" w:sz="0" w:space="0" w:color="auto"/>
        <w:left w:val="none" w:sz="0" w:space="0" w:color="auto"/>
        <w:bottom w:val="none" w:sz="0" w:space="0" w:color="auto"/>
        <w:right w:val="none" w:sz="0" w:space="0" w:color="auto"/>
      </w:divBdr>
    </w:div>
    <w:div w:id="417484150">
      <w:bodyDiv w:val="1"/>
      <w:marLeft w:val="0"/>
      <w:marRight w:val="0"/>
      <w:marTop w:val="0"/>
      <w:marBottom w:val="0"/>
      <w:divBdr>
        <w:top w:val="none" w:sz="0" w:space="0" w:color="auto"/>
        <w:left w:val="none" w:sz="0" w:space="0" w:color="auto"/>
        <w:bottom w:val="none" w:sz="0" w:space="0" w:color="auto"/>
        <w:right w:val="none" w:sz="0" w:space="0" w:color="auto"/>
      </w:divBdr>
    </w:div>
    <w:div w:id="423302138">
      <w:bodyDiv w:val="1"/>
      <w:marLeft w:val="0"/>
      <w:marRight w:val="0"/>
      <w:marTop w:val="0"/>
      <w:marBottom w:val="0"/>
      <w:divBdr>
        <w:top w:val="none" w:sz="0" w:space="0" w:color="auto"/>
        <w:left w:val="none" w:sz="0" w:space="0" w:color="auto"/>
        <w:bottom w:val="none" w:sz="0" w:space="0" w:color="auto"/>
        <w:right w:val="none" w:sz="0" w:space="0" w:color="auto"/>
      </w:divBdr>
    </w:div>
    <w:div w:id="459421083">
      <w:bodyDiv w:val="1"/>
      <w:marLeft w:val="0"/>
      <w:marRight w:val="0"/>
      <w:marTop w:val="0"/>
      <w:marBottom w:val="0"/>
      <w:divBdr>
        <w:top w:val="none" w:sz="0" w:space="0" w:color="auto"/>
        <w:left w:val="none" w:sz="0" w:space="0" w:color="auto"/>
        <w:bottom w:val="none" w:sz="0" w:space="0" w:color="auto"/>
        <w:right w:val="none" w:sz="0" w:space="0" w:color="auto"/>
      </w:divBdr>
    </w:div>
    <w:div w:id="484977969">
      <w:bodyDiv w:val="1"/>
      <w:marLeft w:val="0"/>
      <w:marRight w:val="0"/>
      <w:marTop w:val="0"/>
      <w:marBottom w:val="0"/>
      <w:divBdr>
        <w:top w:val="none" w:sz="0" w:space="0" w:color="auto"/>
        <w:left w:val="none" w:sz="0" w:space="0" w:color="auto"/>
        <w:bottom w:val="none" w:sz="0" w:space="0" w:color="auto"/>
        <w:right w:val="none" w:sz="0" w:space="0" w:color="auto"/>
      </w:divBdr>
    </w:div>
    <w:div w:id="486436199">
      <w:bodyDiv w:val="1"/>
      <w:marLeft w:val="0"/>
      <w:marRight w:val="0"/>
      <w:marTop w:val="0"/>
      <w:marBottom w:val="0"/>
      <w:divBdr>
        <w:top w:val="none" w:sz="0" w:space="0" w:color="auto"/>
        <w:left w:val="none" w:sz="0" w:space="0" w:color="auto"/>
        <w:bottom w:val="none" w:sz="0" w:space="0" w:color="auto"/>
        <w:right w:val="none" w:sz="0" w:space="0" w:color="auto"/>
      </w:divBdr>
    </w:div>
    <w:div w:id="555045256">
      <w:bodyDiv w:val="1"/>
      <w:marLeft w:val="0"/>
      <w:marRight w:val="0"/>
      <w:marTop w:val="0"/>
      <w:marBottom w:val="0"/>
      <w:divBdr>
        <w:top w:val="none" w:sz="0" w:space="0" w:color="auto"/>
        <w:left w:val="none" w:sz="0" w:space="0" w:color="auto"/>
        <w:bottom w:val="none" w:sz="0" w:space="0" w:color="auto"/>
        <w:right w:val="none" w:sz="0" w:space="0" w:color="auto"/>
      </w:divBdr>
    </w:div>
    <w:div w:id="561404175">
      <w:bodyDiv w:val="1"/>
      <w:marLeft w:val="0"/>
      <w:marRight w:val="0"/>
      <w:marTop w:val="0"/>
      <w:marBottom w:val="0"/>
      <w:divBdr>
        <w:top w:val="none" w:sz="0" w:space="0" w:color="auto"/>
        <w:left w:val="none" w:sz="0" w:space="0" w:color="auto"/>
        <w:bottom w:val="none" w:sz="0" w:space="0" w:color="auto"/>
        <w:right w:val="none" w:sz="0" w:space="0" w:color="auto"/>
      </w:divBdr>
    </w:div>
    <w:div w:id="611208548">
      <w:bodyDiv w:val="1"/>
      <w:marLeft w:val="0"/>
      <w:marRight w:val="0"/>
      <w:marTop w:val="0"/>
      <w:marBottom w:val="0"/>
      <w:divBdr>
        <w:top w:val="none" w:sz="0" w:space="0" w:color="auto"/>
        <w:left w:val="none" w:sz="0" w:space="0" w:color="auto"/>
        <w:bottom w:val="none" w:sz="0" w:space="0" w:color="auto"/>
        <w:right w:val="none" w:sz="0" w:space="0" w:color="auto"/>
      </w:divBdr>
    </w:div>
    <w:div w:id="623656944">
      <w:bodyDiv w:val="1"/>
      <w:marLeft w:val="0"/>
      <w:marRight w:val="0"/>
      <w:marTop w:val="0"/>
      <w:marBottom w:val="0"/>
      <w:divBdr>
        <w:top w:val="none" w:sz="0" w:space="0" w:color="auto"/>
        <w:left w:val="none" w:sz="0" w:space="0" w:color="auto"/>
        <w:bottom w:val="none" w:sz="0" w:space="0" w:color="auto"/>
        <w:right w:val="none" w:sz="0" w:space="0" w:color="auto"/>
      </w:divBdr>
    </w:div>
    <w:div w:id="653876943">
      <w:bodyDiv w:val="1"/>
      <w:marLeft w:val="0"/>
      <w:marRight w:val="0"/>
      <w:marTop w:val="0"/>
      <w:marBottom w:val="0"/>
      <w:divBdr>
        <w:top w:val="none" w:sz="0" w:space="0" w:color="auto"/>
        <w:left w:val="none" w:sz="0" w:space="0" w:color="auto"/>
        <w:bottom w:val="none" w:sz="0" w:space="0" w:color="auto"/>
        <w:right w:val="none" w:sz="0" w:space="0" w:color="auto"/>
      </w:divBdr>
    </w:div>
    <w:div w:id="750464065">
      <w:bodyDiv w:val="1"/>
      <w:marLeft w:val="0"/>
      <w:marRight w:val="0"/>
      <w:marTop w:val="0"/>
      <w:marBottom w:val="0"/>
      <w:divBdr>
        <w:top w:val="none" w:sz="0" w:space="0" w:color="auto"/>
        <w:left w:val="none" w:sz="0" w:space="0" w:color="auto"/>
        <w:bottom w:val="none" w:sz="0" w:space="0" w:color="auto"/>
        <w:right w:val="none" w:sz="0" w:space="0" w:color="auto"/>
      </w:divBdr>
    </w:div>
    <w:div w:id="855114514">
      <w:bodyDiv w:val="1"/>
      <w:marLeft w:val="0"/>
      <w:marRight w:val="0"/>
      <w:marTop w:val="0"/>
      <w:marBottom w:val="0"/>
      <w:divBdr>
        <w:top w:val="none" w:sz="0" w:space="0" w:color="auto"/>
        <w:left w:val="none" w:sz="0" w:space="0" w:color="auto"/>
        <w:bottom w:val="none" w:sz="0" w:space="0" w:color="auto"/>
        <w:right w:val="none" w:sz="0" w:space="0" w:color="auto"/>
      </w:divBdr>
    </w:div>
    <w:div w:id="909387899">
      <w:bodyDiv w:val="1"/>
      <w:marLeft w:val="0"/>
      <w:marRight w:val="0"/>
      <w:marTop w:val="0"/>
      <w:marBottom w:val="0"/>
      <w:divBdr>
        <w:top w:val="none" w:sz="0" w:space="0" w:color="auto"/>
        <w:left w:val="none" w:sz="0" w:space="0" w:color="auto"/>
        <w:bottom w:val="none" w:sz="0" w:space="0" w:color="auto"/>
        <w:right w:val="none" w:sz="0" w:space="0" w:color="auto"/>
      </w:divBdr>
    </w:div>
    <w:div w:id="922762977">
      <w:bodyDiv w:val="1"/>
      <w:marLeft w:val="0"/>
      <w:marRight w:val="0"/>
      <w:marTop w:val="0"/>
      <w:marBottom w:val="0"/>
      <w:divBdr>
        <w:top w:val="none" w:sz="0" w:space="0" w:color="auto"/>
        <w:left w:val="none" w:sz="0" w:space="0" w:color="auto"/>
        <w:bottom w:val="none" w:sz="0" w:space="0" w:color="auto"/>
        <w:right w:val="none" w:sz="0" w:space="0" w:color="auto"/>
      </w:divBdr>
    </w:div>
    <w:div w:id="923490469">
      <w:bodyDiv w:val="1"/>
      <w:marLeft w:val="0"/>
      <w:marRight w:val="0"/>
      <w:marTop w:val="0"/>
      <w:marBottom w:val="0"/>
      <w:divBdr>
        <w:top w:val="none" w:sz="0" w:space="0" w:color="auto"/>
        <w:left w:val="none" w:sz="0" w:space="0" w:color="auto"/>
        <w:bottom w:val="none" w:sz="0" w:space="0" w:color="auto"/>
        <w:right w:val="none" w:sz="0" w:space="0" w:color="auto"/>
      </w:divBdr>
    </w:div>
    <w:div w:id="1007369361">
      <w:bodyDiv w:val="1"/>
      <w:marLeft w:val="0"/>
      <w:marRight w:val="0"/>
      <w:marTop w:val="0"/>
      <w:marBottom w:val="0"/>
      <w:divBdr>
        <w:top w:val="none" w:sz="0" w:space="0" w:color="auto"/>
        <w:left w:val="none" w:sz="0" w:space="0" w:color="auto"/>
        <w:bottom w:val="none" w:sz="0" w:space="0" w:color="auto"/>
        <w:right w:val="none" w:sz="0" w:space="0" w:color="auto"/>
      </w:divBdr>
    </w:div>
    <w:div w:id="1010958497">
      <w:bodyDiv w:val="1"/>
      <w:marLeft w:val="0"/>
      <w:marRight w:val="0"/>
      <w:marTop w:val="0"/>
      <w:marBottom w:val="0"/>
      <w:divBdr>
        <w:top w:val="none" w:sz="0" w:space="0" w:color="auto"/>
        <w:left w:val="none" w:sz="0" w:space="0" w:color="auto"/>
        <w:bottom w:val="none" w:sz="0" w:space="0" w:color="auto"/>
        <w:right w:val="none" w:sz="0" w:space="0" w:color="auto"/>
      </w:divBdr>
    </w:div>
    <w:div w:id="1032847524">
      <w:bodyDiv w:val="1"/>
      <w:marLeft w:val="0"/>
      <w:marRight w:val="0"/>
      <w:marTop w:val="0"/>
      <w:marBottom w:val="0"/>
      <w:divBdr>
        <w:top w:val="none" w:sz="0" w:space="0" w:color="auto"/>
        <w:left w:val="none" w:sz="0" w:space="0" w:color="auto"/>
        <w:bottom w:val="none" w:sz="0" w:space="0" w:color="auto"/>
        <w:right w:val="none" w:sz="0" w:space="0" w:color="auto"/>
      </w:divBdr>
    </w:div>
    <w:div w:id="1033461016">
      <w:bodyDiv w:val="1"/>
      <w:marLeft w:val="0"/>
      <w:marRight w:val="0"/>
      <w:marTop w:val="0"/>
      <w:marBottom w:val="0"/>
      <w:divBdr>
        <w:top w:val="none" w:sz="0" w:space="0" w:color="auto"/>
        <w:left w:val="none" w:sz="0" w:space="0" w:color="auto"/>
        <w:bottom w:val="none" w:sz="0" w:space="0" w:color="auto"/>
        <w:right w:val="none" w:sz="0" w:space="0" w:color="auto"/>
      </w:divBdr>
    </w:div>
    <w:div w:id="1074204079">
      <w:bodyDiv w:val="1"/>
      <w:marLeft w:val="0"/>
      <w:marRight w:val="0"/>
      <w:marTop w:val="0"/>
      <w:marBottom w:val="0"/>
      <w:divBdr>
        <w:top w:val="none" w:sz="0" w:space="0" w:color="auto"/>
        <w:left w:val="none" w:sz="0" w:space="0" w:color="auto"/>
        <w:bottom w:val="none" w:sz="0" w:space="0" w:color="auto"/>
        <w:right w:val="none" w:sz="0" w:space="0" w:color="auto"/>
      </w:divBdr>
    </w:div>
    <w:div w:id="1089617453">
      <w:bodyDiv w:val="1"/>
      <w:marLeft w:val="0"/>
      <w:marRight w:val="0"/>
      <w:marTop w:val="0"/>
      <w:marBottom w:val="0"/>
      <w:divBdr>
        <w:top w:val="none" w:sz="0" w:space="0" w:color="auto"/>
        <w:left w:val="none" w:sz="0" w:space="0" w:color="auto"/>
        <w:bottom w:val="none" w:sz="0" w:space="0" w:color="auto"/>
        <w:right w:val="none" w:sz="0" w:space="0" w:color="auto"/>
      </w:divBdr>
    </w:div>
    <w:div w:id="1099565497">
      <w:bodyDiv w:val="1"/>
      <w:marLeft w:val="0"/>
      <w:marRight w:val="0"/>
      <w:marTop w:val="0"/>
      <w:marBottom w:val="0"/>
      <w:divBdr>
        <w:top w:val="none" w:sz="0" w:space="0" w:color="auto"/>
        <w:left w:val="none" w:sz="0" w:space="0" w:color="auto"/>
        <w:bottom w:val="none" w:sz="0" w:space="0" w:color="auto"/>
        <w:right w:val="none" w:sz="0" w:space="0" w:color="auto"/>
      </w:divBdr>
    </w:div>
    <w:div w:id="1108891943">
      <w:bodyDiv w:val="1"/>
      <w:marLeft w:val="0"/>
      <w:marRight w:val="0"/>
      <w:marTop w:val="0"/>
      <w:marBottom w:val="0"/>
      <w:divBdr>
        <w:top w:val="none" w:sz="0" w:space="0" w:color="auto"/>
        <w:left w:val="none" w:sz="0" w:space="0" w:color="auto"/>
        <w:bottom w:val="none" w:sz="0" w:space="0" w:color="auto"/>
        <w:right w:val="none" w:sz="0" w:space="0" w:color="auto"/>
      </w:divBdr>
    </w:div>
    <w:div w:id="1130123555">
      <w:bodyDiv w:val="1"/>
      <w:marLeft w:val="0"/>
      <w:marRight w:val="0"/>
      <w:marTop w:val="0"/>
      <w:marBottom w:val="0"/>
      <w:divBdr>
        <w:top w:val="none" w:sz="0" w:space="0" w:color="auto"/>
        <w:left w:val="none" w:sz="0" w:space="0" w:color="auto"/>
        <w:bottom w:val="none" w:sz="0" w:space="0" w:color="auto"/>
        <w:right w:val="none" w:sz="0" w:space="0" w:color="auto"/>
      </w:divBdr>
    </w:div>
    <w:div w:id="1145774683">
      <w:bodyDiv w:val="1"/>
      <w:marLeft w:val="0"/>
      <w:marRight w:val="0"/>
      <w:marTop w:val="0"/>
      <w:marBottom w:val="0"/>
      <w:divBdr>
        <w:top w:val="none" w:sz="0" w:space="0" w:color="auto"/>
        <w:left w:val="none" w:sz="0" w:space="0" w:color="auto"/>
        <w:bottom w:val="none" w:sz="0" w:space="0" w:color="auto"/>
        <w:right w:val="none" w:sz="0" w:space="0" w:color="auto"/>
      </w:divBdr>
    </w:div>
    <w:div w:id="1215191332">
      <w:bodyDiv w:val="1"/>
      <w:marLeft w:val="0"/>
      <w:marRight w:val="0"/>
      <w:marTop w:val="0"/>
      <w:marBottom w:val="0"/>
      <w:divBdr>
        <w:top w:val="none" w:sz="0" w:space="0" w:color="auto"/>
        <w:left w:val="none" w:sz="0" w:space="0" w:color="auto"/>
        <w:bottom w:val="none" w:sz="0" w:space="0" w:color="auto"/>
        <w:right w:val="none" w:sz="0" w:space="0" w:color="auto"/>
      </w:divBdr>
    </w:div>
    <w:div w:id="1217936990">
      <w:bodyDiv w:val="1"/>
      <w:marLeft w:val="0"/>
      <w:marRight w:val="0"/>
      <w:marTop w:val="0"/>
      <w:marBottom w:val="0"/>
      <w:divBdr>
        <w:top w:val="none" w:sz="0" w:space="0" w:color="auto"/>
        <w:left w:val="none" w:sz="0" w:space="0" w:color="auto"/>
        <w:bottom w:val="none" w:sz="0" w:space="0" w:color="auto"/>
        <w:right w:val="none" w:sz="0" w:space="0" w:color="auto"/>
      </w:divBdr>
    </w:div>
    <w:div w:id="1242714072">
      <w:bodyDiv w:val="1"/>
      <w:marLeft w:val="0"/>
      <w:marRight w:val="0"/>
      <w:marTop w:val="0"/>
      <w:marBottom w:val="0"/>
      <w:divBdr>
        <w:top w:val="none" w:sz="0" w:space="0" w:color="auto"/>
        <w:left w:val="none" w:sz="0" w:space="0" w:color="auto"/>
        <w:bottom w:val="none" w:sz="0" w:space="0" w:color="auto"/>
        <w:right w:val="none" w:sz="0" w:space="0" w:color="auto"/>
      </w:divBdr>
    </w:div>
    <w:div w:id="1256288623">
      <w:bodyDiv w:val="1"/>
      <w:marLeft w:val="0"/>
      <w:marRight w:val="0"/>
      <w:marTop w:val="0"/>
      <w:marBottom w:val="0"/>
      <w:divBdr>
        <w:top w:val="none" w:sz="0" w:space="0" w:color="auto"/>
        <w:left w:val="none" w:sz="0" w:space="0" w:color="auto"/>
        <w:bottom w:val="none" w:sz="0" w:space="0" w:color="auto"/>
        <w:right w:val="none" w:sz="0" w:space="0" w:color="auto"/>
      </w:divBdr>
    </w:div>
    <w:div w:id="1321812201">
      <w:bodyDiv w:val="1"/>
      <w:marLeft w:val="0"/>
      <w:marRight w:val="0"/>
      <w:marTop w:val="0"/>
      <w:marBottom w:val="0"/>
      <w:divBdr>
        <w:top w:val="none" w:sz="0" w:space="0" w:color="auto"/>
        <w:left w:val="none" w:sz="0" w:space="0" w:color="auto"/>
        <w:bottom w:val="none" w:sz="0" w:space="0" w:color="auto"/>
        <w:right w:val="none" w:sz="0" w:space="0" w:color="auto"/>
      </w:divBdr>
    </w:div>
    <w:div w:id="1331762276">
      <w:bodyDiv w:val="1"/>
      <w:marLeft w:val="0"/>
      <w:marRight w:val="0"/>
      <w:marTop w:val="0"/>
      <w:marBottom w:val="0"/>
      <w:divBdr>
        <w:top w:val="none" w:sz="0" w:space="0" w:color="auto"/>
        <w:left w:val="none" w:sz="0" w:space="0" w:color="auto"/>
        <w:bottom w:val="none" w:sz="0" w:space="0" w:color="auto"/>
        <w:right w:val="none" w:sz="0" w:space="0" w:color="auto"/>
      </w:divBdr>
    </w:div>
    <w:div w:id="1356887416">
      <w:bodyDiv w:val="1"/>
      <w:marLeft w:val="0"/>
      <w:marRight w:val="0"/>
      <w:marTop w:val="0"/>
      <w:marBottom w:val="0"/>
      <w:divBdr>
        <w:top w:val="none" w:sz="0" w:space="0" w:color="auto"/>
        <w:left w:val="none" w:sz="0" w:space="0" w:color="auto"/>
        <w:bottom w:val="none" w:sz="0" w:space="0" w:color="auto"/>
        <w:right w:val="none" w:sz="0" w:space="0" w:color="auto"/>
      </w:divBdr>
    </w:div>
    <w:div w:id="1396585193">
      <w:bodyDiv w:val="1"/>
      <w:marLeft w:val="0"/>
      <w:marRight w:val="0"/>
      <w:marTop w:val="0"/>
      <w:marBottom w:val="0"/>
      <w:divBdr>
        <w:top w:val="none" w:sz="0" w:space="0" w:color="auto"/>
        <w:left w:val="none" w:sz="0" w:space="0" w:color="auto"/>
        <w:bottom w:val="none" w:sz="0" w:space="0" w:color="auto"/>
        <w:right w:val="none" w:sz="0" w:space="0" w:color="auto"/>
      </w:divBdr>
    </w:div>
    <w:div w:id="1404254602">
      <w:bodyDiv w:val="1"/>
      <w:marLeft w:val="0"/>
      <w:marRight w:val="0"/>
      <w:marTop w:val="0"/>
      <w:marBottom w:val="0"/>
      <w:divBdr>
        <w:top w:val="none" w:sz="0" w:space="0" w:color="auto"/>
        <w:left w:val="none" w:sz="0" w:space="0" w:color="auto"/>
        <w:bottom w:val="none" w:sz="0" w:space="0" w:color="auto"/>
        <w:right w:val="none" w:sz="0" w:space="0" w:color="auto"/>
      </w:divBdr>
    </w:div>
    <w:div w:id="1435439435">
      <w:bodyDiv w:val="1"/>
      <w:marLeft w:val="0"/>
      <w:marRight w:val="0"/>
      <w:marTop w:val="0"/>
      <w:marBottom w:val="0"/>
      <w:divBdr>
        <w:top w:val="none" w:sz="0" w:space="0" w:color="auto"/>
        <w:left w:val="none" w:sz="0" w:space="0" w:color="auto"/>
        <w:bottom w:val="none" w:sz="0" w:space="0" w:color="auto"/>
        <w:right w:val="none" w:sz="0" w:space="0" w:color="auto"/>
      </w:divBdr>
    </w:div>
    <w:div w:id="1462920533">
      <w:bodyDiv w:val="1"/>
      <w:marLeft w:val="0"/>
      <w:marRight w:val="0"/>
      <w:marTop w:val="0"/>
      <w:marBottom w:val="0"/>
      <w:divBdr>
        <w:top w:val="none" w:sz="0" w:space="0" w:color="auto"/>
        <w:left w:val="none" w:sz="0" w:space="0" w:color="auto"/>
        <w:bottom w:val="none" w:sz="0" w:space="0" w:color="auto"/>
        <w:right w:val="none" w:sz="0" w:space="0" w:color="auto"/>
      </w:divBdr>
    </w:div>
    <w:div w:id="1466583125">
      <w:bodyDiv w:val="1"/>
      <w:marLeft w:val="0"/>
      <w:marRight w:val="0"/>
      <w:marTop w:val="0"/>
      <w:marBottom w:val="0"/>
      <w:divBdr>
        <w:top w:val="none" w:sz="0" w:space="0" w:color="auto"/>
        <w:left w:val="none" w:sz="0" w:space="0" w:color="auto"/>
        <w:bottom w:val="none" w:sz="0" w:space="0" w:color="auto"/>
        <w:right w:val="none" w:sz="0" w:space="0" w:color="auto"/>
      </w:divBdr>
    </w:div>
    <w:div w:id="1471631646">
      <w:bodyDiv w:val="1"/>
      <w:marLeft w:val="0"/>
      <w:marRight w:val="0"/>
      <w:marTop w:val="0"/>
      <w:marBottom w:val="0"/>
      <w:divBdr>
        <w:top w:val="none" w:sz="0" w:space="0" w:color="auto"/>
        <w:left w:val="none" w:sz="0" w:space="0" w:color="auto"/>
        <w:bottom w:val="none" w:sz="0" w:space="0" w:color="auto"/>
        <w:right w:val="none" w:sz="0" w:space="0" w:color="auto"/>
      </w:divBdr>
    </w:div>
    <w:div w:id="1514345334">
      <w:bodyDiv w:val="1"/>
      <w:marLeft w:val="0"/>
      <w:marRight w:val="0"/>
      <w:marTop w:val="0"/>
      <w:marBottom w:val="0"/>
      <w:divBdr>
        <w:top w:val="none" w:sz="0" w:space="0" w:color="auto"/>
        <w:left w:val="none" w:sz="0" w:space="0" w:color="auto"/>
        <w:bottom w:val="none" w:sz="0" w:space="0" w:color="auto"/>
        <w:right w:val="none" w:sz="0" w:space="0" w:color="auto"/>
      </w:divBdr>
    </w:div>
    <w:div w:id="1537347304">
      <w:bodyDiv w:val="1"/>
      <w:marLeft w:val="0"/>
      <w:marRight w:val="0"/>
      <w:marTop w:val="0"/>
      <w:marBottom w:val="0"/>
      <w:divBdr>
        <w:top w:val="none" w:sz="0" w:space="0" w:color="auto"/>
        <w:left w:val="none" w:sz="0" w:space="0" w:color="auto"/>
        <w:bottom w:val="none" w:sz="0" w:space="0" w:color="auto"/>
        <w:right w:val="none" w:sz="0" w:space="0" w:color="auto"/>
      </w:divBdr>
    </w:div>
    <w:div w:id="1585607249">
      <w:bodyDiv w:val="1"/>
      <w:marLeft w:val="0"/>
      <w:marRight w:val="0"/>
      <w:marTop w:val="0"/>
      <w:marBottom w:val="0"/>
      <w:divBdr>
        <w:top w:val="none" w:sz="0" w:space="0" w:color="auto"/>
        <w:left w:val="none" w:sz="0" w:space="0" w:color="auto"/>
        <w:bottom w:val="none" w:sz="0" w:space="0" w:color="auto"/>
        <w:right w:val="none" w:sz="0" w:space="0" w:color="auto"/>
      </w:divBdr>
    </w:div>
    <w:div w:id="1595478399">
      <w:bodyDiv w:val="1"/>
      <w:marLeft w:val="0"/>
      <w:marRight w:val="0"/>
      <w:marTop w:val="0"/>
      <w:marBottom w:val="0"/>
      <w:divBdr>
        <w:top w:val="none" w:sz="0" w:space="0" w:color="auto"/>
        <w:left w:val="none" w:sz="0" w:space="0" w:color="auto"/>
        <w:bottom w:val="none" w:sz="0" w:space="0" w:color="auto"/>
        <w:right w:val="none" w:sz="0" w:space="0" w:color="auto"/>
      </w:divBdr>
    </w:div>
    <w:div w:id="1621184324">
      <w:bodyDiv w:val="1"/>
      <w:marLeft w:val="0"/>
      <w:marRight w:val="0"/>
      <w:marTop w:val="0"/>
      <w:marBottom w:val="0"/>
      <w:divBdr>
        <w:top w:val="none" w:sz="0" w:space="0" w:color="auto"/>
        <w:left w:val="none" w:sz="0" w:space="0" w:color="auto"/>
        <w:bottom w:val="none" w:sz="0" w:space="0" w:color="auto"/>
        <w:right w:val="none" w:sz="0" w:space="0" w:color="auto"/>
      </w:divBdr>
    </w:div>
    <w:div w:id="1637568875">
      <w:bodyDiv w:val="1"/>
      <w:marLeft w:val="0"/>
      <w:marRight w:val="0"/>
      <w:marTop w:val="0"/>
      <w:marBottom w:val="0"/>
      <w:divBdr>
        <w:top w:val="none" w:sz="0" w:space="0" w:color="auto"/>
        <w:left w:val="none" w:sz="0" w:space="0" w:color="auto"/>
        <w:bottom w:val="none" w:sz="0" w:space="0" w:color="auto"/>
        <w:right w:val="none" w:sz="0" w:space="0" w:color="auto"/>
      </w:divBdr>
    </w:div>
    <w:div w:id="1668247818">
      <w:bodyDiv w:val="1"/>
      <w:marLeft w:val="0"/>
      <w:marRight w:val="0"/>
      <w:marTop w:val="0"/>
      <w:marBottom w:val="0"/>
      <w:divBdr>
        <w:top w:val="none" w:sz="0" w:space="0" w:color="auto"/>
        <w:left w:val="none" w:sz="0" w:space="0" w:color="auto"/>
        <w:bottom w:val="none" w:sz="0" w:space="0" w:color="auto"/>
        <w:right w:val="none" w:sz="0" w:space="0" w:color="auto"/>
      </w:divBdr>
    </w:div>
    <w:div w:id="1693022921">
      <w:bodyDiv w:val="1"/>
      <w:marLeft w:val="0"/>
      <w:marRight w:val="0"/>
      <w:marTop w:val="0"/>
      <w:marBottom w:val="0"/>
      <w:divBdr>
        <w:top w:val="none" w:sz="0" w:space="0" w:color="auto"/>
        <w:left w:val="none" w:sz="0" w:space="0" w:color="auto"/>
        <w:bottom w:val="none" w:sz="0" w:space="0" w:color="auto"/>
        <w:right w:val="none" w:sz="0" w:space="0" w:color="auto"/>
      </w:divBdr>
    </w:div>
    <w:div w:id="1730568891">
      <w:bodyDiv w:val="1"/>
      <w:marLeft w:val="0"/>
      <w:marRight w:val="0"/>
      <w:marTop w:val="0"/>
      <w:marBottom w:val="0"/>
      <w:divBdr>
        <w:top w:val="none" w:sz="0" w:space="0" w:color="auto"/>
        <w:left w:val="none" w:sz="0" w:space="0" w:color="auto"/>
        <w:bottom w:val="none" w:sz="0" w:space="0" w:color="auto"/>
        <w:right w:val="none" w:sz="0" w:space="0" w:color="auto"/>
      </w:divBdr>
    </w:div>
    <w:div w:id="1740592924">
      <w:bodyDiv w:val="1"/>
      <w:marLeft w:val="0"/>
      <w:marRight w:val="0"/>
      <w:marTop w:val="0"/>
      <w:marBottom w:val="0"/>
      <w:divBdr>
        <w:top w:val="none" w:sz="0" w:space="0" w:color="auto"/>
        <w:left w:val="none" w:sz="0" w:space="0" w:color="auto"/>
        <w:bottom w:val="none" w:sz="0" w:space="0" w:color="auto"/>
        <w:right w:val="none" w:sz="0" w:space="0" w:color="auto"/>
      </w:divBdr>
    </w:div>
    <w:div w:id="1801070637">
      <w:bodyDiv w:val="1"/>
      <w:marLeft w:val="0"/>
      <w:marRight w:val="0"/>
      <w:marTop w:val="0"/>
      <w:marBottom w:val="0"/>
      <w:divBdr>
        <w:top w:val="none" w:sz="0" w:space="0" w:color="auto"/>
        <w:left w:val="none" w:sz="0" w:space="0" w:color="auto"/>
        <w:bottom w:val="none" w:sz="0" w:space="0" w:color="auto"/>
        <w:right w:val="none" w:sz="0" w:space="0" w:color="auto"/>
      </w:divBdr>
    </w:div>
    <w:div w:id="1831171999">
      <w:bodyDiv w:val="1"/>
      <w:marLeft w:val="0"/>
      <w:marRight w:val="0"/>
      <w:marTop w:val="0"/>
      <w:marBottom w:val="0"/>
      <w:divBdr>
        <w:top w:val="none" w:sz="0" w:space="0" w:color="auto"/>
        <w:left w:val="none" w:sz="0" w:space="0" w:color="auto"/>
        <w:bottom w:val="none" w:sz="0" w:space="0" w:color="auto"/>
        <w:right w:val="none" w:sz="0" w:space="0" w:color="auto"/>
      </w:divBdr>
    </w:div>
    <w:div w:id="1846357179">
      <w:bodyDiv w:val="1"/>
      <w:marLeft w:val="0"/>
      <w:marRight w:val="0"/>
      <w:marTop w:val="0"/>
      <w:marBottom w:val="0"/>
      <w:divBdr>
        <w:top w:val="none" w:sz="0" w:space="0" w:color="auto"/>
        <w:left w:val="none" w:sz="0" w:space="0" w:color="auto"/>
        <w:bottom w:val="none" w:sz="0" w:space="0" w:color="auto"/>
        <w:right w:val="none" w:sz="0" w:space="0" w:color="auto"/>
      </w:divBdr>
    </w:div>
    <w:div w:id="1860771702">
      <w:bodyDiv w:val="1"/>
      <w:marLeft w:val="0"/>
      <w:marRight w:val="0"/>
      <w:marTop w:val="0"/>
      <w:marBottom w:val="0"/>
      <w:divBdr>
        <w:top w:val="none" w:sz="0" w:space="0" w:color="auto"/>
        <w:left w:val="none" w:sz="0" w:space="0" w:color="auto"/>
        <w:bottom w:val="none" w:sz="0" w:space="0" w:color="auto"/>
        <w:right w:val="none" w:sz="0" w:space="0" w:color="auto"/>
      </w:divBdr>
    </w:div>
    <w:div w:id="1929993740">
      <w:bodyDiv w:val="1"/>
      <w:marLeft w:val="0"/>
      <w:marRight w:val="0"/>
      <w:marTop w:val="0"/>
      <w:marBottom w:val="0"/>
      <w:divBdr>
        <w:top w:val="none" w:sz="0" w:space="0" w:color="auto"/>
        <w:left w:val="none" w:sz="0" w:space="0" w:color="auto"/>
        <w:bottom w:val="none" w:sz="0" w:space="0" w:color="auto"/>
        <w:right w:val="none" w:sz="0" w:space="0" w:color="auto"/>
      </w:divBdr>
    </w:div>
    <w:div w:id="1943682686">
      <w:bodyDiv w:val="1"/>
      <w:marLeft w:val="0"/>
      <w:marRight w:val="0"/>
      <w:marTop w:val="0"/>
      <w:marBottom w:val="0"/>
      <w:divBdr>
        <w:top w:val="none" w:sz="0" w:space="0" w:color="auto"/>
        <w:left w:val="none" w:sz="0" w:space="0" w:color="auto"/>
        <w:bottom w:val="none" w:sz="0" w:space="0" w:color="auto"/>
        <w:right w:val="none" w:sz="0" w:space="0" w:color="auto"/>
      </w:divBdr>
    </w:div>
    <w:div w:id="1967924040">
      <w:bodyDiv w:val="1"/>
      <w:marLeft w:val="0"/>
      <w:marRight w:val="0"/>
      <w:marTop w:val="0"/>
      <w:marBottom w:val="0"/>
      <w:divBdr>
        <w:top w:val="none" w:sz="0" w:space="0" w:color="auto"/>
        <w:left w:val="none" w:sz="0" w:space="0" w:color="auto"/>
        <w:bottom w:val="none" w:sz="0" w:space="0" w:color="auto"/>
        <w:right w:val="none" w:sz="0" w:space="0" w:color="auto"/>
      </w:divBdr>
    </w:div>
    <w:div w:id="1981612256">
      <w:bodyDiv w:val="1"/>
      <w:marLeft w:val="0"/>
      <w:marRight w:val="0"/>
      <w:marTop w:val="0"/>
      <w:marBottom w:val="0"/>
      <w:divBdr>
        <w:top w:val="none" w:sz="0" w:space="0" w:color="auto"/>
        <w:left w:val="none" w:sz="0" w:space="0" w:color="auto"/>
        <w:bottom w:val="none" w:sz="0" w:space="0" w:color="auto"/>
        <w:right w:val="none" w:sz="0" w:space="0" w:color="auto"/>
      </w:divBdr>
    </w:div>
    <w:div w:id="1999576119">
      <w:bodyDiv w:val="1"/>
      <w:marLeft w:val="0"/>
      <w:marRight w:val="0"/>
      <w:marTop w:val="0"/>
      <w:marBottom w:val="0"/>
      <w:divBdr>
        <w:top w:val="none" w:sz="0" w:space="0" w:color="auto"/>
        <w:left w:val="none" w:sz="0" w:space="0" w:color="auto"/>
        <w:bottom w:val="none" w:sz="0" w:space="0" w:color="auto"/>
        <w:right w:val="none" w:sz="0" w:space="0" w:color="auto"/>
      </w:divBdr>
    </w:div>
    <w:div w:id="2017733233">
      <w:bodyDiv w:val="1"/>
      <w:marLeft w:val="0"/>
      <w:marRight w:val="0"/>
      <w:marTop w:val="0"/>
      <w:marBottom w:val="0"/>
      <w:divBdr>
        <w:top w:val="none" w:sz="0" w:space="0" w:color="auto"/>
        <w:left w:val="none" w:sz="0" w:space="0" w:color="auto"/>
        <w:bottom w:val="none" w:sz="0" w:space="0" w:color="auto"/>
        <w:right w:val="none" w:sz="0" w:space="0" w:color="auto"/>
      </w:divBdr>
    </w:div>
    <w:div w:id="2028558105">
      <w:bodyDiv w:val="1"/>
      <w:marLeft w:val="0"/>
      <w:marRight w:val="0"/>
      <w:marTop w:val="0"/>
      <w:marBottom w:val="0"/>
      <w:divBdr>
        <w:top w:val="none" w:sz="0" w:space="0" w:color="auto"/>
        <w:left w:val="none" w:sz="0" w:space="0" w:color="auto"/>
        <w:bottom w:val="none" w:sz="0" w:space="0" w:color="auto"/>
        <w:right w:val="none" w:sz="0" w:space="0" w:color="auto"/>
      </w:divBdr>
    </w:div>
    <w:div w:id="2068455859">
      <w:bodyDiv w:val="1"/>
      <w:marLeft w:val="0"/>
      <w:marRight w:val="0"/>
      <w:marTop w:val="0"/>
      <w:marBottom w:val="0"/>
      <w:divBdr>
        <w:top w:val="none" w:sz="0" w:space="0" w:color="auto"/>
        <w:left w:val="none" w:sz="0" w:space="0" w:color="auto"/>
        <w:bottom w:val="none" w:sz="0" w:space="0" w:color="auto"/>
        <w:right w:val="none" w:sz="0" w:space="0" w:color="auto"/>
      </w:divBdr>
    </w:div>
    <w:div w:id="2077043063">
      <w:bodyDiv w:val="1"/>
      <w:marLeft w:val="0"/>
      <w:marRight w:val="0"/>
      <w:marTop w:val="0"/>
      <w:marBottom w:val="0"/>
      <w:divBdr>
        <w:top w:val="none" w:sz="0" w:space="0" w:color="auto"/>
        <w:left w:val="none" w:sz="0" w:space="0" w:color="auto"/>
        <w:bottom w:val="none" w:sz="0" w:space="0" w:color="auto"/>
        <w:right w:val="none" w:sz="0" w:space="0" w:color="auto"/>
      </w:divBdr>
    </w:div>
    <w:div w:id="2081246762">
      <w:bodyDiv w:val="1"/>
      <w:marLeft w:val="0"/>
      <w:marRight w:val="0"/>
      <w:marTop w:val="0"/>
      <w:marBottom w:val="0"/>
      <w:divBdr>
        <w:top w:val="none" w:sz="0" w:space="0" w:color="auto"/>
        <w:left w:val="none" w:sz="0" w:space="0" w:color="auto"/>
        <w:bottom w:val="none" w:sz="0" w:space="0" w:color="auto"/>
        <w:right w:val="none" w:sz="0" w:space="0" w:color="auto"/>
      </w:divBdr>
    </w:div>
    <w:div w:id="2143957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webSettings" Target="web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16</Pages>
  <Words>1218</Words>
  <Characters>6946</Characters>
  <Application>Microsoft Office Word</Application>
  <DocSecurity>0</DocSecurity>
  <Lines>57</Lines>
  <Paragraphs>16</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Toshiba</Company>
  <LinksUpToDate>false</LinksUpToDate>
  <CharactersWithSpaces>8148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Shreyas</dc:creator>
  <cp:lastModifiedBy>Andrey Vyshedskiy</cp:lastModifiedBy>
  <cp:revision>4</cp:revision>
  <dcterms:created xsi:type="dcterms:W3CDTF">2024-01-31T23:41:00Z</dcterms:created>
  <dcterms:modified xsi:type="dcterms:W3CDTF">2024-02-10T15:47:00Z</dcterms:modified>
</cp:coreProperties>
</file>