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0A957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noProof/>
          <w:sz w:val="24"/>
        </w:rPr>
        <w:drawing>
          <wp:inline distT="0" distB="0" distL="0" distR="0" wp14:anchorId="5B87817F" wp14:editId="787FD41A">
            <wp:extent cx="2635624" cy="2635624"/>
            <wp:effectExtent l="0" t="0" r="6350" b="6350"/>
            <wp:docPr id="23" name="Picture 2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 Figure 1 CD43+ HPCs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30" cy="265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D63A5" w14:textId="77777777" w:rsidR="00913C28" w:rsidRPr="00941CB9" w:rsidRDefault="00913C28" w:rsidP="00913C28">
      <w:pPr>
        <w:spacing w:after="0" w:line="480" w:lineRule="auto"/>
        <w:rPr>
          <w:rFonts w:ascii="Times New Roman" w:hAnsi="Times New Roman" w:cstheme="minorHAnsi"/>
          <w:b/>
          <w:bCs/>
          <w:sz w:val="24"/>
        </w:rPr>
      </w:pPr>
      <w:r w:rsidRPr="00941CB9">
        <w:rPr>
          <w:rFonts w:ascii="Times New Roman" w:hAnsi="Times New Roman" w:cstheme="minorHAnsi"/>
          <w:b/>
          <w:bCs/>
          <w:sz w:val="24"/>
        </w:rPr>
        <w:t>Supplementa</w:t>
      </w:r>
      <w:r>
        <w:rPr>
          <w:rFonts w:ascii="Times New Roman" w:hAnsi="Times New Roman" w:cstheme="minorHAnsi"/>
          <w:b/>
          <w:bCs/>
          <w:sz w:val="24"/>
        </w:rPr>
        <w:t>l</w:t>
      </w:r>
      <w:r w:rsidRPr="00941CB9">
        <w:rPr>
          <w:rFonts w:ascii="Times New Roman" w:hAnsi="Times New Roman" w:cstheme="minorHAnsi"/>
          <w:b/>
          <w:bCs/>
          <w:sz w:val="24"/>
        </w:rPr>
        <w:t xml:space="preserve"> Fig. 1</w:t>
      </w:r>
    </w:p>
    <w:p w14:paraId="50348024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t xml:space="preserve">iPSC72.3 were differentiated into non-adherent hematopoietic progenitor cells (HPCs) and assayed for cell surface expression of CD43 by flow cytometry. Non-adherent cells are greater than 98% CD43+. </w:t>
      </w:r>
      <w:r w:rsidRPr="00B978FE">
        <w:rPr>
          <w:rFonts w:ascii="Times New Roman" w:hAnsi="Times New Roman" w:cstheme="minorHAnsi"/>
          <w:sz w:val="24"/>
        </w:rPr>
        <w:t xml:space="preserve">Isotype controls are shown in </w:t>
      </w:r>
      <w:r>
        <w:rPr>
          <w:rFonts w:ascii="Times New Roman" w:hAnsi="Times New Roman" w:cstheme="minorHAnsi"/>
          <w:sz w:val="24"/>
        </w:rPr>
        <w:t>red;</w:t>
      </w:r>
      <w:r w:rsidRPr="00B978FE">
        <w:rPr>
          <w:rFonts w:ascii="Times New Roman" w:hAnsi="Times New Roman" w:cstheme="minorHAnsi"/>
          <w:sz w:val="24"/>
        </w:rPr>
        <w:t xml:space="preserve"> </w:t>
      </w:r>
      <w:r>
        <w:rPr>
          <w:rFonts w:ascii="Times New Roman" w:hAnsi="Times New Roman" w:cstheme="minorHAnsi"/>
          <w:sz w:val="24"/>
        </w:rPr>
        <w:t xml:space="preserve">CD43+ staining in blue. </w:t>
      </w:r>
    </w:p>
    <w:p w14:paraId="0924BEB2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61B46F6E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6223B4B6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0ED89D96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27223373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661C7FD8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6E615CBB" w14:textId="77777777" w:rsidR="00913C28" w:rsidRDefault="00913C28" w:rsidP="00913C28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br w:type="page"/>
      </w:r>
    </w:p>
    <w:p w14:paraId="282F54EA" w14:textId="77777777" w:rsidR="00913C28" w:rsidRDefault="00913C28" w:rsidP="00913C28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noProof/>
          <w:sz w:val="24"/>
        </w:rPr>
        <w:lastRenderedPageBreak/>
        <w:drawing>
          <wp:inline distT="0" distB="0" distL="0" distR="0" wp14:anchorId="5AF8EA05" wp14:editId="1A36B655">
            <wp:extent cx="4392168" cy="4413504"/>
            <wp:effectExtent l="0" t="0" r="889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20_0707_Supplemental Figure 3 Correlation Matrix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168" cy="4413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96CE6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b/>
          <w:bCs/>
          <w:sz w:val="24"/>
        </w:rPr>
      </w:pPr>
      <w:r w:rsidRPr="00E0240A">
        <w:rPr>
          <w:rFonts w:ascii="Times New Roman" w:hAnsi="Times New Roman" w:cstheme="minorHAnsi"/>
          <w:b/>
          <w:bCs/>
          <w:sz w:val="24"/>
        </w:rPr>
        <w:t xml:space="preserve">Supplemental Fig. </w:t>
      </w:r>
      <w:r>
        <w:rPr>
          <w:rFonts w:ascii="Times New Roman" w:hAnsi="Times New Roman" w:cstheme="minorHAnsi"/>
          <w:b/>
          <w:bCs/>
          <w:sz w:val="24"/>
        </w:rPr>
        <w:t>2</w:t>
      </w:r>
    </w:p>
    <w:p w14:paraId="42338FDE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t xml:space="preserve">Hierarchal clustering of primary human microglia and model systems. </w:t>
      </w:r>
      <w:r w:rsidRPr="00ED767C">
        <w:rPr>
          <w:rFonts w:ascii="Times New Roman" w:hAnsi="Times New Roman" w:cstheme="minorHAnsi"/>
          <w:sz w:val="24"/>
        </w:rPr>
        <w:t xml:space="preserve">Correlation matrix </w:t>
      </w:r>
      <w:r>
        <w:rPr>
          <w:rFonts w:ascii="Times New Roman" w:hAnsi="Times New Roman" w:cstheme="minorHAnsi"/>
          <w:sz w:val="24"/>
        </w:rPr>
        <w:t xml:space="preserve">of 780 microglia-enriched genes from Fig. 4B. (R, Pearson’s correlation coefficient). </w:t>
      </w:r>
    </w:p>
    <w:p w14:paraId="4F230918" w14:textId="77777777" w:rsidR="00913C28" w:rsidRDefault="00913C28" w:rsidP="00913C28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br w:type="page"/>
      </w:r>
    </w:p>
    <w:p w14:paraId="0E20C892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1ABB3D44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1C2A2456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17C0A76D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</w:p>
    <w:p w14:paraId="54E3AC34" w14:textId="77777777" w:rsidR="00913C28" w:rsidRDefault="00913C28" w:rsidP="00913C28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noProof/>
          <w:sz w:val="24"/>
        </w:rPr>
        <w:drawing>
          <wp:inline distT="0" distB="0" distL="0" distR="0" wp14:anchorId="3FFD9FAA" wp14:editId="7FE30CDA">
            <wp:extent cx="4796444" cy="4428512"/>
            <wp:effectExtent l="0" t="0" r="4445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444" cy="442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23C27" w14:textId="77777777" w:rsidR="00913C28" w:rsidRDefault="00913C28" w:rsidP="00913C28">
      <w:pPr>
        <w:rPr>
          <w:rFonts w:ascii="Times New Roman" w:hAnsi="Times New Roman" w:cstheme="minorHAnsi"/>
          <w:b/>
          <w:bCs/>
          <w:sz w:val="24"/>
        </w:rPr>
      </w:pPr>
      <w:r w:rsidRPr="004A053D">
        <w:rPr>
          <w:rFonts w:ascii="Times New Roman" w:hAnsi="Times New Roman" w:cstheme="minorHAnsi"/>
          <w:b/>
          <w:bCs/>
          <w:sz w:val="24"/>
        </w:rPr>
        <w:t xml:space="preserve">Supplemental Fig. </w:t>
      </w:r>
      <w:r>
        <w:rPr>
          <w:rFonts w:ascii="Times New Roman" w:hAnsi="Times New Roman" w:cstheme="minorHAnsi"/>
          <w:b/>
          <w:bCs/>
          <w:sz w:val="24"/>
        </w:rPr>
        <w:t>3</w:t>
      </w:r>
    </w:p>
    <w:p w14:paraId="16DA8846" w14:textId="77777777" w:rsidR="00913C28" w:rsidRDefault="00913C28" w:rsidP="00913C2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A053D">
        <w:rPr>
          <w:rFonts w:ascii="Times New Roman" w:hAnsi="Times New Roman" w:cs="Times New Roman"/>
          <w:sz w:val="24"/>
          <w:szCs w:val="24"/>
        </w:rPr>
        <w:t xml:space="preserve">qPCR validation of microglial-enriched and HIV-associated gene expression. Levels were normalized to GAPDH and expression presented as relative to MDM. Data are presented as mean ± SD. </w:t>
      </w:r>
      <w:r w:rsidRPr="004A053D">
        <w:rPr>
          <w:rFonts w:ascii="Times New Roman" w:hAnsi="Times New Roman" w:cs="Times New Roman"/>
          <w:i/>
          <w:sz w:val="24"/>
          <w:szCs w:val="24"/>
        </w:rPr>
        <w:t>P2ry12</w:t>
      </w:r>
      <w:r w:rsidRPr="004A053D">
        <w:rPr>
          <w:rFonts w:ascii="Times New Roman" w:hAnsi="Times New Roman" w:cs="Times New Roman"/>
          <w:sz w:val="24"/>
          <w:szCs w:val="24"/>
        </w:rPr>
        <w:t xml:space="preserve">, purinergic receptor P2Y12, </w:t>
      </w:r>
      <w:r w:rsidRPr="004A053D">
        <w:rPr>
          <w:rFonts w:ascii="Times New Roman" w:hAnsi="Times New Roman" w:cs="Times New Roman"/>
          <w:i/>
          <w:sz w:val="24"/>
          <w:szCs w:val="24"/>
        </w:rPr>
        <w:t>Tmem119</w:t>
      </w:r>
      <w:r w:rsidRPr="004A053D">
        <w:rPr>
          <w:rFonts w:ascii="Times New Roman" w:hAnsi="Times New Roman" w:cs="Times New Roman"/>
          <w:sz w:val="24"/>
          <w:szCs w:val="24"/>
        </w:rPr>
        <w:t xml:space="preserve">, transmembrane protein 119, </w:t>
      </w:r>
      <w:r w:rsidRPr="004A053D">
        <w:rPr>
          <w:rFonts w:ascii="Times New Roman" w:hAnsi="Times New Roman" w:cs="Times New Roman"/>
          <w:i/>
          <w:sz w:val="24"/>
          <w:szCs w:val="24"/>
        </w:rPr>
        <w:t>Cx3cr1</w:t>
      </w:r>
      <w:r w:rsidRPr="004A053D">
        <w:rPr>
          <w:rFonts w:ascii="Times New Roman" w:hAnsi="Times New Roman" w:cs="Times New Roman"/>
          <w:sz w:val="24"/>
          <w:szCs w:val="24"/>
        </w:rPr>
        <w:t xml:space="preserve">, C-X3-C motif chemokine receptor 1, </w:t>
      </w:r>
      <w:r w:rsidRPr="004A053D">
        <w:rPr>
          <w:rFonts w:ascii="Times New Roman" w:hAnsi="Times New Roman" w:cs="Times New Roman"/>
          <w:i/>
          <w:sz w:val="24"/>
          <w:szCs w:val="24"/>
        </w:rPr>
        <w:t>Cd4</w:t>
      </w:r>
      <w:r w:rsidRPr="004A053D">
        <w:rPr>
          <w:rFonts w:ascii="Times New Roman" w:hAnsi="Times New Roman" w:cs="Times New Roman"/>
          <w:sz w:val="24"/>
          <w:szCs w:val="24"/>
        </w:rPr>
        <w:t xml:space="preserve">, CD4 receptor, </w:t>
      </w:r>
      <w:r w:rsidRPr="00652658">
        <w:rPr>
          <w:rFonts w:ascii="Times New Roman" w:hAnsi="Times New Roman" w:cs="Times New Roman"/>
          <w:i/>
          <w:iCs/>
          <w:sz w:val="24"/>
          <w:szCs w:val="24"/>
        </w:rPr>
        <w:t>Ccr5</w:t>
      </w:r>
      <w:r w:rsidRPr="004A053D">
        <w:rPr>
          <w:rFonts w:ascii="Times New Roman" w:hAnsi="Times New Roman" w:cs="Times New Roman"/>
          <w:sz w:val="24"/>
          <w:szCs w:val="24"/>
        </w:rPr>
        <w:t xml:space="preserve">, C-C motif chemokine receptor 5, </w:t>
      </w:r>
      <w:r w:rsidRPr="004A053D">
        <w:rPr>
          <w:rFonts w:ascii="Times New Roman" w:hAnsi="Times New Roman" w:cs="Times New Roman"/>
          <w:i/>
          <w:sz w:val="24"/>
          <w:szCs w:val="24"/>
        </w:rPr>
        <w:t>Aif1</w:t>
      </w:r>
      <w:r w:rsidRPr="004A053D">
        <w:rPr>
          <w:rFonts w:ascii="Times New Roman" w:hAnsi="Times New Roman" w:cs="Times New Roman"/>
          <w:sz w:val="24"/>
          <w:szCs w:val="24"/>
        </w:rPr>
        <w:t xml:space="preserve">, allograft inflammatory factor 1, </w:t>
      </w:r>
      <w:r w:rsidRPr="004A053D">
        <w:rPr>
          <w:rFonts w:ascii="Times New Roman" w:hAnsi="Times New Roman" w:cs="Times New Roman"/>
          <w:i/>
          <w:sz w:val="24"/>
          <w:szCs w:val="24"/>
        </w:rPr>
        <w:t>Siglec1</w:t>
      </w:r>
      <w:r w:rsidRPr="004A053D">
        <w:rPr>
          <w:rFonts w:ascii="Times New Roman" w:hAnsi="Times New Roman" w:cs="Times New Roman"/>
          <w:sz w:val="24"/>
          <w:szCs w:val="24"/>
        </w:rPr>
        <w:t xml:space="preserve">, sialic acid binding Ig like lectin 1, </w:t>
      </w:r>
      <w:r w:rsidRPr="004A053D">
        <w:rPr>
          <w:rFonts w:ascii="Times New Roman" w:hAnsi="Times New Roman" w:cs="Times New Roman"/>
          <w:i/>
          <w:sz w:val="24"/>
          <w:szCs w:val="24"/>
        </w:rPr>
        <w:t>Bst2</w:t>
      </w:r>
      <w:r w:rsidRPr="004A053D">
        <w:rPr>
          <w:rFonts w:ascii="Times New Roman" w:hAnsi="Times New Roman" w:cs="Times New Roman"/>
          <w:sz w:val="24"/>
          <w:szCs w:val="24"/>
        </w:rPr>
        <w:t>, bone marrow stromal cell antigen 2/</w:t>
      </w:r>
      <w:proofErr w:type="spellStart"/>
      <w:r w:rsidRPr="004A053D">
        <w:rPr>
          <w:rFonts w:ascii="Times New Roman" w:hAnsi="Times New Roman" w:cs="Times New Roman"/>
          <w:sz w:val="24"/>
          <w:szCs w:val="24"/>
        </w:rPr>
        <w:t>tetherin</w:t>
      </w:r>
      <w:proofErr w:type="spellEnd"/>
      <w:r w:rsidRPr="004A053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AAB2AE" w14:textId="77777777" w:rsidR="00913C28" w:rsidRDefault="00913C28" w:rsidP="00913C2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theme="minorHAnsi"/>
          <w:noProof/>
          <w:sz w:val="24"/>
        </w:rPr>
        <w:lastRenderedPageBreak/>
        <w:drawing>
          <wp:inline distT="0" distB="0" distL="0" distR="0" wp14:anchorId="44710E11" wp14:editId="40357A38">
            <wp:extent cx="2850776" cy="3843174"/>
            <wp:effectExtent l="0" t="0" r="0" b="5080"/>
            <wp:docPr id="14" name="Picture 1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 Figure 2 C20 HMC3 Growth Curve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672" cy="386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5A178" w14:textId="77777777" w:rsidR="00913C28" w:rsidRPr="00941CB9" w:rsidRDefault="00913C28" w:rsidP="00913C28">
      <w:pPr>
        <w:spacing w:after="0" w:line="480" w:lineRule="auto"/>
        <w:rPr>
          <w:rFonts w:ascii="Times New Roman" w:hAnsi="Times New Roman" w:cstheme="minorHAnsi"/>
          <w:b/>
          <w:bCs/>
          <w:sz w:val="24"/>
        </w:rPr>
      </w:pPr>
      <w:r w:rsidRPr="00941CB9">
        <w:rPr>
          <w:rFonts w:ascii="Times New Roman" w:hAnsi="Times New Roman" w:cstheme="minorHAnsi"/>
          <w:b/>
          <w:bCs/>
          <w:sz w:val="24"/>
        </w:rPr>
        <w:t>Supplementa</w:t>
      </w:r>
      <w:r>
        <w:rPr>
          <w:rFonts w:ascii="Times New Roman" w:hAnsi="Times New Roman" w:cstheme="minorHAnsi"/>
          <w:b/>
          <w:bCs/>
          <w:sz w:val="24"/>
        </w:rPr>
        <w:t>l</w:t>
      </w:r>
      <w:r w:rsidRPr="00941CB9">
        <w:rPr>
          <w:rFonts w:ascii="Times New Roman" w:hAnsi="Times New Roman" w:cstheme="minorHAnsi"/>
          <w:b/>
          <w:bCs/>
          <w:sz w:val="24"/>
        </w:rPr>
        <w:t xml:space="preserve"> Fig. </w:t>
      </w:r>
      <w:r>
        <w:rPr>
          <w:rFonts w:ascii="Times New Roman" w:hAnsi="Times New Roman" w:cstheme="minorHAnsi"/>
          <w:b/>
          <w:bCs/>
          <w:sz w:val="24"/>
        </w:rPr>
        <w:t>4</w:t>
      </w:r>
    </w:p>
    <w:p w14:paraId="32602D6B" w14:textId="77777777" w:rsidR="00913C28" w:rsidRDefault="00913C28" w:rsidP="00913C28">
      <w:pPr>
        <w:spacing w:after="0" w:line="480" w:lineRule="auto"/>
        <w:rPr>
          <w:rFonts w:ascii="Times New Roman" w:hAnsi="Times New Roman" w:cstheme="minorHAnsi"/>
          <w:sz w:val="24"/>
        </w:rPr>
      </w:pPr>
      <w:r w:rsidRPr="00B978FE">
        <w:rPr>
          <w:rFonts w:ascii="Times New Roman" w:hAnsi="Times New Roman" w:cstheme="minorHAnsi"/>
          <w:sz w:val="24"/>
        </w:rPr>
        <w:t xml:space="preserve">HIV replication kinetics in </w:t>
      </w:r>
      <w:r>
        <w:rPr>
          <w:rFonts w:ascii="Times New Roman" w:hAnsi="Times New Roman" w:cstheme="minorHAnsi"/>
          <w:sz w:val="24"/>
        </w:rPr>
        <w:t>transformed microglia cell lines C20 and HMC3</w:t>
      </w:r>
      <w:r w:rsidRPr="00B978FE">
        <w:rPr>
          <w:rFonts w:ascii="Times New Roman" w:hAnsi="Times New Roman" w:cstheme="minorHAnsi"/>
          <w:sz w:val="24"/>
        </w:rPr>
        <w:t>.</w:t>
      </w:r>
      <w:r>
        <w:rPr>
          <w:rFonts w:ascii="Times New Roman" w:hAnsi="Times New Roman" w:cstheme="minorHAnsi"/>
          <w:sz w:val="24"/>
        </w:rPr>
        <w:t xml:space="preserve"> Cells were cultured and infected at a MOI of 0.25 with either (A) primary HIV-1 isolate HIV-1</w:t>
      </w:r>
      <w:r w:rsidRPr="008B76B9">
        <w:rPr>
          <w:rFonts w:ascii="Times New Roman" w:hAnsi="Times New Roman" w:cstheme="minorHAnsi"/>
          <w:sz w:val="24"/>
          <w:vertAlign w:val="subscript"/>
        </w:rPr>
        <w:t>BaL</w:t>
      </w:r>
      <w:r>
        <w:rPr>
          <w:rFonts w:ascii="Times New Roman" w:hAnsi="Times New Roman" w:cstheme="minorHAnsi"/>
          <w:sz w:val="24"/>
        </w:rPr>
        <w:t xml:space="preserve"> or (B) VSV-G-</w:t>
      </w:r>
      <w:proofErr w:type="spellStart"/>
      <w:r>
        <w:rPr>
          <w:rFonts w:ascii="Times New Roman" w:hAnsi="Times New Roman" w:cstheme="minorHAnsi"/>
          <w:sz w:val="24"/>
        </w:rPr>
        <w:t>pseudotyped</w:t>
      </w:r>
      <w:proofErr w:type="spellEnd"/>
      <w:r>
        <w:rPr>
          <w:rFonts w:ascii="Times New Roman" w:hAnsi="Times New Roman" w:cstheme="minorHAnsi"/>
          <w:sz w:val="24"/>
        </w:rPr>
        <w:t xml:space="preserve"> NL4.3. </w:t>
      </w:r>
      <w:r w:rsidRPr="00B978FE">
        <w:rPr>
          <w:rFonts w:ascii="Times New Roman" w:hAnsi="Times New Roman" w:cstheme="minorHAnsi"/>
          <w:sz w:val="24"/>
        </w:rPr>
        <w:t xml:space="preserve">Culture supernatants from HIV-infected </w:t>
      </w:r>
      <w:r>
        <w:rPr>
          <w:rFonts w:ascii="Times New Roman" w:hAnsi="Times New Roman" w:cstheme="minorHAnsi"/>
          <w:sz w:val="24"/>
        </w:rPr>
        <w:t>C20 and HMC3</w:t>
      </w:r>
      <w:r w:rsidRPr="00B978FE">
        <w:rPr>
          <w:rFonts w:ascii="Times New Roman" w:hAnsi="Times New Roman" w:cstheme="minorHAnsi"/>
          <w:sz w:val="24"/>
        </w:rPr>
        <w:t xml:space="preserve"> were collected at days 0,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2,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4,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6,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8,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10,</w:t>
      </w:r>
      <w:r>
        <w:rPr>
          <w:rFonts w:ascii="Times New Roman" w:hAnsi="Times New Roman" w:cstheme="minorHAnsi"/>
          <w:sz w:val="24"/>
        </w:rPr>
        <w:t xml:space="preserve"> </w:t>
      </w:r>
      <w:r w:rsidRPr="00B978FE">
        <w:rPr>
          <w:rFonts w:ascii="Times New Roman" w:hAnsi="Times New Roman" w:cstheme="minorHAnsi"/>
          <w:sz w:val="24"/>
        </w:rPr>
        <w:t>12 and 14 post-infection and analyzed for p24 expression by antigen capture ELISA.</w:t>
      </w:r>
    </w:p>
    <w:p w14:paraId="2EBB3DE2" w14:textId="77777777" w:rsidR="00913C28" w:rsidRDefault="00913C28" w:rsidP="00913C2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41E309" w14:textId="77777777" w:rsidR="00913C28" w:rsidRDefault="00913C28" w:rsidP="00913C2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9E7A3A" wp14:editId="00C3F2A5">
            <wp:extent cx="4051300" cy="2768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FCB9A" w14:textId="77777777" w:rsidR="00913C28" w:rsidRDefault="00913C28" w:rsidP="00913C2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053D">
        <w:rPr>
          <w:rFonts w:ascii="Times New Roman" w:hAnsi="Times New Roman" w:cs="Times New Roman"/>
          <w:b/>
          <w:bCs/>
          <w:sz w:val="24"/>
          <w:szCs w:val="24"/>
        </w:rPr>
        <w:t>Supplemental Fig. 5</w:t>
      </w:r>
    </w:p>
    <w:p w14:paraId="2522AC09" w14:textId="77777777" w:rsidR="00913C28" w:rsidRPr="004A053D" w:rsidRDefault="00913C28" w:rsidP="00913C28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A053D">
        <w:rPr>
          <w:rFonts w:ascii="Times New Roman" w:hAnsi="Times New Roman" w:cs="Times New Roman"/>
          <w:sz w:val="24"/>
          <w:szCs w:val="24"/>
        </w:rPr>
        <w:t>Similarity of HIV replication kinetics between iPSC-MG1 and MG-CD at different MOI. iPSC-MG1 and MG-CD were infected with a biological stock of HIV-1</w:t>
      </w:r>
      <w:r w:rsidRPr="008B76B9">
        <w:rPr>
          <w:rFonts w:ascii="Times New Roman" w:hAnsi="Times New Roman" w:cs="Times New Roman"/>
          <w:sz w:val="24"/>
          <w:szCs w:val="24"/>
          <w:vertAlign w:val="subscript"/>
        </w:rPr>
        <w:t>BaL</w:t>
      </w:r>
      <w:r w:rsidRPr="004A053D">
        <w:rPr>
          <w:rFonts w:ascii="Times New Roman" w:hAnsi="Times New Roman" w:cs="Times New Roman"/>
          <w:sz w:val="24"/>
          <w:szCs w:val="24"/>
        </w:rPr>
        <w:t xml:space="preserve"> at indicated MOIs. Cell culture supernatants were collected at days 0, 2, 4, 6, 8, 10, 12 and 14 post-infection and p24 measured by antigen capture ELISA.</w:t>
      </w:r>
    </w:p>
    <w:p w14:paraId="3E2EADFC" w14:textId="77777777" w:rsidR="00913C28" w:rsidRPr="004A053D" w:rsidRDefault="00913C28" w:rsidP="00913C2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578C9" w14:textId="77777777" w:rsidR="00913C28" w:rsidRPr="004A053D" w:rsidRDefault="00913C28" w:rsidP="00913C28">
      <w:pPr>
        <w:rPr>
          <w:rFonts w:ascii="Times New Roman" w:hAnsi="Times New Roman" w:cstheme="minorHAnsi"/>
          <w:b/>
          <w:bCs/>
          <w:sz w:val="24"/>
        </w:rPr>
      </w:pPr>
    </w:p>
    <w:p w14:paraId="092D2558" w14:textId="77777777" w:rsidR="00222823" w:rsidRDefault="00222823"/>
    <w:sectPr w:rsidR="00222823" w:rsidSect="002100B9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074868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84042CF" w14:textId="77777777" w:rsidR="004A053D" w:rsidRDefault="00913C28" w:rsidP="002B288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4FF91C" w14:textId="77777777" w:rsidR="004A053D" w:rsidRDefault="00913C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653566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BAEECE1" w14:textId="77777777" w:rsidR="004A053D" w:rsidRDefault="00913C28" w:rsidP="002B288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35</w:t>
        </w:r>
        <w:r>
          <w:rPr>
            <w:rStyle w:val="PageNumber"/>
          </w:rPr>
          <w:fldChar w:fldCharType="end"/>
        </w:r>
      </w:p>
    </w:sdtContent>
  </w:sdt>
  <w:p w14:paraId="00C27CA3" w14:textId="77777777" w:rsidR="004A053D" w:rsidRDefault="00913C2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28"/>
    <w:rsid w:val="00222823"/>
    <w:rsid w:val="00242694"/>
    <w:rsid w:val="0091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45C8"/>
  <w15:chartTrackingRefBased/>
  <w15:docId w15:val="{C2342F52-A82C-4911-B4F4-4954386FE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C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3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C28"/>
  </w:style>
  <w:style w:type="character" w:styleId="PageNumber">
    <w:name w:val="page number"/>
    <w:basedOn w:val="DefaultParagraphFont"/>
    <w:uiPriority w:val="99"/>
    <w:semiHidden/>
    <w:unhideWhenUsed/>
    <w:rsid w:val="00913C28"/>
  </w:style>
  <w:style w:type="paragraph" w:styleId="NoSpacing">
    <w:name w:val="No Spacing"/>
    <w:uiPriority w:val="1"/>
    <w:qFormat/>
    <w:rsid w:val="00913C2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913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footer" Target="footer2.xml"/><Relationship Id="rId4" Type="http://schemas.openxmlformats.org/officeDocument/2006/relationships/image" Target="media/image1.tiff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2020-10-15T01:35:00Z</dcterms:created>
  <dcterms:modified xsi:type="dcterms:W3CDTF">2020-10-15T01:36:00Z</dcterms:modified>
</cp:coreProperties>
</file>