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.jp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bookmarkStart w:id="0" w:name="OLE_LINK1"/>
      <w:r>
        <w:rPr>
          <w:rFonts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Figure S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. Scatter plot of the genetic association with 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asthma(childhood onset)</w:t>
      </w:r>
      <w:r>
        <w:rPr>
          <w:rFonts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and</w:t>
      </w: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melanoma</w:t>
      </w: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 using </w:t>
      </w:r>
      <w:r>
        <w:rPr>
          <w:rFonts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FinnGen</w:t>
      </w: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database </w:t>
      </w: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summary statistics. SNP, single nucleotide polymorphism;</w:t>
      </w:r>
      <w:bookmarkEnd w:id="0"/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13785" cy="3613785"/>
            <wp:effectExtent l="0" t="0" r="2540" b="2540"/>
            <wp:docPr id="1" name="图片 1" descr="Fchild散点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child散点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13785" cy="361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Figure S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2</w:t>
      </w:r>
      <w:r>
        <w:rPr>
          <w:rFonts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. Leave-one-out sensitivity analysis for the MR genetic association with 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asthma(childhood onset)</w:t>
      </w:r>
      <w:r>
        <w:rPr>
          <w:rFonts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and</w:t>
      </w: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melanoma</w:t>
      </w: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 using </w:t>
      </w:r>
      <w:r>
        <w:rPr>
          <w:rFonts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FinnGen</w:t>
      </w: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database </w:t>
      </w: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summary statistics.. MR, Mendelian randomization;  IVW, Inverse variance weighted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613785" cy="3613785"/>
            <wp:effectExtent l="0" t="0" r="2540" b="2540"/>
            <wp:docPr id="2" name="图片 2" descr="fchildlea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childleav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13785" cy="361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Figure S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3</w:t>
      </w:r>
      <w:r>
        <w:rPr>
          <w:rFonts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. Scatter plot of the genetic association with 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asthma(adult onset)</w:t>
      </w:r>
      <w:r>
        <w:rPr>
          <w:rFonts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and</w:t>
      </w: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melanoma </w:t>
      </w: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using </w:t>
      </w:r>
      <w:r>
        <w:rPr>
          <w:rFonts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FinnGen</w:t>
      </w: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database </w:t>
      </w: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summary statistics. SNP, single nucleotide polymorphism;</w:t>
      </w:r>
    </w:p>
    <w:p>
      <w:pP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613785" cy="3613785"/>
            <wp:effectExtent l="0" t="0" r="2540" b="2540"/>
            <wp:docPr id="3" name="图片 3" descr="fadult散点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adult散点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13785" cy="361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Figure S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4</w:t>
      </w:r>
      <w:r>
        <w:rPr>
          <w:rFonts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. Leave-one-out sensitivity analysis for the MR genetic association with 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asthma(adult onset)</w:t>
      </w:r>
      <w:r>
        <w:rPr>
          <w:rFonts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and</w:t>
      </w: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melanoma</w:t>
      </w: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 using </w:t>
      </w:r>
      <w:r>
        <w:rPr>
          <w:rFonts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FinnGen</w:t>
      </w: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database </w:t>
      </w: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summary statistics.. MR, Mendelian randomization;  IVW, Inverse variance weighted</w:t>
      </w:r>
    </w:p>
    <w:p>
      <w:pP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613785" cy="3613785"/>
            <wp:effectExtent l="0" t="0" r="2540" b="2540"/>
            <wp:docPr id="4" name="图片 4" descr="fadultlea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adultleav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13785" cy="361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</w:pPr>
      <w:bookmarkStart w:id="1" w:name="OLE_LINK2"/>
      <w:r>
        <w:rPr>
          <w:rFonts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Figure S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5</w:t>
      </w:r>
      <w:r>
        <w:rPr>
          <w:rFonts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. Scatter plot of the genetic association with 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asthma</w:t>
      </w:r>
      <w:r>
        <w:rPr>
          <w:rFonts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and</w:t>
      </w: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melanoma</w:t>
      </w: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 using </w:t>
      </w:r>
      <w:r>
        <w:rPr>
          <w:rFonts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FinnGen</w:t>
      </w: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database </w:t>
      </w: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summary statistics. SNP, single nucleotide polymorphism;</w:t>
      </w:r>
    </w:p>
    <w:bookmarkEnd w:id="1"/>
    <w:p>
      <w:pP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613785" cy="3613785"/>
            <wp:effectExtent l="0" t="0" r="2540" b="2540"/>
            <wp:docPr id="5" name="图片 5" descr="fall散点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all散点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3785" cy="361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</w:pPr>
      <w:bookmarkStart w:id="2" w:name="OLE_LINK3"/>
      <w:r>
        <w:rPr>
          <w:rFonts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Figure S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6</w:t>
      </w:r>
      <w:bookmarkEnd w:id="2"/>
      <w:r>
        <w:rPr>
          <w:rFonts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. Leave-one-out sensitivity analysis for the MR genetic association with 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asthma(adult onset)</w:t>
      </w:r>
      <w:r>
        <w:rPr>
          <w:rFonts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and</w:t>
      </w: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melanoma</w:t>
      </w: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 using </w:t>
      </w:r>
      <w:r>
        <w:rPr>
          <w:rFonts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FinnGen</w:t>
      </w: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database </w:t>
      </w: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summary statistics.. MR, Mendelian randomization;  IVW, Inverse variance weighted</w:t>
      </w:r>
    </w:p>
    <w:p>
      <w:pP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613785" cy="3613785"/>
            <wp:effectExtent l="0" t="0" r="2540" b="2540"/>
            <wp:docPr id="6" name="图片 6" descr="falllea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allleav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13785" cy="361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Table</w:t>
      </w:r>
      <w:r>
        <w:rPr>
          <w:rFonts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 S</w:t>
      </w:r>
      <w: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>1 Data origin.</w:t>
      </w:r>
    </w:p>
    <w:tbl>
      <w:tblPr>
        <w:tblStyle w:val="3"/>
        <w:tblW w:w="7009" w:type="dxa"/>
        <w:tblInd w:w="-256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1491"/>
        <w:gridCol w:w="1602"/>
        <w:gridCol w:w="1318"/>
        <w:gridCol w:w="1451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tcBorders>
              <w:bottom w:val="single" w:color="auto" w:sz="8" w:space="0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Items</w:t>
            </w:r>
          </w:p>
        </w:tc>
        <w:tc>
          <w:tcPr>
            <w:tcW w:w="1491" w:type="dxa"/>
            <w:tcBorders>
              <w:bottom w:val="single" w:color="auto" w:sz="8" w:space="0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GWAS ID</w:t>
            </w:r>
          </w:p>
        </w:tc>
        <w:tc>
          <w:tcPr>
            <w:tcW w:w="1602" w:type="dxa"/>
            <w:tcBorders>
              <w:bottom w:val="single" w:color="auto" w:sz="8" w:space="0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Consortium</w:t>
            </w:r>
          </w:p>
        </w:tc>
        <w:tc>
          <w:tcPr>
            <w:tcW w:w="1318" w:type="dxa"/>
            <w:tcBorders>
              <w:bottom w:val="single" w:color="auto" w:sz="8" w:space="0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Sample size</w:t>
            </w:r>
          </w:p>
        </w:tc>
        <w:tc>
          <w:tcPr>
            <w:tcW w:w="1451" w:type="dxa"/>
            <w:tcBorders>
              <w:bottom w:val="single" w:color="auto" w:sz="8" w:space="0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Population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rPr>
                <w:vertAlign w:val="baseline"/>
              </w:rPr>
            </w:pPr>
            <w:r>
              <w:rPr>
                <w:vertAlign w:val="baseline"/>
              </w:rPr>
              <w:t>Asthma (childhood onset)</w:t>
            </w:r>
          </w:p>
        </w:tc>
        <w:tc>
          <w:tcPr>
            <w:tcW w:w="1491" w:type="dxa"/>
            <w:tcBorders>
              <w:top w:val="single" w:color="auto" w:sz="8" w:space="0"/>
              <w:tl2br w:val="nil"/>
              <w:tr2bl w:val="nil"/>
            </w:tcBorders>
          </w:tcPr>
          <w:tbl>
            <w:tblPr>
              <w:tblStyle w:val="2"/>
              <w:tblpPr w:leftFromText="180" w:rightFromText="180" w:vertAnchor="text" w:horzAnchor="page" w:tblpX="1072" w:tblpY="-522"/>
              <w:tblOverlap w:val="never"/>
              <w:tblW w:w="2615" w:type="dxa"/>
              <w:tblCellSpacing w:w="15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240"/>
              <w:gridCol w:w="859"/>
              <w:gridCol w:w="758"/>
              <w:gridCol w:w="758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195" w:type="dxa"/>
                  <w:shd w:val="clear" w:color="auto" w:fill="auto"/>
                  <w:vAlign w:val="center"/>
                </w:tcPr>
                <w:p>
                  <w:pPr>
                    <w:rPr>
                      <w:rFonts w:hint="eastAsia"/>
                      <w:vertAlign w:val="baseline"/>
                    </w:rPr>
                  </w:pPr>
                </w:p>
              </w:tc>
              <w:tc>
                <w:tcPr>
                  <w:tcW w:w="829" w:type="dxa"/>
                  <w:shd w:val="clear" w:color="auto" w:fill="auto"/>
                  <w:vAlign w:val="center"/>
                </w:tcPr>
                <w:p>
                  <w:pPr>
                    <w:rPr>
                      <w:vertAlign w:val="baseline"/>
                    </w:rPr>
                  </w:pPr>
                </w:p>
              </w:tc>
              <w:tc>
                <w:tcPr>
                  <w:tcW w:w="728" w:type="dxa"/>
                  <w:shd w:val="clear" w:color="auto" w:fill="auto"/>
                  <w:vAlign w:val="center"/>
                </w:tcPr>
                <w:p>
                  <w:pPr>
                    <w:rPr>
                      <w:vertAlign w:val="baseline"/>
                    </w:rPr>
                  </w:pPr>
                </w:p>
              </w:tc>
              <w:tc>
                <w:tcPr>
                  <w:tcW w:w="713" w:type="dxa"/>
                  <w:shd w:val="clear" w:color="auto" w:fill="auto"/>
                  <w:vAlign w:val="center"/>
                </w:tcPr>
                <w:p>
                  <w:pPr>
                    <w:rPr>
                      <w:vertAlign w:val="baseline"/>
                    </w:rPr>
                  </w:pPr>
                </w:p>
              </w:tc>
            </w:tr>
          </w:tbl>
          <w:p>
            <w:pPr>
              <w:rPr>
                <w:vertAlign w:val="baseline"/>
              </w:rPr>
            </w:pPr>
            <w:r>
              <w:rPr>
                <w:vertAlign w:val="baseline"/>
              </w:rPr>
              <w:fldChar w:fldCharType="begin"/>
            </w:r>
            <w:r>
              <w:rPr>
                <w:vertAlign w:val="baseline"/>
              </w:rPr>
              <w:instrText xml:space="preserve"> HYPERLINK "https://www.ebi.ac.uk/gwas/studies/GCST008917" </w:instrText>
            </w:r>
            <w:r>
              <w:rPr>
                <w:vertAlign w:val="baseline"/>
              </w:rPr>
              <w:fldChar w:fldCharType="separate"/>
            </w:r>
            <w:r>
              <w:rPr>
                <w:vertAlign w:val="baseline"/>
              </w:rPr>
              <w:t>GCST008917</w:t>
            </w:r>
            <w:r>
              <w:rPr>
                <w:vertAlign w:val="baseline"/>
              </w:rPr>
              <w:fldChar w:fldCharType="end"/>
            </w:r>
          </w:p>
        </w:tc>
        <w:tc>
          <w:tcPr>
            <w:tcW w:w="1602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UK Biobank</w:t>
            </w:r>
          </w:p>
        </w:tc>
        <w:tc>
          <w:tcPr>
            <w:tcW w:w="1318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394283</w:t>
            </w: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51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Europeans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tcBorders>
              <w:tl2br w:val="nil"/>
              <w:tr2bl w:val="nil"/>
            </w:tcBorders>
          </w:tcPr>
          <w:p>
            <w:pPr>
              <w:rPr>
                <w:vertAlign w:val="baseline"/>
              </w:rPr>
            </w:pPr>
            <w:r>
              <w:rPr>
                <w:vertAlign w:val="baseline"/>
              </w:rPr>
              <w:t>Asthma (adult onset)</w:t>
            </w:r>
          </w:p>
        </w:tc>
        <w:tc>
          <w:tcPr>
            <w:tcW w:w="1491" w:type="dxa"/>
            <w:tcBorders>
              <w:tl2br w:val="nil"/>
              <w:tr2bl w:val="nil"/>
            </w:tcBorders>
          </w:tcPr>
          <w:p>
            <w:pPr>
              <w:rPr>
                <w:vertAlign w:val="baseline"/>
              </w:rPr>
            </w:pPr>
            <w:r>
              <w:rPr>
                <w:vertAlign w:val="baseline"/>
              </w:rPr>
              <w:fldChar w:fldCharType="begin"/>
            </w:r>
            <w:r>
              <w:rPr>
                <w:vertAlign w:val="baseline"/>
              </w:rPr>
              <w:instrText xml:space="preserve"> HYPERLINK "https://www.ebi.ac.uk/gwas/studies/GCST008918" </w:instrText>
            </w:r>
            <w:r>
              <w:rPr>
                <w:vertAlign w:val="baseline"/>
              </w:rPr>
              <w:fldChar w:fldCharType="separate"/>
            </w:r>
            <w:r>
              <w:rPr>
                <w:vertAlign w:val="baseline"/>
              </w:rPr>
              <w:t>GCST008918</w:t>
            </w:r>
            <w:r>
              <w:rPr>
                <w:vertAlign w:val="baseline"/>
              </w:rPr>
              <w:fldChar w:fldCharType="end"/>
            </w:r>
          </w:p>
        </w:tc>
        <w:tc>
          <w:tcPr>
            <w:tcW w:w="1602" w:type="dxa"/>
            <w:tcBorders>
              <w:tl2br w:val="nil"/>
              <w:tr2bl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UK Biobank</w:t>
            </w:r>
          </w:p>
        </w:tc>
        <w:tc>
          <w:tcPr>
            <w:tcW w:w="1318" w:type="dxa"/>
            <w:tcBorders>
              <w:tl2br w:val="nil"/>
              <w:tr2bl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357157</w:t>
            </w:r>
          </w:p>
        </w:tc>
        <w:tc>
          <w:tcPr>
            <w:tcW w:w="1451" w:type="dxa"/>
            <w:tcBorders>
              <w:tl2br w:val="nil"/>
              <w:tr2bl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Europeans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tcBorders>
              <w:tl2br w:val="nil"/>
              <w:tr2bl w:val="nil"/>
            </w:tcBorders>
          </w:tcPr>
          <w:p>
            <w:pPr>
              <w:rPr>
                <w:vertAlign w:val="baseline"/>
              </w:rPr>
            </w:pPr>
            <w:r>
              <w:rPr>
                <w:vertAlign w:val="baseline"/>
              </w:rPr>
              <w:t>Asthma</w:t>
            </w:r>
          </w:p>
        </w:tc>
        <w:tc>
          <w:tcPr>
            <w:tcW w:w="1491" w:type="dxa"/>
            <w:tcBorders>
              <w:tl2br w:val="nil"/>
              <w:tr2bl w:val="nil"/>
            </w:tcBorders>
          </w:tcPr>
          <w:p>
            <w:pPr>
              <w:rPr>
                <w:vertAlign w:val="baseline"/>
              </w:rPr>
            </w:pPr>
            <w:r>
              <w:rPr>
                <w:vertAlign w:val="baseline"/>
              </w:rPr>
              <w:fldChar w:fldCharType="begin"/>
            </w:r>
            <w:r>
              <w:rPr>
                <w:vertAlign w:val="baseline"/>
              </w:rPr>
              <w:instrText xml:space="preserve"> HYPERLINK "https://www.ebi.ac.uk/gwas/studies/GCST008916" </w:instrText>
            </w:r>
            <w:r>
              <w:rPr>
                <w:vertAlign w:val="baseline"/>
              </w:rPr>
              <w:fldChar w:fldCharType="separate"/>
            </w:r>
            <w:r>
              <w:rPr>
                <w:vertAlign w:val="baseline"/>
              </w:rPr>
              <w:t>GCST008916</w:t>
            </w:r>
            <w:r>
              <w:rPr>
                <w:vertAlign w:val="baseline"/>
              </w:rPr>
              <w:fldChar w:fldCharType="end"/>
            </w:r>
          </w:p>
        </w:tc>
        <w:tc>
          <w:tcPr>
            <w:tcW w:w="1602" w:type="dxa"/>
            <w:tcBorders>
              <w:tl2br w:val="nil"/>
              <w:tr2bl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UK Biobank</w:t>
            </w:r>
          </w:p>
        </w:tc>
        <w:tc>
          <w:tcPr>
            <w:tcW w:w="1318" w:type="dxa"/>
            <w:tcBorders>
              <w:tl2br w:val="nil"/>
              <w:tr2bl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368777</w:t>
            </w:r>
          </w:p>
        </w:tc>
        <w:tc>
          <w:tcPr>
            <w:tcW w:w="1451" w:type="dxa"/>
            <w:tcBorders>
              <w:tl2br w:val="nil"/>
              <w:tr2bl w:val="nil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Europeans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7" w:type="dxa"/>
            <w:tcBorders>
              <w:tl2br w:val="nil"/>
              <w:tr2bl w:val="nil"/>
            </w:tcBorders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Melanoma</w:t>
            </w:r>
          </w:p>
        </w:tc>
        <w:tc>
          <w:tcPr>
            <w:tcW w:w="1491" w:type="dxa"/>
            <w:tcBorders>
              <w:tl2br w:val="nil"/>
              <w:tr2bl w:val="nil"/>
            </w:tcBorders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C3_MELANOMA_EXALLC</w:t>
            </w:r>
          </w:p>
        </w:tc>
        <w:tc>
          <w:tcPr>
            <w:tcW w:w="1602" w:type="dxa"/>
            <w:tcBorders>
              <w:tl2br w:val="nil"/>
              <w:tr2bl w:val="nil"/>
            </w:tcBorders>
          </w:tcPr>
          <w:p>
            <w:pPr>
              <w:rPr>
                <w:vertAlign w:val="baseline"/>
              </w:rPr>
            </w:pPr>
            <w:r>
              <w:rPr>
                <w:vertAlign w:val="baseline"/>
                <w:lang w:val="en-US" w:eastAsia="zh-CN"/>
              </w:rPr>
              <w:t>FinnGen</w:t>
            </w:r>
          </w:p>
        </w:tc>
        <w:tc>
          <w:tcPr>
            <w:tcW w:w="1318" w:type="dxa"/>
            <w:tcBorders>
              <w:tl2br w:val="nil"/>
              <w:tr2bl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32697</w:t>
            </w:r>
          </w:p>
        </w:tc>
        <w:tc>
          <w:tcPr>
            <w:tcW w:w="1451" w:type="dxa"/>
            <w:tcBorders>
              <w:tl2br w:val="nil"/>
              <w:tr2bl w:val="nil"/>
            </w:tcBorders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Europeans</w:t>
            </w:r>
          </w:p>
        </w:tc>
      </w:tr>
    </w:tbl>
    <w:p>
      <w:pP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>Table S</w:t>
      </w:r>
      <w:r>
        <w:rPr>
          <w:rFonts w:hint="eastAsia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>2</w:t>
      </w: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>. Genetic instruments associated with child-onest asthma used in our Mendelian randomization studies</w:t>
      </w:r>
    </w:p>
    <w:p>
      <w:r>
        <w:object>
          <v:shape id="_x0000_i1025" o:spt="75" type="#_x0000_t75" style="height:609.15pt;width:414.85pt;" o:ole="t" filled="f" o:preferrelative="t" stroked="f" coordsize="21600,21600">
            <v:path/>
            <v:fill on="f" focussize="0,0"/>
            <v:stroke on="f"/>
            <v:imagedata r:id="rId11" o:title=""/>
            <o:lock v:ext="edit" aspectratio="f"/>
            <w10:wrap type="none"/>
            <w10:anchorlock/>
          </v:shape>
          <o:OLEObject Type="Embed" ProgID="Excel.Sheet.12" ShapeID="_x0000_i1025" DrawAspect="Content" ObjectID="_1468075725" r:id="rId10">
            <o:LockedField>false</o:LockedField>
          </o:OLEObject>
        </w:object>
      </w:r>
    </w:p>
    <w:p/>
    <w:p/>
    <w:p/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>Table S</w:t>
      </w:r>
      <w:r>
        <w:rPr>
          <w:rFonts w:hint="eastAsia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>3</w:t>
      </w: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. Genetic instruments associated with </w:t>
      </w:r>
      <w:r>
        <w:rPr>
          <w:rFonts w:hint="eastAsia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>adult</w:t>
      </w: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>-onest asthma used in our Mendelian randomization studies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object>
          <v:shape id="_x0000_i1026" o:spt="75" type="#_x0000_t75" style="height:221.55pt;width:415pt;" o:ole="t" filled="f" o:preferrelative="t" stroked="f" coordsize="21600,21600">
            <v:path/>
            <v:fill on="f" focussize="0,0"/>
            <v:stroke on="f"/>
            <v:imagedata r:id="rId13" o:title=""/>
            <o:lock v:ext="edit" aspectratio="f"/>
            <w10:wrap type="none"/>
            <w10:anchorlock/>
          </v:shape>
          <o:OLEObject Type="Embed" ProgID="Excel.Sheet.12" ShapeID="_x0000_i1026" DrawAspect="Content" ObjectID="_1468075726" r:id="rId12">
            <o:LockedField>false</o:LockedField>
          </o:OLEObject>
        </w:object>
      </w:r>
    </w:p>
    <w:p/>
    <w:p/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>Table S</w:t>
      </w:r>
      <w:r>
        <w:rPr>
          <w:rFonts w:hint="eastAsia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>4</w:t>
      </w: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>. Genetic instruments associated with asthma used in our Mendelian randomization studies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>
      <w:r>
        <w:object>
          <v:shape id="_x0000_i1027" o:spt="75" type="#_x0000_t75" style="height:248.85pt;width:414.8pt;" o:ole="t" filled="f" o:preferrelative="t" stroked="f" coordsize="21600,21600">
            <v:path/>
            <v:fill on="f" focussize="0,0"/>
            <v:stroke on="f"/>
            <v:imagedata r:id="rId15" o:title=""/>
            <o:lock v:ext="edit" aspectratio="f"/>
            <w10:wrap type="none"/>
            <w10:anchorlock/>
          </v:shape>
          <o:OLEObject Type="Embed" ProgID="Excel.Sheet.12" ShapeID="_x0000_i1027" DrawAspect="Content" ObjectID="_1468075727" r:id="rId14">
            <o:LockedField>false</o:LockedField>
          </o:OLEObject>
        </w:object>
      </w:r>
    </w:p>
    <w:p/>
    <w:p/>
    <w:p>
      <w:pP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</w:pPr>
      <w:r>
        <w:object>
          <v:shape id="_x0000_i1028" o:spt="75" type="#_x0000_t75" style="height:661.95pt;width:414.8pt;" o:ole="t" filled="f" o:preferrelative="t" stroked="f" coordsize="21600,21600">
            <v:path/>
            <v:fill on="f" focussize="0,0"/>
            <v:stroke on="f"/>
            <v:imagedata r:id="rId17" o:title=""/>
            <o:lock v:ext="edit" aspectratio="f"/>
            <w10:wrap type="none"/>
            <w10:anchorlock/>
          </v:shape>
          <o:OLEObject Type="Embed" ProgID="Excel.Sheet.12" ShapeID="_x0000_i1028" DrawAspect="Content" ObjectID="_1468075728" r:id="rId16">
            <o:LockedField>false</o:LockedField>
          </o:OLEObject>
        </w:object>
      </w:r>
    </w:p>
    <w:p>
      <w:pP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Calibri" w:hAnsi="Calibri" w:eastAsia="宋体" w:cs="Calibri"/>
          <w:color w:val="000000"/>
          <w:kern w:val="0"/>
          <w:sz w:val="21"/>
          <w:szCs w:val="21"/>
          <w:lang w:val="en-US" w:eastAsia="zh-CN" w:bidi="ar"/>
        </w:rPr>
        <w:t>Table S</w:t>
      </w:r>
      <w:r>
        <w:rPr>
          <w:rFonts w:hint="eastAsia" w:ascii="Calibri" w:hAnsi="Calibri" w:eastAsia="宋体" w:cs="Calibri"/>
          <w:color w:val="000000"/>
          <w:kern w:val="0"/>
          <w:sz w:val="21"/>
          <w:szCs w:val="21"/>
          <w:lang w:val="en-US" w:eastAsia="zh-CN" w:bidi="ar"/>
        </w:rPr>
        <w:t>5</w:t>
      </w:r>
      <w:bookmarkStart w:id="3" w:name="_GoBack"/>
      <w:bookmarkEnd w:id="3"/>
      <w:r>
        <w:rPr>
          <w:rFonts w:ascii="Calibri" w:hAnsi="Calibri" w:eastAsia="宋体" w:cs="Calibri"/>
          <w:color w:val="000000"/>
          <w:kern w:val="0"/>
          <w:sz w:val="21"/>
          <w:szCs w:val="21"/>
          <w:lang w:val="en-US" w:eastAsia="zh-CN" w:bidi="ar"/>
        </w:rPr>
        <w:t xml:space="preserve">. Summary on MR results of </w:t>
      </w:r>
      <w:r>
        <w:rPr>
          <w:rFonts w:hint="eastAsia" w:ascii="Calibri" w:hAnsi="Calibri" w:eastAsia="宋体" w:cs="Calibri"/>
          <w:color w:val="000000"/>
          <w:kern w:val="0"/>
          <w:sz w:val="21"/>
          <w:szCs w:val="21"/>
          <w:lang w:val="en-US" w:eastAsia="zh-CN" w:bidi="ar"/>
        </w:rPr>
        <w:t>athma</w:t>
      </w:r>
      <w:r>
        <w:rPr>
          <w:rFonts w:ascii="Calibri" w:hAnsi="Calibri" w:eastAsia="宋体" w:cs="Calibri"/>
          <w:color w:val="000000"/>
          <w:kern w:val="0"/>
          <w:sz w:val="21"/>
          <w:szCs w:val="21"/>
          <w:lang w:val="en-US" w:eastAsia="zh-CN" w:bidi="ar"/>
        </w:rPr>
        <w:t xml:space="preserve"> on </w:t>
      </w:r>
      <w:r>
        <w:rPr>
          <w:rFonts w:hint="eastAsia" w:ascii="Calibri" w:hAnsi="Calibri" w:eastAsia="宋体" w:cs="Calibri"/>
          <w:color w:val="000000"/>
          <w:kern w:val="0"/>
          <w:sz w:val="21"/>
          <w:szCs w:val="21"/>
          <w:lang w:val="en-US" w:eastAsia="zh-CN" w:bidi="ar"/>
        </w:rPr>
        <w:t>melanoma</w:t>
      </w:r>
      <w:r>
        <w:rPr>
          <w:rFonts w:ascii="Calibri" w:hAnsi="Calibri" w:eastAsia="宋体" w:cs="Calibri"/>
          <w:color w:val="000000"/>
          <w:kern w:val="0"/>
          <w:sz w:val="21"/>
          <w:szCs w:val="21"/>
          <w:lang w:val="en-US" w:eastAsia="zh-CN" w:bidi="ar"/>
        </w:rPr>
        <w:t xml:space="preserve"> risk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Calibri" w:hAnsi="Calibri" w:eastAsia="宋体" w:cs="Calibri"/>
          <w:color w:val="000000"/>
          <w:kern w:val="0"/>
          <w:sz w:val="21"/>
          <w:szCs w:val="21"/>
          <w:lang w:val="en-US" w:eastAsia="zh-CN" w:bidi="ar"/>
        </w:rPr>
        <w:t>MR, Mendelian randomization; SNP, single-nucleotide polymorphism; OR, odds ratio;</w:t>
      </w:r>
      <w:r>
        <w:rPr>
          <w:rFonts w:hint="default" w:ascii="Calibri" w:hAnsi="Calibri" w:eastAsia="宋体" w:cs="Calibri"/>
          <w:color w:val="000000"/>
          <w:kern w:val="0"/>
          <w:sz w:val="21"/>
          <w:szCs w:val="21"/>
          <w:lang w:val="en-US" w:eastAsia="zh-CN" w:bidi="ar"/>
        </w:rPr>
        <w:t>IVW, Inverse variance weighted</w:t>
      </w:r>
    </w:p>
    <w:p>
      <w:pP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</w:pPr>
    </w:p>
    <w:tbl>
      <w:tblPr>
        <w:tblStyle w:val="3"/>
        <w:tblpPr w:leftFromText="180" w:rightFromText="180" w:vertAnchor="page" w:horzAnchor="page" w:tblpX="1442" w:tblpY="2289"/>
        <w:tblOverlap w:val="never"/>
        <w:tblW w:w="143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021"/>
        <w:gridCol w:w="1598"/>
        <w:gridCol w:w="938"/>
        <w:gridCol w:w="1272"/>
        <w:gridCol w:w="1426"/>
        <w:gridCol w:w="1269"/>
        <w:gridCol w:w="1289"/>
        <w:gridCol w:w="1278"/>
        <w:gridCol w:w="1693"/>
        <w:gridCol w:w="10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533" w:type="dxa"/>
            <w:vMerge w:val="restart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EXPOSURE</w:t>
            </w:r>
          </w:p>
        </w:tc>
        <w:tc>
          <w:tcPr>
            <w:tcW w:w="1021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OUTCOME</w:t>
            </w:r>
          </w:p>
        </w:tc>
        <w:tc>
          <w:tcPr>
            <w:tcW w:w="6503" w:type="dxa"/>
            <w:gridSpan w:val="5"/>
          </w:tcPr>
          <w:p>
            <w:pPr>
              <w:keepNext w:val="0"/>
              <w:keepLines w:val="0"/>
              <w:widowControl/>
              <w:suppressLineNumbers w:val="0"/>
              <w:ind w:firstLine="2349" w:firstLineChars="13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MR RESULTS</w:t>
            </w:r>
          </w:p>
        </w:tc>
        <w:tc>
          <w:tcPr>
            <w:tcW w:w="2567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ind w:firstLine="723" w:firstLineChars="4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HETEROGENEITY</w:t>
            </w:r>
          </w:p>
        </w:tc>
        <w:tc>
          <w:tcPr>
            <w:tcW w:w="2696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ind w:firstLine="723" w:firstLineChars="4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PLEIOTROPY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Methods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ind w:firstLine="181" w:firstLineChars="1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N SNPs</w:t>
            </w:r>
          </w:p>
        </w:tc>
        <w:tc>
          <w:tcPr>
            <w:tcW w:w="1272" w:type="dxa"/>
          </w:tcPr>
          <w:p>
            <w:pPr>
              <w:keepNext w:val="0"/>
              <w:keepLines w:val="0"/>
              <w:widowControl/>
              <w:suppressLineNumbers w:val="0"/>
              <w:ind w:firstLine="361" w:firstLineChars="2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OR </w:t>
            </w:r>
          </w:p>
        </w:tc>
        <w:tc>
          <w:tcPr>
            <w:tcW w:w="1426" w:type="dxa"/>
          </w:tcPr>
          <w:p>
            <w:pPr>
              <w:keepNext w:val="0"/>
              <w:keepLines w:val="0"/>
              <w:widowControl/>
              <w:suppressLineNumbers w:val="0"/>
              <w:ind w:firstLine="181" w:firstLineChars="1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95%CI</w:t>
            </w:r>
          </w:p>
        </w:tc>
        <w:tc>
          <w:tcPr>
            <w:tcW w:w="1269" w:type="dxa"/>
          </w:tcPr>
          <w:p>
            <w:pPr>
              <w:keepNext w:val="0"/>
              <w:keepLines w:val="0"/>
              <w:widowControl/>
              <w:suppressLineNumbers w:val="0"/>
              <w:ind w:firstLine="181" w:firstLineChars="1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P </w:t>
            </w:r>
            <w:r>
              <w:rPr>
                <w:rFonts w:hint="default"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value</w:t>
            </w:r>
          </w:p>
        </w:tc>
        <w:tc>
          <w:tcPr>
            <w:tcW w:w="1289" w:type="dxa"/>
          </w:tcPr>
          <w:p>
            <w:pPr>
              <w:keepNext w:val="0"/>
              <w:keepLines w:val="0"/>
              <w:widowControl/>
              <w:suppressLineNumbers w:val="0"/>
              <w:ind w:firstLine="181" w:firstLineChars="1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METHODS</w:t>
            </w: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ind w:firstLine="181" w:firstLineChars="1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P </w:t>
            </w:r>
            <w:r>
              <w:rPr>
                <w:rFonts w:hint="default"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value</w:t>
            </w:r>
          </w:p>
        </w:tc>
        <w:tc>
          <w:tcPr>
            <w:tcW w:w="1693" w:type="dxa"/>
          </w:tcPr>
          <w:p>
            <w:pPr>
              <w:keepNext w:val="0"/>
              <w:keepLines w:val="0"/>
              <w:widowControl/>
              <w:suppressLineNumbers w:val="0"/>
              <w:ind w:firstLine="181" w:firstLineChars="1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METHODS</w:t>
            </w: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ind w:firstLine="181" w:firstLineChars="10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P </w:t>
            </w:r>
            <w:r>
              <w:rPr>
                <w:rFonts w:hint="default" w:ascii="Calibri" w:hAnsi="Calibri" w:eastAsia="宋体" w:cs="Calibri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restart"/>
          </w:tcPr>
          <w:p>
            <w:pPr>
              <w:jc w:val="center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Asthma</w:t>
            </w:r>
          </w:p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(childhood onset)</w:t>
            </w:r>
          </w:p>
        </w:tc>
        <w:tc>
          <w:tcPr>
            <w:tcW w:w="1021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FinnGen</w:t>
            </w:r>
          </w:p>
        </w:tc>
        <w:tc>
          <w:tcPr>
            <w:tcW w:w="159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MR-Egger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42</w:t>
            </w:r>
          </w:p>
        </w:tc>
        <w:tc>
          <w:tcPr>
            <w:tcW w:w="127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1.091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0.944-1.261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0.244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MR-Egger</w:t>
            </w:r>
          </w:p>
        </w:tc>
        <w:tc>
          <w:tcPr>
            <w:tcW w:w="12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0.323</w:t>
            </w:r>
          </w:p>
        </w:tc>
        <w:tc>
          <w:tcPr>
            <w:tcW w:w="169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MR-Egger intercept</w:t>
            </w:r>
          </w:p>
        </w:tc>
        <w:tc>
          <w:tcPr>
            <w:tcW w:w="10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0.098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Weighted median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42</w:t>
            </w:r>
          </w:p>
        </w:tc>
        <w:tc>
          <w:tcPr>
            <w:tcW w:w="127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0.992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0.903-1.090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0.875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IVW</w:t>
            </w:r>
          </w:p>
        </w:tc>
        <w:tc>
          <w:tcPr>
            <w:tcW w:w="12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0.251</w:t>
            </w: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IVW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42</w:t>
            </w:r>
          </w:p>
        </w:tc>
        <w:tc>
          <w:tcPr>
            <w:tcW w:w="127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0.974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0.916-1.036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0.402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Simple mode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42</w:t>
            </w:r>
          </w:p>
        </w:tc>
        <w:tc>
          <w:tcPr>
            <w:tcW w:w="127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1.055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0.884-1.260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0.555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Weighted mode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42</w:t>
            </w:r>
          </w:p>
        </w:tc>
        <w:tc>
          <w:tcPr>
            <w:tcW w:w="127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1.011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0.892-1.145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0.868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</w:tcPr>
          <w:p>
            <w:pPr>
              <w:rPr>
                <w:vertAlign w:val="baseline"/>
              </w:rPr>
            </w:pP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2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6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ind w:firstLine="360" w:firstLineChars="200"/>
              <w:jc w:val="both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360" w:firstLineChars="200"/>
              <w:jc w:val="both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Asthma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(adult onset)</w:t>
            </w:r>
          </w:p>
        </w:tc>
        <w:tc>
          <w:tcPr>
            <w:tcW w:w="1021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FinnGen</w:t>
            </w:r>
          </w:p>
        </w:tc>
        <w:tc>
          <w:tcPr>
            <w:tcW w:w="159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MR-Egger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0.912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0.402-2.072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0.831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MR-Egger</w:t>
            </w:r>
          </w:p>
        </w:tc>
        <w:tc>
          <w:tcPr>
            <w:tcW w:w="12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0.065</w:t>
            </w: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MR-Egger intercept</w:t>
            </w:r>
          </w:p>
        </w:tc>
        <w:tc>
          <w:tcPr>
            <w:tcW w:w="10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0.349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Weighted median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0.954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0.731-1.245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0.729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IVW</w:t>
            </w:r>
          </w:p>
        </w:tc>
        <w:tc>
          <w:tcPr>
            <w:tcW w:w="12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0.094</w:t>
            </w: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IVW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0.933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0.750-1.162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0.536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Simple mode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1.094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0.719-1.666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0.682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Weighted mode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0.996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0.740-1.340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0.98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</w:tcPr>
          <w:p>
            <w:pPr>
              <w:rPr>
                <w:vertAlign w:val="baseline"/>
              </w:rPr>
            </w:pP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7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2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6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Asthma</w:t>
            </w:r>
          </w:p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FinnGen</w:t>
            </w:r>
          </w:p>
        </w:tc>
        <w:tc>
          <w:tcPr>
            <w:tcW w:w="159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MR-Egger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70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1.096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0.809-1.486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0.555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MR-Egger</w:t>
            </w:r>
          </w:p>
        </w:tc>
        <w:tc>
          <w:tcPr>
            <w:tcW w:w="12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0.016</w:t>
            </w: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MR-Egger intercept</w:t>
            </w:r>
          </w:p>
        </w:tc>
        <w:tc>
          <w:tcPr>
            <w:tcW w:w="10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0.371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Weighted median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70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0.935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0.800-1.093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0.401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IVW</w:t>
            </w:r>
          </w:p>
        </w:tc>
        <w:tc>
          <w:tcPr>
            <w:tcW w:w="12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0.017</w:t>
            </w: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IVW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70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0.965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0.854-1.090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0.565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98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Simple mode</w:t>
            </w:r>
          </w:p>
        </w:tc>
        <w:tc>
          <w:tcPr>
            <w:tcW w:w="93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70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1.035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0.770-1.390</w:t>
            </w:r>
          </w:p>
        </w:tc>
        <w:tc>
          <w:tcPr>
            <w:tcW w:w="12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0.822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3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021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Weighted mode</w:t>
            </w:r>
          </w:p>
        </w:tc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70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0.974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0.792-1.196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  <w:t>0.799</w:t>
            </w:r>
          </w:p>
        </w:tc>
        <w:tc>
          <w:tcPr>
            <w:tcW w:w="128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7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9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0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Calibri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</w:tbl>
    <w:p>
      <w:pPr>
        <w:rPr>
          <w:rFonts w:hint="default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eastAsia"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jNTNiZGVhOGYwZjlmNjhhYzM0OTk5MjBiY2EyYWYifQ=="/>
  </w:docVars>
  <w:rsids>
    <w:rsidRoot w:val="00172A27"/>
    <w:rsid w:val="01595315"/>
    <w:rsid w:val="44220F16"/>
    <w:rsid w:val="65274FBD"/>
    <w:rsid w:val="676F4DEE"/>
    <w:rsid w:val="7D61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0.emf"/><Relationship Id="rId16" Type="http://schemas.openxmlformats.org/officeDocument/2006/relationships/oleObject" Target="embeddings/oleObject4.bin"/><Relationship Id="rId15" Type="http://schemas.openxmlformats.org/officeDocument/2006/relationships/image" Target="media/image9.emf"/><Relationship Id="rId14" Type="http://schemas.openxmlformats.org/officeDocument/2006/relationships/oleObject" Target="embeddings/oleObject3.bin"/><Relationship Id="rId13" Type="http://schemas.openxmlformats.org/officeDocument/2006/relationships/image" Target="media/image8.emf"/><Relationship Id="rId12" Type="http://schemas.openxmlformats.org/officeDocument/2006/relationships/oleObject" Target="embeddings/oleObject2.bin"/><Relationship Id="rId11" Type="http://schemas.openxmlformats.org/officeDocument/2006/relationships/image" Target="media/image7.emf"/><Relationship Id="rId10" Type="http://schemas.openxmlformats.org/officeDocument/2006/relationships/oleObject" Target="embeddings/oleObject1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2023-12-24T06:00:00Z</dcterms:created>
  <dc:creator>wind~</dc:creator>
  <cp:lastModifiedBy>wind~</cp:lastModifiedBy>
  <dcterms:modified xsi:type="dcterms:W3CDTF">2023-12-27T01:31:00Z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2573565CD4C9418C89FCFEBC6725A27F_11</vt:lpwstr>
  </property>
</Properties>
</file>