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Variables query code in MIMIC-IV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S2.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Subgroup analysis with 90-day mortality as the outcome event. With the exception of the stratified variable itself, the adjustment approach is the same as for Model 3 in the manuscript.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S3.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Subgroup analysis with 180-day mortality as the outcome event. With the exception of the stratified variable itself, the adjustment approach is the same as for Model 3 in the manuscript.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Distributions of variables with missing data comparing observed complete case data to results from pooling the datasets with imputed variables from multiple imputation. Abbreviations: BMI: body mass index; WBC: white blood cell; RBC: red blood cell; PLT: platelet.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4"/>
          <w:szCs w:val="24"/>
        </w:rPr>
        <w:t>0-day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using raw data. Model: we adjusted for age, sex (male, female), BMI, </w:t>
      </w:r>
      <w:r>
        <w:rPr>
          <w:rFonts w:hint="default" w:ascii="Times New Roman" w:hAnsi="Times New Roman" w:eastAsia="宋体" w:cs="Times New Roman"/>
          <w:sz w:val="24"/>
          <w:szCs w:val="24"/>
        </w:rPr>
        <w:t>WBC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sz w:val="24"/>
          <w:szCs w:val="24"/>
        </w:rPr>
        <w:t>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444444"/>
          <w:sz w:val="24"/>
          <w:szCs w:val="24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sz w:val="24"/>
          <w:szCs w:val="24"/>
        </w:rPr>
        <w:t>iabetes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no). (n=1358)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4"/>
          <w:szCs w:val="24"/>
        </w:rPr>
        <w:t>0-day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We additionally adjusted for SIRS (systemic inflammatory response) and SOF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A (sequential organ failure assessment). Model: we adjusted for age, sex (male, female), BMI,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iabetes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no), 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SIRS and SOFA. (n=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1360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1.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Variables query code in MIMIC-IV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51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51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Query code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Acute myocardial infarction</w:t>
            </w:r>
          </w:p>
        </w:tc>
        <w:tc>
          <w:tcPr>
            <w:tcW w:w="51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41001, 41002, 41011, 41012, 41021, 41022, 41031, 41041, 41042, 41051, 41081, 41082, 41091, 41092, I2101, I2102, I2109, I2111, I2119, I2121, I2129, I213, I214, I219, I21A1, I21A9, I222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Hypertension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4010, 4011, 4019, 40591, I10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Cardiogenic shock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78551, R570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Atrial fibrillation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42731; I480; I481; I4811; I4819; I482; I4820; I4821; I4891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hronic kidney disease stage 5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40311; 40391; 40413; 40493; I120; I1311; I132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Cardiac arrest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4275, I46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H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eart failure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cute heart failure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42821, 42823, 42831, 42833, 42841, 42843, I5021, I5023, I5031, I5033, I5043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 xml:space="preserve">chronic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heart failure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I5043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,42822;42832;42842;42843;I5022;I5032;I5042;</w:t>
            </w:r>
          </w:p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I50812;I50813;I5084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Diabetes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E10, E11, E13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Malignant tumor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C220; D0462; 2330; 17331; Z85821; D0511; C44310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asoactive drugs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norepinephrine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221906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dopamine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221662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epinephrine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221289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eoxyadrenaline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221749; 229630; 229632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obutamine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221653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Antihypertensive drugs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 xml:space="preserve">angiotensin converting enzyme inhibitors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BENA10; BENA20; BENA5; CAPT1; CAPT125; CAPT25; EMLA2.5; ENAL/P2.5; ENAL/P5; ENAL1.25I; ENAL10; ENAL25I; ENAL25IVPB; ENAL5; FOSI10; FOSI20; FOSI40; LISI10; LISI2.5; LISI20; LISI5; LOTR5/20; MOEX15; MOEX7.5; QUIN20; QUIN5; RAMI/PLACIND; RAMI125; RAMI5; TRAN1; TRAN2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angiotensin II receptor blockers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CAND16; CAND4; COZA25; COZAA50; ENTR24/26; ENTR49/51; ENTR97/103; IRBE150; IRBE300; LCZ696/50; LCZ696/P50; OLME20; TELM20; VALS160; VALS40; VALS80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calcium-channel blockers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ADAL30; ADAL60; ADAL90; AMLO25; AMLO5; CLEV25I; EG-1962/P; FELO2.5; ISRA25; LOTR5/20; NICA2.5I; NICA20; NICA30; NICA40PM; NIFE10; NIMO30; NIMO30/P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NIMO30/PS; NIMO30L; SYRINGEPD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lonidine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CATA1; CATA2; CLON1I; CLON5I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hydralazine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HYDZ10; HYDZ20I; HYDZ25; HYDZ50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 xml:space="preserve"> diuretic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FURO100DES; FURO100I; FURO100PB; FURO100S; FURO10L; FURO10S; FURO1MCGS; FURO1S; FURO20; FURO20I; FURO40; FURO40/20I; FURO40HIND; FURO40I; FURO40ILF; FURO40L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FURO80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,SPIR100; SPIR12.5HT; SPIR25,BISO5; CHL500I; CHL500PB; CHLO250; DYAZ1; HCTZ12.5; HCTZ25; HCTZ50; MAXZ25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beta blockers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BISO5; METO12.5HT; METO1L; METO25; METO37.5; METO50; METO5I; METOSUSP; METOSUSP10L; TOPR100; TOPR25; TOPR50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ntilipidemic drugs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ATOR/40/P; ATOR/PLACIND; ATOR10; ATOR20; ATOR40; ATOR80; ATORSTUDY; FLUV20; IMIP500I; LIPI40BN; LOVA20; MICO2P; MYC30O; MYCO2C; NYST100P; NYST100V; NYST500T; NYST5L; NYST60L; NYST60LSM; NYSTC; NYSTO; PENT10I; PENT10SYR; PENTO10I; PRAV10; PRAV10L; PRAV20; PRAV40; ROSU20; ROSU20INV; ROSU5; SIMV10; SIMV40; SIMVIND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FENO145; FENO48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ntiplatelets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AGGRCAP; ASA300R; ASA325; ASA600R; ASA81; ASA81EC; ASAB325; ASAEC325; ASPI20.25QT; ASPI325INDP; ASPI40.5HT; ASPI81/PLB; ASPI81INDP; ASPIDESEN; FIOR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,CLO025L; CLOP.25L; CLOP0.5L; CLOP01L; CLOP05L; CLOP15L; CLOP1L; CLOP2.5L; CLOP300; CLOP5L; CLOP7.5L; CLOP75; CLOP75/P; CLOP75/PIND; CLOPIND; NACLFLUSH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Insulin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1740，27413，44340，47172，47780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Weight (Kg)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226512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RBC 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(K/µL)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51279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Platelet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(K/µL)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51265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WBC (K/µL)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51755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 xml:space="preserve">Creatinine (mg/dL)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52024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Glucose (mg/dL)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220621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HbA1c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val="en-US" w:eastAsia="zh-CN"/>
              </w:rPr>
              <w:t xml:space="preserve"> (%)</w:t>
            </w:r>
          </w:p>
        </w:tc>
        <w:tc>
          <w:tcPr>
            <w:tcW w:w="51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50852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pacing w:val="20"/>
          <w:sz w:val="24"/>
          <w:szCs w:val="24"/>
          <w:lang w:val="en-US" w:eastAsia="zh-CN"/>
        </w:rPr>
        <w:t>S2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000008"/>
          <w:sz w:val="24"/>
          <w:szCs w:val="24"/>
        </w:rPr>
        <w:t xml:space="preserve">Subgroup analysis with </w:t>
      </w:r>
      <w:r>
        <w:rPr>
          <w:rFonts w:hint="eastAsia" w:ascii="Times New Roman" w:hAnsi="Times New Roman" w:cs="Times New Roman"/>
          <w:color w:val="000008"/>
          <w:sz w:val="24"/>
          <w:szCs w:val="24"/>
          <w:lang w:val="en-US" w:eastAsia="zh-CN"/>
        </w:rPr>
        <w:t>90</w:t>
      </w:r>
      <w:r>
        <w:rPr>
          <w:rFonts w:hint="eastAsia" w:ascii="Times New Roman" w:hAnsi="Times New Roman" w:cs="Times New Roman"/>
          <w:color w:val="000008"/>
          <w:sz w:val="24"/>
          <w:szCs w:val="24"/>
        </w:rPr>
        <w:t>-day mortality as the outcome event</w:t>
      </w:r>
      <w:r>
        <w:rPr>
          <w:rFonts w:hint="eastAsia" w:ascii="Times New Roman" w:hAnsi="Times New Roman" w:cs="Times New Roman"/>
          <w:color w:val="000008"/>
          <w:sz w:val="24"/>
          <w:szCs w:val="24"/>
          <w:lang w:val="en-US" w:eastAsia="zh-CN"/>
        </w:rPr>
        <w:t>. With the exception of the stratified variable itself, the adjustment approach is the same as for Model 3 in the manuscript.</w:t>
      </w:r>
    </w:p>
    <w:tbl>
      <w:tblPr>
        <w:tblStyle w:val="2"/>
        <w:tblpPr w:leftFromText="180" w:rightFromText="180" w:vertAnchor="text" w:horzAnchor="page" w:tblpX="1774" w:tblpY="594"/>
        <w:tblOverlap w:val="never"/>
        <w:tblW w:w="8936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1537"/>
        <w:gridCol w:w="1363"/>
        <w:gridCol w:w="872"/>
        <w:gridCol w:w="1481"/>
        <w:gridCol w:w="1564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Subgroups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639" w:leftChars="0"/>
              <w:jc w:val="center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Hemoglobin glycation index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quartiles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564" w:type="dxa"/>
            <w:tcBorders>
              <w:top w:val="single" w:color="auto" w:sz="4" w:space="0"/>
            </w:tcBorders>
            <w:shd w:val="clear" w:color="auto" w:fill="FFFFFF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 w:leftChars="0"/>
              <w:jc w:val="lef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vMerge w:val="continue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 w:leftChars="0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 w:leftChars="0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872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148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639" w:leftChars="0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1564" w:type="dxa"/>
            <w:tcBorders>
              <w:top w:val="single" w:color="auto" w:sz="4" w:space="0"/>
            </w:tcBorders>
            <w:shd w:val="clear" w:color="auto" w:fill="FFFFFF"/>
            <w:vAlign w:val="top"/>
          </w:tcPr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9"/>
              <w:jc w:val="right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position w:val="1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27"/>
                <w:kern w:val="0"/>
                <w:position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for interaction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0.86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 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1.72 (0.61, 4.79)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1.21 (0.39, 3.74)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1.38 (0.46, 4.16)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≥ 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1.96 (1.18, 3.25)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1.23 (0.69, 2.19)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1.02 (0.56, 1.86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1.92 (1.07, 3.44)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1.32 (0.70, 2.48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1.17 (0.61, 2.24)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2.18 (1.05, 4.53)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0.94 (0.40, 2.26)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1.23 (0.51, 2.93)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BMI, kg/m2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&lt; 25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1.66 (0.75, 3.64)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1.15 (0.49, 2.71)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1.36 (0.54, 3.42)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≥ 25, &lt;30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2.97 (1.33, 6.66)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1.58 (0.56, 4.42)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1.40 (0.53, 3.67)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≥ 30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1.49 (0.64, 3.48)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1.16 (0.48, 2.79)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1.11 (0.43, 2.91)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06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2.30 (1.28, 4.15)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1.02 (0.51, 2.05)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1.69 (0.89, 3.23)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1.77 (0.86, 3.62)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1.59 (0.73, 3.45)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0.44 (0.15, 1.34)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Heart failure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1.95 (1.05, 3.63)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1.09 (0.55, 2.16)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0.67 (0.31, 1.43)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 xml:space="preserve">2.14 (1.08, 4.23)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1.35 (0.61, 2.99)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1.99 (0.94, 4.19)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1.60 (0.96, 2.68)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1.05 (0.60, 1.86)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0.92 (0.52, 1.64)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5.61 (1.86, 16.92)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2.07 (0.57, 7.45)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3.70 (1.00, 13.63)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2.54 (1.41, 4.59)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 xml:space="preserve">1.38 (0.70, 2.71)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1.39 (0.53, 3.65)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1.99 (0.96, 4.15)</w:t>
            </w:r>
          </w:p>
        </w:tc>
        <w:tc>
          <w:tcPr>
            <w:tcW w:w="1363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1.16 (0.49, 2.78)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872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  <w:t>1.10 (0.55, 2.20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) </w:t>
            </w:r>
          </w:p>
        </w:tc>
        <w:tc>
          <w:tcPr>
            <w:tcW w:w="1564" w:type="dxa"/>
            <w:tcBorders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eastAsia="宋体" w:cs="Times New Roman"/>
          <w:color w:val="000008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pacing w:val="20"/>
          <w:sz w:val="24"/>
          <w:szCs w:val="24"/>
          <w:lang w:val="en-US" w:eastAsia="zh-CN"/>
        </w:rPr>
        <w:t>S3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000008"/>
          <w:sz w:val="24"/>
          <w:szCs w:val="24"/>
        </w:rPr>
        <w:t xml:space="preserve">Subgroup analysis with </w:t>
      </w:r>
      <w:r>
        <w:rPr>
          <w:rFonts w:hint="eastAsia" w:ascii="Times New Roman" w:hAnsi="Times New Roman" w:cs="Times New Roman"/>
          <w:color w:val="000008"/>
          <w:sz w:val="24"/>
          <w:szCs w:val="24"/>
          <w:lang w:val="en-US" w:eastAsia="zh-CN"/>
        </w:rPr>
        <w:t>180</w:t>
      </w:r>
      <w:r>
        <w:rPr>
          <w:rFonts w:hint="eastAsia" w:ascii="Times New Roman" w:hAnsi="Times New Roman" w:cs="Times New Roman"/>
          <w:color w:val="000008"/>
          <w:sz w:val="24"/>
          <w:szCs w:val="24"/>
        </w:rPr>
        <w:t>-day mortality as the outcome event</w:t>
      </w:r>
      <w:r>
        <w:rPr>
          <w:rFonts w:hint="eastAsia" w:ascii="Times New Roman" w:hAnsi="Times New Roman" w:cs="Times New Roman"/>
          <w:color w:val="000008"/>
          <w:sz w:val="24"/>
          <w:szCs w:val="24"/>
          <w:lang w:val="en-US" w:eastAsia="zh-CN"/>
        </w:rPr>
        <w:t>. With the exception of the stratified variable itself, the adjustment approach is the same as for Model 3 in the manuscript.</w:t>
      </w:r>
    </w:p>
    <w:tbl>
      <w:tblPr>
        <w:tblStyle w:val="2"/>
        <w:tblpPr w:leftFromText="180" w:rightFromText="180" w:vertAnchor="text" w:horzAnchor="page" w:tblpX="1784" w:tblpY="261"/>
        <w:tblOverlap w:val="never"/>
        <w:tblW w:w="8936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1537"/>
        <w:gridCol w:w="1363"/>
        <w:gridCol w:w="872"/>
        <w:gridCol w:w="1481"/>
        <w:gridCol w:w="1564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Subgroups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639" w:leftChars="0"/>
              <w:jc w:val="center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Hemoglobin glycation index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quartiles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564" w:type="dxa"/>
            <w:tcBorders>
              <w:top w:val="single" w:color="auto" w:sz="4" w:space="0"/>
            </w:tcBorders>
            <w:shd w:val="clear" w:color="auto" w:fill="FFFFFF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 w:leftChars="0"/>
              <w:jc w:val="lef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vMerge w:val="continue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 w:leftChars="0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 w:leftChars="0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872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148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639" w:leftChars="0"/>
              <w:jc w:val="right"/>
              <w:textAlignment w:val="baseline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1564" w:type="dxa"/>
            <w:tcBorders>
              <w:top w:val="single" w:color="auto" w:sz="4" w:space="0"/>
            </w:tcBorders>
            <w:shd w:val="clear" w:color="auto" w:fill="FFFFFF"/>
            <w:vAlign w:val="top"/>
          </w:tcPr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9"/>
              <w:jc w:val="right"/>
              <w:textAlignment w:val="baseline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position w:val="1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27"/>
                <w:kern w:val="0"/>
                <w:position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for interaction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 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1.74 (0.68, 4.46)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1.37 (0.50, 3.75)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1.24 (0.44, 3.46)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≥ 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1.55 (1.00, 2.40)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1.17 (0.72, 1.89)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0.72 (0.42, 1.23)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1.59 (0.95, 2.66)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1.39 (0.81, 2.37)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0.91 (0.51, 1.62)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1.76 (0.93, 3.30)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0.82 (0.39, 1.72)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0.85 (0.39, 1.88)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BMI, kg/m2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&lt; 25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1.49 (0.76, 2.91)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1.08 (0.53, 2.23)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1.03 (0.45, 2.36)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≥ 25, &lt;30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2.33 (1.12, 4.81)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2.08 (0.89, 4.83)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1.18 (0.49, 2.80)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≥ 30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1.29 (0.62, 2.68)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1.08 (0.51, 2.32)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0.68 (0.29, 1.61)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1.63 (0.99, 2.66)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0.97 (0.55, 1.69)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1.13 (0.65, 1.96)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1.79 (0.92, 3.49)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1.68 (0.84, 3.38)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0.32 (0.11, 0.91)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Heart failure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1.82 (1.05, 3.16)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1.34 (0.76, 2.37)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0.57 (0.29, 1.14)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1.45 (0.81, 2.59)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0.99 (0.49, 1.98)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1.26 (0.65, 2.43) </w:t>
            </w:r>
          </w:p>
        </w:tc>
        <w:tc>
          <w:tcPr>
            <w:tcW w:w="1564" w:type="dxa"/>
            <w:shd w:val="clear" w:color="auto" w:fill="FFFFFF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1.43 (0.91, 2.24)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1.14 (0.71, 1.84)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0.73 (0.43, 1.23)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4.35 (1.64, 11.51)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1.80 (0.58, 5.65)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2.60 (0.79, 8.55)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2.05 (1.22, 3.42)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1.31 (0.75, 2.31) </w:t>
            </w:r>
          </w:p>
        </w:tc>
        <w:tc>
          <w:tcPr>
            <w:tcW w:w="87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1.00 (0.40, 2.50) </w:t>
            </w:r>
          </w:p>
        </w:tc>
        <w:tc>
          <w:tcPr>
            <w:tcW w:w="1564" w:type="dxa"/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37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1.62 (0.85, 3.11) </w:t>
            </w:r>
          </w:p>
        </w:tc>
        <w:tc>
          <w:tcPr>
            <w:tcW w:w="1363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1.24 (0.60, 2.59) </w:t>
            </w:r>
          </w:p>
        </w:tc>
        <w:tc>
          <w:tcPr>
            <w:tcW w:w="872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481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0.84 (0.46, 1.55) </w:t>
            </w:r>
          </w:p>
        </w:tc>
        <w:tc>
          <w:tcPr>
            <w:tcW w:w="1564" w:type="dxa"/>
            <w:tcBorders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Distributions of variables with missing data comparing observed complete case data to results from pooling the datasets with imputed variables from multiple imputation. Abbreviations: BMI: body mass index; WBC: white blood cell; RBC: red blood cell; PLT: platelet.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379"/>
        <w:gridCol w:w="1277"/>
        <w:gridCol w:w="1317"/>
        <w:gridCol w:w="1358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379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8"/>
                <w:sz w:val="18"/>
                <w:szCs w:val="18"/>
              </w:rPr>
              <w:t>Level</w:t>
            </w:r>
            <w:r>
              <w:rPr>
                <w:rFonts w:hint="default" w:ascii="Times New Roman" w:hAnsi="Times New Roman" w:cs="Times New Roman"/>
                <w:color w:val="000008"/>
                <w:spacing w:val="35"/>
                <w:sz w:val="18"/>
                <w:szCs w:val="18"/>
              </w:rPr>
              <w:t>/</w:t>
            </w:r>
            <w:r>
              <w:rPr>
                <w:rFonts w:hint="default" w:ascii="Times New Roman" w:hAnsi="Times New Roman" w:cs="Times New Roman"/>
                <w:color w:val="000008"/>
                <w:sz w:val="18"/>
                <w:szCs w:val="18"/>
              </w:rPr>
              <w:t>Unit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8"/>
                <w:spacing w:val="7"/>
                <w:sz w:val="18"/>
                <w:szCs w:val="18"/>
              </w:rPr>
              <w:t>Number (%) with missing data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Complete case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Multiple imputation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8"/>
                <w:spacing w:val="-4"/>
                <w:sz w:val="18"/>
                <w:szCs w:val="18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BMI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kg/m2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29.63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29.69 (6.62) 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29.20 (7.56)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WBC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(1000 cells/uL)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1.02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10.78 (4.66)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10.85 (4.94)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RBC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(1000 cells/uL)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0.31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4.31 (0.73)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4.30 (0.74)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PLT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(1000 cells/uL)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2.86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235.16 (78.10) 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234.38 (78.29) 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Creatinine (mg/dL)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Median (interquartile range)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1.00 (0.80-1.20)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1.00 (0.80-1.20)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0.914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4"/>
          <w:szCs w:val="24"/>
        </w:rPr>
        <w:t>0-day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using raw data. Model: we adjusted for age, sex (male, female), BMI, </w:t>
      </w:r>
      <w:r>
        <w:rPr>
          <w:rFonts w:hint="default" w:ascii="Times New Roman" w:hAnsi="Times New Roman" w:eastAsia="宋体" w:cs="Times New Roman"/>
          <w:sz w:val="24"/>
          <w:szCs w:val="24"/>
        </w:rPr>
        <w:t>WBC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sz w:val="24"/>
          <w:szCs w:val="24"/>
        </w:rPr>
        <w:t>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444444"/>
          <w:sz w:val="24"/>
          <w:szCs w:val="24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sz w:val="24"/>
          <w:szCs w:val="24"/>
        </w:rPr>
        <w:t>iabetes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insulin (yes, no)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no). (n=1358)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</w:p>
    <w:tbl>
      <w:tblPr>
        <w:tblStyle w:val="2"/>
        <w:tblW w:w="5875" w:type="pct"/>
        <w:tblInd w:w="-47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1743"/>
        <w:gridCol w:w="1648"/>
        <w:gridCol w:w="1451"/>
        <w:gridCol w:w="1814"/>
        <w:gridCol w:w="16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37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9" w:type="pct"/>
            <w:gridSpan w:val="4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Hemoglobin glycation index (HGI) quartile</w:t>
            </w: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737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 w:leftChars="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Q1</w:t>
            </w: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 w:leftChars="0"/>
              <w:jc w:val="right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right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92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right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righ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P for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trend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37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89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1.85 (1.05, 3.27)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1.15 (0.61, 2.18)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before="8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ref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1.30 (0.69, 2.46)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/>
              <w:ind w:left="212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0.091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righ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268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4"/>
                <w:kern w:val="0"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4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2"/>
                <w:kern w:val="0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37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spacing w:val="12"/>
                <w:kern w:val="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</w:t>
            </w:r>
          </w:p>
        </w:tc>
        <w:tc>
          <w:tcPr>
            <w:tcW w:w="89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1.61 (1.04, 2.66)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*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45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1.08 (0.62, 1.87)</w:t>
            </w: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41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92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1.01 (0.57, 1.79)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34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</w:tr>
    </w:tbl>
    <w:p/>
    <w:p/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4"/>
          <w:szCs w:val="24"/>
        </w:rPr>
        <w:t>0-day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We additionally adjusted for SIRS (systemic inflammatory response) and SOF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A (sequential organ failure assessment). Model: we adjusted for age, sex (male, female), BMI,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iabetes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insulin (yes, no)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no), 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SIRS and SOFA. (n=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1360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</w:p>
    <w:tbl>
      <w:tblPr>
        <w:tblStyle w:val="2"/>
        <w:tblW w:w="5875" w:type="pct"/>
        <w:tblInd w:w="-47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1461"/>
        <w:gridCol w:w="1894"/>
        <w:gridCol w:w="1498"/>
        <w:gridCol w:w="2058"/>
        <w:gridCol w:w="1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439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1" w:type="dxa"/>
            <w:gridSpan w:val="4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 w:left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Hemoglobin glycation index (HGI) quartile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 w:left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439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 w:leftChars="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Q1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 w:leftChars="0"/>
              <w:jc w:val="right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 w:leftChars="0"/>
              <w:jc w:val="right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 w:leftChars="0"/>
              <w:jc w:val="right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 w:leftChars="0"/>
              <w:jc w:val="righ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P for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trend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439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1461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1.79 (1.08, 2.95)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*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/>
              <w:ind w:left="345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1.14 (0.64, 2.04)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before="8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ref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1.12 (0.63, 2.00)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/>
              <w:ind w:left="212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righ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268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4"/>
                <w:kern w:val="0"/>
                <w:sz w:val="18"/>
                <w:szCs w:val="18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4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2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spacing w:val="12"/>
                <w:kern w:val="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1.63 (1.04, 2.57)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*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45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1.22 (0.73, 2.03)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41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0.91 (0.54, 1.55)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34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MmI4NjgwN2I2NGQwNDAzZmEyZGI5NmQwYTJkYmUifQ=="/>
  </w:docVars>
  <w:rsids>
    <w:rsidRoot w:val="00000000"/>
    <w:rsid w:val="11832CB9"/>
    <w:rsid w:val="118B433D"/>
    <w:rsid w:val="2121312D"/>
    <w:rsid w:val="4B7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2023-10-27T03:31:00Z</dcterms:created>
  <dc:creator>lenovo</dc:creator>
  <cp:lastModifiedBy>来期</cp:lastModifiedBy>
  <dcterms:modified xsi:type="dcterms:W3CDTF">2024-03-19T12:58:01Z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A442BC80B1064604955EB5CD8D617429_13</vt:lpwstr>
  </property>
</Properties>
</file>