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2FBB2A" w14:textId="5B854E44" w:rsidR="00715DBD" w:rsidRPr="00A21DB2" w:rsidRDefault="00715DBD" w:rsidP="00715DBD">
      <w:pPr>
        <w:rPr>
          <w:b/>
          <w:bCs/>
          <w:u w:val="single"/>
        </w:rPr>
      </w:pPr>
      <w:bookmarkStart w:id="0" w:name="_Toc16159679"/>
      <w:r w:rsidRPr="00A21DB2">
        <w:rPr>
          <w:b/>
          <w:bCs/>
          <w:u w:val="single"/>
        </w:rPr>
        <w:t>A</w:t>
      </w:r>
      <w:r>
        <w:rPr>
          <w:b/>
          <w:bCs/>
          <w:u w:val="single"/>
        </w:rPr>
        <w:t>ppendix</w:t>
      </w:r>
      <w:r w:rsidRPr="00A21DB2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6</w:t>
      </w:r>
      <w:r w:rsidRPr="00A21DB2">
        <w:rPr>
          <w:b/>
          <w:bCs/>
          <w:u w:val="single"/>
        </w:rPr>
        <w:t>: Significant Safety Issues (SSI) - some examples</w:t>
      </w:r>
      <w:bookmarkEnd w:id="0"/>
    </w:p>
    <w:p w14:paraId="212C3A03" w14:textId="77777777" w:rsidR="00715DBD" w:rsidRDefault="00715DBD" w:rsidP="00715DBD">
      <w:pPr>
        <w:spacing w:before="180"/>
        <w:jc w:val="both"/>
      </w:pPr>
      <w:r>
        <w:t xml:space="preserve">Examples below have been extracted from the NHMRC’s “Safety monitoring and reporting in clinical trials involving therapeutic goods” (November 2016) </w:t>
      </w:r>
    </w:p>
    <w:p w14:paraId="38BA5364" w14:textId="77777777" w:rsidR="00715DBD" w:rsidRDefault="00715DBD" w:rsidP="00715DBD">
      <w:pPr>
        <w:numPr>
          <w:ilvl w:val="0"/>
          <w:numId w:val="1"/>
        </w:numPr>
        <w:spacing w:after="0"/>
        <w:jc w:val="both"/>
      </w:pPr>
      <w:r>
        <w:t xml:space="preserve">a serious adverse event that could be associated with the trial procedures and that requires modification of the conduct of the trial </w:t>
      </w:r>
    </w:p>
    <w:p w14:paraId="5F1DF60C" w14:textId="594A1D22" w:rsidR="00715DBD" w:rsidRDefault="00715DBD" w:rsidP="00715DBD">
      <w:pPr>
        <w:numPr>
          <w:ilvl w:val="0"/>
          <w:numId w:val="1"/>
        </w:numPr>
        <w:spacing w:after="0"/>
        <w:jc w:val="both"/>
      </w:pPr>
      <w:r>
        <w:t>a hazard to the patient population, such as lack of efficacy of an investigational medicinal product used for the treatment of a life-threatening disease</w:t>
      </w:r>
    </w:p>
    <w:p w14:paraId="763CC705" w14:textId="77777777" w:rsidR="00715DBD" w:rsidRDefault="00715DBD" w:rsidP="00715DBD">
      <w:pPr>
        <w:numPr>
          <w:ilvl w:val="0"/>
          <w:numId w:val="1"/>
        </w:numPr>
        <w:spacing w:after="0"/>
        <w:jc w:val="both"/>
      </w:pPr>
      <w:r>
        <w:t xml:space="preserve">a temporary halt/termination of a trial for safety reasons </w:t>
      </w:r>
    </w:p>
    <w:p w14:paraId="14AC022E" w14:textId="77777777" w:rsidR="00715DBD" w:rsidRDefault="00715DBD" w:rsidP="00715DBD">
      <w:pPr>
        <w:numPr>
          <w:ilvl w:val="0"/>
          <w:numId w:val="1"/>
        </w:numPr>
        <w:spacing w:after="0"/>
        <w:jc w:val="both"/>
      </w:pPr>
      <w:r>
        <w:t xml:space="preserve">recommendations of the Data Safety Monitoring Board, where relevant for the safety of participants, such as an increase in frequency or severity of an expected adverse reaction </w:t>
      </w:r>
    </w:p>
    <w:p w14:paraId="25DC5FD3" w14:textId="77777777" w:rsidR="00715DBD" w:rsidRDefault="00715DBD" w:rsidP="00715DBD">
      <w:pPr>
        <w:numPr>
          <w:ilvl w:val="0"/>
          <w:numId w:val="1"/>
        </w:numPr>
        <w:spacing w:after="0"/>
        <w:jc w:val="both"/>
      </w:pPr>
      <w:r>
        <w:t>single case events (e.g. toxic epidermal necrolysis, agranulocytosis, hepatic failure) that lead to an urgent safety measure</w:t>
      </w:r>
    </w:p>
    <w:p w14:paraId="1254F593" w14:textId="77777777" w:rsidR="00715DBD" w:rsidRDefault="00715DBD" w:rsidP="00715DBD">
      <w:pPr>
        <w:jc w:val="both"/>
      </w:pPr>
    </w:p>
    <w:p w14:paraId="605DCCA9" w14:textId="77777777" w:rsidR="00715DBD" w:rsidRDefault="00715DBD" w:rsidP="00715DBD">
      <w:pPr>
        <w:jc w:val="both"/>
      </w:pPr>
      <w:r>
        <w:t>Examples below have been extracted from the TGA’s “Pharmacovigilance responsibilities of medicine sponsors: Australian recommendations and requirements” Version 2.0, September 2017</w:t>
      </w:r>
    </w:p>
    <w:p w14:paraId="09815B72" w14:textId="77777777" w:rsidR="00715DBD" w:rsidRDefault="00715DBD" w:rsidP="00715DBD">
      <w:pPr>
        <w:numPr>
          <w:ilvl w:val="0"/>
          <w:numId w:val="2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safety-related actions by comparable international regulatory agencies such as the:</w:t>
      </w:r>
    </w:p>
    <w:p w14:paraId="429DD50B" w14:textId="77777777" w:rsidR="00715DBD" w:rsidRDefault="00715DBD" w:rsidP="00715DBD">
      <w:pPr>
        <w:numPr>
          <w:ilvl w:val="1"/>
          <w:numId w:val="3"/>
        </w:numPr>
        <w:spacing w:after="0" w:line="240" w:lineRule="auto"/>
        <w:ind w:left="1134"/>
        <w:jc w:val="both"/>
        <w:rPr>
          <w:color w:val="000000"/>
        </w:rPr>
      </w:pPr>
      <w:r>
        <w:rPr>
          <w:color w:val="000000"/>
        </w:rPr>
        <w:t xml:space="preserve">withdrawal or suspension of the medicine’s availability </w:t>
      </w:r>
    </w:p>
    <w:p w14:paraId="3C02DC6A" w14:textId="77777777" w:rsidR="00715DBD" w:rsidRDefault="00715DBD" w:rsidP="00715DBD">
      <w:pPr>
        <w:numPr>
          <w:ilvl w:val="1"/>
          <w:numId w:val="3"/>
        </w:numPr>
        <w:spacing w:after="0" w:line="240" w:lineRule="auto"/>
        <w:ind w:left="1134"/>
        <w:jc w:val="both"/>
        <w:rPr>
          <w:color w:val="000000"/>
        </w:rPr>
      </w:pPr>
      <w:r>
        <w:rPr>
          <w:color w:val="000000"/>
        </w:rPr>
        <w:t xml:space="preserve">addition or modification, for safety reasons, of a contraindication, warning or precaution statement to the product information or label </w:t>
      </w:r>
    </w:p>
    <w:p w14:paraId="54CEAB0B" w14:textId="77777777" w:rsidR="00715DBD" w:rsidRDefault="00715DBD" w:rsidP="00715DBD">
      <w:pPr>
        <w:numPr>
          <w:ilvl w:val="1"/>
          <w:numId w:val="3"/>
        </w:numPr>
        <w:spacing w:after="0" w:line="240" w:lineRule="auto"/>
        <w:ind w:left="1134"/>
        <w:jc w:val="both"/>
        <w:rPr>
          <w:color w:val="000000"/>
        </w:rPr>
      </w:pPr>
      <w:r>
        <w:rPr>
          <w:color w:val="000000"/>
        </w:rPr>
        <w:t xml:space="preserve">modification or removal, for safety reasons, of an indication. </w:t>
      </w:r>
    </w:p>
    <w:p w14:paraId="1784AB5A" w14:textId="77777777" w:rsidR="00715DBD" w:rsidRDefault="00715DBD" w:rsidP="00715DBD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changes in the nature, severity or frequency of known serious adverse reactions which are medically significant </w:t>
      </w:r>
    </w:p>
    <w:p w14:paraId="57AE53D1" w14:textId="77777777" w:rsidR="00715DBD" w:rsidRDefault="00715DBD" w:rsidP="00715DBD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detection of new risk factors for the development of a known adverse reaction or a new serious adverse reaction that may impact on the safety or benefit-risk balance of the medicine </w:t>
      </w:r>
    </w:p>
    <w:p w14:paraId="55D254A3" w14:textId="77777777" w:rsidR="00715DBD" w:rsidRDefault="00715DBD" w:rsidP="00715DBD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series of reports of similar or linked adverse reactions reported at the same time (that is, a cluster) assessed to suggest a quality defect issue that may have implications for public health </w:t>
      </w:r>
    </w:p>
    <w:p w14:paraId="0105D7A5" w14:textId="77777777" w:rsidR="00715DBD" w:rsidRDefault="00715DBD" w:rsidP="00715DBD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an unusual and significant lack of efficacy occurring in or outside Australia that may have implications for public health </w:t>
      </w:r>
    </w:p>
    <w:p w14:paraId="582E9408" w14:textId="77777777" w:rsidR="00715DBD" w:rsidRDefault="00715DBD" w:rsidP="00715DBD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major safety findings from a newly completed non-clinical study, post-registration study or clinical trial that may impact the benefit-risk balance of the medicine on the ARTG </w:t>
      </w:r>
    </w:p>
    <w:p w14:paraId="108BD068" w14:textId="77777777" w:rsidR="00715DBD" w:rsidRDefault="00715DBD" w:rsidP="00715DBD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safety issues related to any raw materials used in the medicine that may impact the safety of the medicine and/or have implications for public health </w:t>
      </w:r>
    </w:p>
    <w:p w14:paraId="5C69A965" w14:textId="77777777" w:rsidR="003A2E43" w:rsidRDefault="003A2E43"/>
    <w:sectPr w:rsidR="003A2E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D17A94"/>
    <w:multiLevelType w:val="multilevel"/>
    <w:tmpl w:val="937227B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–"/>
      <w:lvlJc w:val="left"/>
      <w:pPr>
        <w:ind w:left="144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A0F17FC"/>
    <w:multiLevelType w:val="multilevel"/>
    <w:tmpl w:val="ACA0E8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EB2487A"/>
    <w:multiLevelType w:val="multilevel"/>
    <w:tmpl w:val="55E0F8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DBD"/>
    <w:rsid w:val="003A2E43"/>
    <w:rsid w:val="00715DBD"/>
    <w:rsid w:val="00791A00"/>
    <w:rsid w:val="00A82F12"/>
    <w:rsid w:val="00C7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78C12"/>
  <w15:chartTrackingRefBased/>
  <w15:docId w15:val="{DBFFA74C-298C-42D8-90C3-6F07A9BC5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5D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347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Nasserallah</dc:creator>
  <cp:keywords/>
  <dc:description/>
  <cp:lastModifiedBy>Michael Nasserallah</cp:lastModifiedBy>
  <cp:revision>2</cp:revision>
  <dcterms:created xsi:type="dcterms:W3CDTF">2020-10-16T02:56:00Z</dcterms:created>
  <dcterms:modified xsi:type="dcterms:W3CDTF">2020-10-16T03:32:00Z</dcterms:modified>
</cp:coreProperties>
</file>