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  <Override PartName="/word/footer1.xml" ContentType="application/vnd.openxmlformats-officedocument.wordprocessingml.footer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1" w:name="cheers-2022-checklist"/>
    <w:p>
      <w:pPr>
        <w:pStyle w:val="Heading1"/>
      </w:pPr>
      <w:r>
        <w:t xml:space="preserve">CHEERS 2022 Checklist</w:t>
      </w:r>
    </w:p>
    <w:tbl xmlns:w="http://schemas.openxmlformats.org/wordprocessingml/2006/main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pic="http://schemas.openxmlformats.org/drawingml/2006/picture">
      <w:tblPr>
        <w:tblLayout w:type="autofit"/>
        <w:jc w:val="center"/>
        <w:tblLook w:firstRow="1" w:lastRow="0" w:firstColumn="0" w:lastColumn="0" w:noHBand="0" w:noVBand="1"/>
      </w:tblPr>
      <w:tr>
        <w:trPr>
          <w:cantSplit/>
          <w:trHeight w:val="360" w:hRule="auto"/>
          <w:tblHeader/>
        </w:trPr>
        <w:tc>
          <w:tcPr>
            <w:tcBorders>
              <w:bottom w:val="single" w:sz="8" w:space="0" w:color="000000"/>
              <w:top w:val="single" w:sz="8" w:space="0" w:color="000000"/>
              <w:left w:val="single" w:sz="8" w:space="0" w:color="000000"/>
            </w:tcBorders>
            <w:shd w:val="clear" w:color="auto" w:fill="63639A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b/>
                <w:sz w:val="18"/>
                <w:szCs w:val="18"/>
                <w:color w:val="FFFFFF"/>
              </w:rPr>
              <w:t xml:space="preserve">Topic</w:t>
            </w:r>
          </w:p>
        </w:tc>
        <w:tc>
          <w:tcPr>
            <w:tcBorders>
              <w:bottom w:val="single" w:sz="8" w:space="0" w:color="000000"/>
              <w:top w:val="single" w:sz="8" w:space="0" w:color="000000"/>
            </w:tcBorders>
            <w:shd w:val="clear" w:color="auto" w:fill="63639A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b/>
                <w:sz w:val="18"/>
                <w:szCs w:val="18"/>
                <w:color w:val="FFFFFF"/>
              </w:rPr>
              <w:t xml:space="preserve">No.</w:t>
            </w:r>
          </w:p>
        </w:tc>
        <w:tc>
          <w:tcPr>
            <w:tcBorders>
              <w:bottom w:val="single" w:sz="8" w:space="0" w:color="000000"/>
              <w:top w:val="single" w:sz="8" w:space="0" w:color="000000"/>
            </w:tcBorders>
            <w:shd w:val="clear" w:color="auto" w:fill="63639A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b/>
                <w:sz w:val="18"/>
                <w:szCs w:val="18"/>
                <w:color w:val="FFFFFF"/>
              </w:rPr>
              <w:t xml:space="preserve">Item</w:t>
            </w:r>
          </w:p>
        </w:tc>
        <w:tc>
          <w:tcPr>
            <w:tcBorders>
              <w:bottom w:val="single" w:sz="8" w:space="0" w:color="000000"/>
              <w:top w:val="single" w:sz="8" w:space="0" w:color="000000"/>
              <w:right w:val="single" w:sz="8" w:space="0" w:color="000000"/>
            </w:tcBorders>
            <w:shd w:val="clear" w:color="auto" w:fill="63639A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b/>
                <w:sz w:val="18"/>
                <w:szCs w:val="18"/>
                <w:color w:val="FFFFFF"/>
              </w:rPr>
              <w:t xml:space="preserve">Location where item is reported</w:t>
            </w:r>
          </w:p>
        </w:tc>
      </w:tr>
      <w:tr>
        <w:trPr>
          <w:cantSplit/>
          <w:trHeight w:val="360" w:hRule="auto"/>
        </w:trPr>
        <w:tc>
          <w:tcPr>
            <w:vMerge w:val="restart"/>
            <w:tcBorders>
              <w:left w:val="single" w:sz="8" w:space="0" w:color="000000"/>
            </w:tcBorders>
            <w:shd w:val="clear" w:color="auto" w:fill="FFFFCC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b/>
                <w:sz w:val="18"/>
                <w:szCs w:val="18"/>
                <w:color w:val="000000"/>
              </w:rPr>
              <w:t xml:space="preserve">Title</w:t>
            </w:r>
          </w:p>
        </w:tc>
        <w:tc>
          <w:tcPr>
            <w:tcBorders/>
            <w:shd w:val="clear" w:color="auto" w:fill="FFFFCC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/>
            <w:shd w:val="clear" w:color="auto" w:fill="FFFFCC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>
              <w:right w:val="single" w:sz="8" w:space="0" w:color="000000"/>
            </w:tcBorders>
            <w:shd w:val="clear" w:color="auto" w:fill="FFFFCC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/>
            </w:r>
          </w:p>
        </w:tc>
      </w:tr>
      <w:tr>
        <w:trPr>
          <w:cantSplit/>
          <w:trHeight w:val="360" w:hRule="auto"/>
        </w:trPr>
        <w:tc>
          <w:tcPr>
            <w:vMerge/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1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Identify the study as an economic evaluation and specify the interventions being compared.</w:t>
            </w:r>
          </w:p>
        </w:tc>
        <w:tc>
          <w:tcPr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Title Page</w:t>
            </w:r>
          </w:p>
        </w:tc>
      </w:tr>
      <w:tr>
        <w:trPr>
          <w:cantSplit/>
          <w:trHeight w:val="360" w:hRule="auto"/>
        </w:trPr>
        <w:tc>
          <w:tcPr>
            <w:vMerge w:val="restart"/>
            <w:tcBorders>
              <w:left w:val="single" w:sz="8" w:space="0" w:color="000000"/>
            </w:tcBorders>
            <w:shd w:val="clear" w:color="auto" w:fill="FFFFCC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b/>
                <w:sz w:val="18"/>
                <w:szCs w:val="18"/>
                <w:color w:val="000000"/>
              </w:rPr>
              <w:t xml:space="preserve">Abstract</w:t>
            </w:r>
          </w:p>
        </w:tc>
        <w:tc>
          <w:tcPr>
            <w:tcBorders/>
            <w:shd w:val="clear" w:color="auto" w:fill="FFFFCC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/>
            <w:shd w:val="clear" w:color="auto" w:fill="FFFFCC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>
              <w:right w:val="single" w:sz="8" w:space="0" w:color="000000"/>
            </w:tcBorders>
            <w:shd w:val="clear" w:color="auto" w:fill="FFFFCC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/>
            </w:r>
          </w:p>
        </w:tc>
      </w:tr>
      <w:tr>
        <w:trPr>
          <w:cantSplit/>
          <w:trHeight w:val="360" w:hRule="auto"/>
        </w:trPr>
        <w:tc>
          <w:tcPr>
            <w:vMerge/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2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Provide a structured summary that highlights context, key methods, results, and alternative analyses.</w:t>
            </w:r>
          </w:p>
        </w:tc>
        <w:tc>
          <w:tcPr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Title Page</w:t>
            </w:r>
          </w:p>
        </w:tc>
      </w:tr>
      <w:tr>
        <w:trPr>
          <w:cantSplit/>
          <w:trHeight w:val="360" w:hRule="auto"/>
        </w:trPr>
        <w:tc>
          <w:tcPr>
            <w:tcBorders>
              <w:left w:val="single" w:sz="8" w:space="0" w:color="000000"/>
            </w:tcBorders>
            <w:shd w:val="clear" w:color="auto" w:fill="FFFFCC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b/>
                <w:sz w:val="18"/>
                <w:szCs w:val="18"/>
                <w:color w:val="000000"/>
              </w:rPr>
              <w:t xml:space="preserve">Introduction</w:t>
            </w:r>
          </w:p>
        </w:tc>
        <w:tc>
          <w:tcPr>
            <w:tcBorders/>
            <w:shd w:val="clear" w:color="auto" w:fill="FFFFCC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/>
            <w:shd w:val="clear" w:color="auto" w:fill="FFFFCC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>
              <w:right w:val="single" w:sz="8" w:space="0" w:color="000000"/>
            </w:tcBorders>
            <w:shd w:val="clear" w:color="auto" w:fill="FFFFCC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/>
            </w:r>
          </w:p>
        </w:tc>
      </w:tr>
      <w:tr>
        <w:trPr>
          <w:cantSplit/>
          <w:trHeight w:val="360" w:hRule="auto"/>
        </w:trPr>
        <w:tc>
          <w:tcPr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b/>
                <w:sz w:val="18"/>
                <w:szCs w:val="18"/>
                <w:color w:val="000000"/>
              </w:rPr>
              <w:t xml:space="preserve">Background and objectives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3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Give the context for the study, the study question, and its practical relevance for decision making in policy or practice.</w:t>
            </w:r>
          </w:p>
        </w:tc>
        <w:tc>
          <w:tcPr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1-33</w:t>
            </w:r>
          </w:p>
        </w:tc>
      </w:tr>
      <w:tr>
        <w:trPr>
          <w:cantSplit/>
          <w:trHeight w:val="360" w:hRule="auto"/>
        </w:trPr>
        <w:tc>
          <w:tcPr>
            <w:tcBorders>
              <w:left w:val="single" w:sz="8" w:space="0" w:color="000000"/>
            </w:tcBorders>
            <w:shd w:val="clear" w:color="auto" w:fill="FFFFCC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b/>
                <w:sz w:val="18"/>
                <w:szCs w:val="18"/>
                <w:color w:val="000000"/>
              </w:rPr>
              <w:t xml:space="preserve">Methods</w:t>
            </w:r>
          </w:p>
        </w:tc>
        <w:tc>
          <w:tcPr>
            <w:tcBorders/>
            <w:shd w:val="clear" w:color="auto" w:fill="FFFFCC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/>
            <w:shd w:val="clear" w:color="auto" w:fill="FFFFCC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>
              <w:right w:val="single" w:sz="8" w:space="0" w:color="000000"/>
            </w:tcBorders>
            <w:shd w:val="clear" w:color="auto" w:fill="FFFFCC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/>
            </w:r>
          </w:p>
        </w:tc>
      </w:tr>
      <w:tr>
        <w:trPr>
          <w:cantSplit/>
          <w:trHeight w:val="360" w:hRule="auto"/>
        </w:trPr>
        <w:tc>
          <w:tcPr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b/>
                <w:sz w:val="18"/>
                <w:szCs w:val="18"/>
                <w:color w:val="000000"/>
              </w:rPr>
              <w:t xml:space="preserve">Health economic analysis plan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4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Indicate whether a health economic analysis plan was developed and where available.</w:t>
            </w:r>
          </w:p>
        </w:tc>
        <w:tc>
          <w:tcPr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N/A</w:t>
            </w:r>
          </w:p>
        </w:tc>
      </w:tr>
      <w:tr>
        <w:trPr>
          <w:cantSplit/>
          <w:trHeight w:val="360" w:hRule="auto"/>
        </w:trPr>
        <w:tc>
          <w:tcPr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b/>
                <w:sz w:val="18"/>
                <w:szCs w:val="18"/>
                <w:color w:val="000000"/>
              </w:rPr>
              <w:t xml:space="preserve">Study population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5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Describe characteristics of the study population (such as age range, demographics, socioeconomic, or clinical characteristics).</w:t>
            </w:r>
          </w:p>
        </w:tc>
        <w:tc>
          <w:tcPr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43-62</w:t>
            </w:r>
          </w:p>
        </w:tc>
      </w:tr>
      <w:tr>
        <w:trPr>
          <w:cantSplit/>
          <w:trHeight w:val="360" w:hRule="auto"/>
        </w:trPr>
        <w:tc>
          <w:tcPr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b/>
                <w:sz w:val="18"/>
                <w:szCs w:val="18"/>
                <w:color w:val="000000"/>
              </w:rPr>
              <w:t xml:space="preserve">Setting and location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6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Provide relevant contextual information that may influence findings.</w:t>
            </w:r>
          </w:p>
        </w:tc>
        <w:tc>
          <w:tcPr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73-76</w:t>
            </w:r>
          </w:p>
        </w:tc>
      </w:tr>
      <w:tr>
        <w:trPr>
          <w:cantSplit/>
          <w:trHeight w:val="360" w:hRule="auto"/>
        </w:trPr>
        <w:tc>
          <w:tcPr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b/>
                <w:sz w:val="18"/>
                <w:szCs w:val="18"/>
                <w:color w:val="000000"/>
              </w:rPr>
              <w:t xml:space="preserve">Comparators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7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Describe the interventions or strategies being compared and why chosen.</w:t>
            </w:r>
          </w:p>
        </w:tc>
        <w:tc>
          <w:tcPr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63-72</w:t>
            </w:r>
          </w:p>
        </w:tc>
      </w:tr>
      <w:tr>
        <w:trPr>
          <w:cantSplit/>
          <w:trHeight w:val="360" w:hRule="auto"/>
        </w:trPr>
        <w:tc>
          <w:tcPr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b/>
                <w:sz w:val="18"/>
                <w:szCs w:val="18"/>
                <w:color w:val="000000"/>
              </w:rPr>
              <w:t xml:space="preserve">Perspective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8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State the perspective(s) adopted by the study and why chosen.</w:t>
            </w:r>
          </w:p>
        </w:tc>
        <w:tc>
          <w:tcPr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40</w:t>
            </w:r>
          </w:p>
        </w:tc>
      </w:tr>
      <w:tr>
        <w:trPr>
          <w:cantSplit/>
          <w:trHeight w:val="360" w:hRule="auto"/>
        </w:trPr>
        <w:tc>
          <w:tcPr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b/>
                <w:sz w:val="18"/>
                <w:szCs w:val="18"/>
                <w:color w:val="000000"/>
              </w:rPr>
              <w:t xml:space="preserve">Time horizon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9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State the time horizon for the study and why appropriate.</w:t>
            </w:r>
          </w:p>
        </w:tc>
        <w:tc>
          <w:tcPr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40-41</w:t>
            </w:r>
          </w:p>
        </w:tc>
      </w:tr>
      <w:tr>
        <w:trPr>
          <w:cantSplit/>
          <w:trHeight w:val="360" w:hRule="auto"/>
        </w:trPr>
        <w:tc>
          <w:tcPr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b/>
                <w:sz w:val="18"/>
                <w:szCs w:val="18"/>
                <w:color w:val="000000"/>
              </w:rPr>
              <w:t xml:space="preserve">Discount rate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10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Report the discount rate(s) and reason chosen.</w:t>
            </w:r>
          </w:p>
        </w:tc>
        <w:tc>
          <w:tcPr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165-172</w:t>
            </w:r>
          </w:p>
        </w:tc>
      </w:tr>
      <w:tr>
        <w:trPr>
          <w:cantSplit/>
          <w:trHeight w:val="360" w:hRule="auto"/>
        </w:trPr>
        <w:tc>
          <w:tcPr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b/>
                <w:sz w:val="18"/>
                <w:szCs w:val="18"/>
                <w:color w:val="000000"/>
              </w:rPr>
              <w:t xml:space="preserve">Selection of outcomes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11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Describe what outcomes were used as the measure(s) of benefit(s) and harm(s).</w:t>
            </w:r>
          </w:p>
        </w:tc>
        <w:tc>
          <w:tcPr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78-89</w:t>
            </w:r>
          </w:p>
        </w:tc>
      </w:tr>
      <w:tr>
        <w:trPr>
          <w:cantSplit/>
          <w:trHeight w:val="360" w:hRule="auto"/>
        </w:trPr>
        <w:tc>
          <w:tcPr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b/>
                <w:sz w:val="18"/>
                <w:szCs w:val="18"/>
                <w:color w:val="000000"/>
              </w:rPr>
              <w:t xml:space="preserve">Measurement of outcomes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12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Describe how outcomes used to capture benefit(s) and harm(s) were measured.</w:t>
            </w:r>
          </w:p>
        </w:tc>
        <w:tc>
          <w:tcPr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90-105</w:t>
            </w:r>
          </w:p>
        </w:tc>
      </w:tr>
      <w:tr>
        <w:trPr>
          <w:cantSplit/>
          <w:trHeight w:val="360" w:hRule="auto"/>
        </w:trPr>
        <w:tc>
          <w:tcPr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b/>
                <w:sz w:val="18"/>
                <w:szCs w:val="18"/>
                <w:color w:val="000000"/>
              </w:rPr>
              <w:t xml:space="preserve">Valuation of outcomes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13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Describe the population and methods used to measure and value outcomes.</w:t>
            </w:r>
          </w:p>
        </w:tc>
        <w:tc>
          <w:tcPr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42-76</w:t>
            </w:r>
          </w:p>
        </w:tc>
      </w:tr>
      <w:tr>
        <w:trPr>
          <w:cantSplit/>
          <w:trHeight w:val="360" w:hRule="auto"/>
        </w:trPr>
        <w:tc>
          <w:tcPr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b/>
                <w:sz w:val="18"/>
                <w:szCs w:val="18"/>
                <w:color w:val="000000"/>
              </w:rPr>
              <w:t xml:space="preserve">Measurement and valuation of resources and costs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14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Describe how costs were valued.</w:t>
            </w:r>
          </w:p>
        </w:tc>
        <w:tc>
          <w:tcPr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106-140</w:t>
            </w:r>
          </w:p>
        </w:tc>
      </w:tr>
      <w:tr>
        <w:trPr>
          <w:cantSplit/>
          <w:trHeight w:val="360" w:hRule="auto"/>
        </w:trPr>
        <w:tc>
          <w:tcPr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b/>
                <w:sz w:val="18"/>
                <w:szCs w:val="18"/>
                <w:color w:val="000000"/>
              </w:rPr>
              <w:t xml:space="preserve">Currency, price date, and conversion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15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Report the dates of the estimated resource quantities and unit costs, plus the currency and year of conversion.</w:t>
            </w:r>
          </w:p>
        </w:tc>
        <w:tc>
          <w:tcPr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106, 147-148, Figure 2</w:t>
            </w:r>
          </w:p>
        </w:tc>
      </w:tr>
      <w:tr>
        <w:trPr>
          <w:cantSplit/>
          <w:trHeight w:val="360" w:hRule="auto"/>
        </w:trPr>
        <w:tc>
          <w:tcPr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b/>
                <w:sz w:val="18"/>
                <w:szCs w:val="18"/>
                <w:color w:val="000000"/>
              </w:rPr>
              <w:t xml:space="preserve">Rationale and description of model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16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If modelling is used, describe in detail and why used. Report if the model is publicly available and where it can be accessed.</w:t>
            </w:r>
          </w:p>
        </w:tc>
        <w:tc>
          <w:tcPr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N/A</w:t>
            </w:r>
          </w:p>
        </w:tc>
      </w:tr>
      <w:tr>
        <w:trPr>
          <w:cantSplit/>
          <w:trHeight w:val="360" w:hRule="auto"/>
        </w:trPr>
        <w:tc>
          <w:tcPr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b/>
                <w:sz w:val="18"/>
                <w:szCs w:val="18"/>
                <w:color w:val="000000"/>
              </w:rPr>
              <w:t xml:space="preserve">Analytics and assumptions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17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Describe any methods for analysing or statistically transforming data, any extrapolation methods, and approaches for validating any model used.</w:t>
            </w:r>
          </w:p>
        </w:tc>
        <w:tc>
          <w:tcPr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163-173</w:t>
            </w:r>
          </w:p>
        </w:tc>
      </w:tr>
      <w:tr>
        <w:trPr>
          <w:cantSplit/>
          <w:trHeight w:val="360" w:hRule="auto"/>
        </w:trPr>
        <w:tc>
          <w:tcPr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b/>
                <w:sz w:val="18"/>
                <w:szCs w:val="18"/>
                <w:color w:val="000000"/>
              </w:rPr>
              <w:t xml:space="preserve">Characterising heterogeneity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18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Describe any methods used for estimating how the results of the study vary for subgroups.</w:t>
            </w:r>
          </w:p>
        </w:tc>
        <w:tc>
          <w:tcPr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149-158</w:t>
            </w:r>
          </w:p>
        </w:tc>
      </w:tr>
      <w:tr>
        <w:trPr>
          <w:cantSplit/>
          <w:trHeight w:val="360" w:hRule="auto"/>
        </w:trPr>
        <w:tc>
          <w:tcPr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b/>
                <w:sz w:val="18"/>
                <w:szCs w:val="18"/>
                <w:color w:val="000000"/>
              </w:rPr>
              <w:t xml:space="preserve">Characterising distributional effects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19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Describe how impacts are distributed across different individuals or adjustments made to reflect priority populations.</w:t>
            </w:r>
          </w:p>
        </w:tc>
        <w:tc>
          <w:tcPr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190-192</w:t>
            </w:r>
          </w:p>
        </w:tc>
      </w:tr>
      <w:tr>
        <w:trPr>
          <w:cantSplit/>
          <w:trHeight w:val="360" w:hRule="auto"/>
        </w:trPr>
        <w:tc>
          <w:tcPr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b/>
                <w:sz w:val="18"/>
                <w:szCs w:val="18"/>
                <w:color w:val="000000"/>
              </w:rPr>
              <w:t xml:space="preserve">Characterising uncertainty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20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Describe methods to characterise any sources of uncertainty in the analysis.</w:t>
            </w:r>
          </w:p>
        </w:tc>
        <w:tc>
          <w:tcPr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169-173</w:t>
            </w:r>
          </w:p>
        </w:tc>
      </w:tr>
      <w:tr>
        <w:trPr>
          <w:cantSplit/>
          <w:trHeight w:val="360" w:hRule="auto"/>
        </w:trPr>
        <w:tc>
          <w:tcPr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b/>
                <w:sz w:val="18"/>
                <w:szCs w:val="18"/>
                <w:color w:val="000000"/>
              </w:rPr>
              <w:t xml:space="preserve">Approach to engagement with patients and others affected by the study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21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Describe any approaches to engage patients or service recipients, the general public, communities, or stakeholders (such as clinicians or payers) in the design of the study.</w:t>
            </w:r>
          </w:p>
        </w:tc>
        <w:tc>
          <w:tcPr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N/A</w:t>
            </w:r>
          </w:p>
        </w:tc>
      </w:tr>
      <w:tr>
        <w:trPr>
          <w:cantSplit/>
          <w:trHeight w:val="360" w:hRule="auto"/>
        </w:trPr>
        <w:tc>
          <w:tcPr>
            <w:tcBorders>
              <w:left w:val="single" w:sz="8" w:space="0" w:color="000000"/>
            </w:tcBorders>
            <w:shd w:val="clear" w:color="auto" w:fill="FFFFCC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b/>
                <w:sz w:val="18"/>
                <w:szCs w:val="18"/>
                <w:color w:val="000000"/>
              </w:rPr>
              <w:t xml:space="preserve">Results</w:t>
            </w:r>
          </w:p>
        </w:tc>
        <w:tc>
          <w:tcPr>
            <w:tcBorders/>
            <w:shd w:val="clear" w:color="auto" w:fill="FFFFCC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/>
            <w:shd w:val="clear" w:color="auto" w:fill="FFFFCC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>
              <w:right w:val="single" w:sz="8" w:space="0" w:color="000000"/>
            </w:tcBorders>
            <w:shd w:val="clear" w:color="auto" w:fill="FFFFCC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/>
            </w:r>
          </w:p>
        </w:tc>
      </w:tr>
      <w:tr>
        <w:trPr>
          <w:cantSplit/>
          <w:trHeight w:val="360" w:hRule="auto"/>
        </w:trPr>
        <w:tc>
          <w:tcPr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b/>
                <w:sz w:val="18"/>
                <w:szCs w:val="18"/>
                <w:color w:val="000000"/>
              </w:rPr>
              <w:t xml:space="preserve">Study parameters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22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Report all analytic inputs (such as values, ranges, references) including uncertainty or distributional assumptions.</w:t>
            </w:r>
          </w:p>
        </w:tc>
        <w:tc>
          <w:tcPr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176-179, Tables 1,2,3</w:t>
            </w:r>
          </w:p>
        </w:tc>
      </w:tr>
      <w:tr>
        <w:trPr>
          <w:cantSplit/>
          <w:trHeight w:val="360" w:hRule="auto"/>
        </w:trPr>
        <w:tc>
          <w:tcPr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b/>
                <w:sz w:val="18"/>
                <w:szCs w:val="18"/>
                <w:color w:val="000000"/>
              </w:rPr>
              <w:t xml:space="preserve">Summary of main results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23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Report the mean values for the main categories of costs and outcomes of interest and summarise them in the most appropriate overall measure.</w:t>
            </w:r>
          </w:p>
        </w:tc>
        <w:tc>
          <w:tcPr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181-209</w:t>
            </w:r>
          </w:p>
        </w:tc>
      </w:tr>
      <w:tr>
        <w:trPr>
          <w:cantSplit/>
          <w:trHeight w:val="360" w:hRule="auto"/>
        </w:trPr>
        <w:tc>
          <w:tcPr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b/>
                <w:sz w:val="18"/>
                <w:szCs w:val="18"/>
                <w:color w:val="000000"/>
              </w:rPr>
              <w:t xml:space="preserve">Effect of uncertainty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24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Describe how uncertainty about analytic judgments, inputs, or projections affect findings. Report the effect of choice of discount rate and time horizon, if applicable.</w:t>
            </w:r>
          </w:p>
        </w:tc>
        <w:tc>
          <w:tcPr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210-213</w:t>
            </w:r>
          </w:p>
        </w:tc>
      </w:tr>
      <w:tr>
        <w:trPr>
          <w:cantSplit/>
          <w:trHeight w:val="360" w:hRule="auto"/>
        </w:trPr>
        <w:tc>
          <w:tcPr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b/>
                <w:sz w:val="18"/>
                <w:szCs w:val="18"/>
                <w:color w:val="000000"/>
              </w:rPr>
              <w:t xml:space="preserve">Effect of engagement with patients and others affected by the study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25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Report on any difference patient/service recipient, general public, community, or stakeholder involvement made to the approach or findings of the study</w:t>
            </w:r>
          </w:p>
        </w:tc>
        <w:tc>
          <w:tcPr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N/A</w:t>
            </w:r>
          </w:p>
        </w:tc>
      </w:tr>
      <w:tr>
        <w:trPr>
          <w:cantSplit/>
          <w:trHeight w:val="360" w:hRule="auto"/>
        </w:trPr>
        <w:tc>
          <w:tcPr>
            <w:tcBorders>
              <w:left w:val="single" w:sz="8" w:space="0" w:color="000000"/>
            </w:tcBorders>
            <w:shd w:val="clear" w:color="auto" w:fill="FFFFCC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b/>
                <w:sz w:val="18"/>
                <w:szCs w:val="18"/>
                <w:color w:val="000000"/>
              </w:rPr>
              <w:t xml:space="preserve">Discussion</w:t>
            </w:r>
          </w:p>
        </w:tc>
        <w:tc>
          <w:tcPr>
            <w:tcBorders/>
            <w:shd w:val="clear" w:color="auto" w:fill="FFFFCC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/>
            <w:shd w:val="clear" w:color="auto" w:fill="FFFFCC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>
              <w:right w:val="single" w:sz="8" w:space="0" w:color="000000"/>
            </w:tcBorders>
            <w:shd w:val="clear" w:color="auto" w:fill="FFFFCC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/>
            </w:r>
          </w:p>
        </w:tc>
      </w:tr>
      <w:tr>
        <w:trPr>
          <w:cantSplit/>
          <w:trHeight w:val="360" w:hRule="auto"/>
        </w:trPr>
        <w:tc>
          <w:tcPr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b/>
                <w:sz w:val="18"/>
                <w:szCs w:val="18"/>
                <w:color w:val="000000"/>
              </w:rPr>
              <w:t xml:space="preserve">Study findings, limitations, generalisability, and current knowledge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26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Report key findings, limitations, ethical or equity considerations not captured, and how these could affect patients, policy, or practice.</w:t>
            </w:r>
          </w:p>
        </w:tc>
        <w:tc>
          <w:tcPr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215-290</w:t>
            </w:r>
          </w:p>
        </w:tc>
      </w:tr>
      <w:tr>
        <w:trPr>
          <w:cantSplit/>
          <w:trHeight w:val="360" w:hRule="auto"/>
        </w:trPr>
        <w:tc>
          <w:tcPr>
            <w:tcBorders>
              <w:left w:val="single" w:sz="8" w:space="0" w:color="000000"/>
            </w:tcBorders>
            <w:shd w:val="clear" w:color="auto" w:fill="FFFFCC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b/>
                <w:sz w:val="18"/>
                <w:szCs w:val="18"/>
                <w:color w:val="000000"/>
              </w:rPr>
              <w:t xml:space="preserve">Other relevant information</w:t>
            </w:r>
          </w:p>
        </w:tc>
        <w:tc>
          <w:tcPr>
            <w:tcBorders/>
            <w:shd w:val="clear" w:color="auto" w:fill="FFFFCC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/>
            <w:shd w:val="clear" w:color="auto" w:fill="FFFFCC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>
              <w:right w:val="single" w:sz="8" w:space="0" w:color="000000"/>
            </w:tcBorders>
            <w:shd w:val="clear" w:color="auto" w:fill="FFFFCC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/>
            </w:r>
          </w:p>
        </w:tc>
      </w:tr>
      <w:tr>
        <w:trPr>
          <w:cantSplit/>
          <w:trHeight w:val="360" w:hRule="auto"/>
        </w:trPr>
        <w:tc>
          <w:tcPr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b/>
                <w:sz w:val="18"/>
                <w:szCs w:val="18"/>
                <w:color w:val="000000"/>
              </w:rPr>
              <w:t xml:space="preserve">Source of funding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27</w:t>
            </w:r>
          </w:p>
        </w:tc>
        <w:tc>
          <w:tcPr>
            <w:tcBorders/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Describe how the study was funded and any role of the funder in the identification, design, conduct, and reporting of the analysis</w:t>
            </w:r>
          </w:p>
        </w:tc>
        <w:tc>
          <w:tcPr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300-306</w:t>
            </w:r>
          </w:p>
        </w:tc>
      </w:tr>
      <w:tr>
        <w:trPr>
          <w:cantSplit/>
          <w:trHeight w:val="360" w:hRule="auto"/>
        </w:trPr>
        <w:tc>
          <w:tcPr>
            <w:tcBorders>
              <w:bottom w:val="single" w:sz="8" w:space="0" w:color="000000"/>
              <w:lef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b/>
                <w:sz w:val="18"/>
                <w:szCs w:val="18"/>
                <w:color w:val="000000"/>
              </w:rPr>
              <w:t xml:space="preserve">Conflicts of interest</w:t>
            </w:r>
          </w:p>
        </w:tc>
        <w:tc>
          <w:tcPr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28</w:t>
            </w:r>
          </w:p>
        </w:tc>
        <w:tc>
          <w:tcPr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left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Report authors conflicts of interest according to journal or International Committee of Medical Journal Editors requirements.</w:t>
            </w:r>
          </w:p>
        </w:tc>
        <w:tc>
          <w:tcPr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top"/>
          </w:tcPr>
          <w:p>
            <w:pPr>
              <w:jc w:val="center"/>
              <w:spacing w:after="100" w:before="100" w:line="240"/>
              <w:ind w:firstLine="0" w:left="100" w:right="100"/>
            </w:pPr>
            <w:r xmlns:w="http://schemas.openxmlformats.org/wordprocessingml/2006/main" xmlns:wp="http://schemas.openxmlformats.org/drawingml/2006/wordprocessingDrawing" xmlns:r="http://schemas.openxmlformats.org/officeDocument/2006/relationships" xmlns:w14="http://schemas.microsoft.com/office/word/2010/wordml">
              <w:rPr>
                <w:rFonts w:ascii="DejaVu Sans" w:hAnsi="DejaVu Sans" w:eastAsia="DejaVu Sans" w:cs="DejaVu Sans"/>
                <w:sz w:val="18"/>
                <w:szCs w:val="18"/>
                <w:color w:val="000000"/>
              </w:rPr>
              <w:t xml:space="preserve">308-314</w:t>
            </w:r>
          </w:p>
        </w:tc>
      </w:tr>
    </w:tbl>
    <w:p>
      <w:pPr>
        <w:pStyle w:val="FirstParagraph"/>
      </w:pPr>
      <w:r>
        <w:t xml:space="preserve"> </w:t>
      </w:r>
    </w:p>
    <w:p>
      <w:pPr>
        <w:pStyle w:val="BodyText"/>
      </w:pPr>
      <w:r>
        <w:rPr>
          <w:iCs/>
          <w:i/>
        </w:rPr>
        <w:t xml:space="preserve">From:</w:t>
      </w:r>
      <w:r>
        <w:t xml:space="preserve"> </w:t>
      </w:r>
      <w:r>
        <w:t xml:space="preserve">Husereau D, Drummond M, Augustovski F, et al. Consolidated Health Economic Evaluation Reporting Standards 2022 (CHEERS 2022) Explanation and Elaboration: A Report of the ISPOR CHEERS II Good Practices Task Force. Value Health 2022;25.</w:t>
      </w:r>
      <w:r>
        <w:t xml:space="preserve"> </w:t>
      </w:r>
      <w:hyperlink r:id="rId20">
        <w:r>
          <w:rPr>
            <w:rStyle w:val="Hyperlink"/>
          </w:rPr>
          <w:t xml:space="preserve">doi:10.1016/j.jval.2021.10.008</w:t>
        </w:r>
      </w:hyperlink>
    </w:p>
    <w:bookmarkEnd w:id="21"/>
    <w:sectPr w:rsidR="003A669F" w:rsidRPr="003A669F" w:rsidSect="00D548B8">
      <w:footerReference r:id="rId9" w:type="default"/>
      <w:pgSz w:h="15840" w:w="12240"/>
      <w:pgMar w:bottom="1440" w:footer="720" w:gutter="0" w:header="720" w:left="1440" w:right="1440" w:top="1440"/>
      <w:cols w:space="720"/>
      <w:docGrid w:linePitch="326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22085816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879750F" w14:textId="4106D592" w:rsidR="00FC37A3" w:rsidRDefault="00FC37A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87BD134" w14:textId="77777777" w:rsidR="00FC37A3" w:rsidRDefault="00FC37A3">
    <w:pPr>
      <w:pStyle w:val="Footer"/>
    </w:pPr>
  </w:p>
</w:ftr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aink="http://schemas.microsoft.com/office/drawing/2016/ink" xmlns:am3d="http://schemas.microsoft.com/office/drawing/2017/model3d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="http://schemas.openxmlformats.org/officeDocument/2006/math"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16cid w16 w16cex wp14">
  <w:abstractNum w15:restartNumberingAfterBreak="0" w:abstractNumId="0">
    <w:nsid w:val="810381D9"/>
    <w:multiLevelType w:val="multilevel"/>
    <w:tmpl w:val="9B9E7A1A"/>
    <w:lvl w:ilvl="0">
      <w:numFmt w:val="bullet"/>
      <w:lvlText w:val=" "/>
      <w:lvlJc w:val="left"/>
      <w:pPr>
        <w:tabs>
          <w:tab w:pos="0" w:val="num"/>
        </w:tabs>
        <w:ind w:hanging="480" w:left="480"/>
      </w:pPr>
    </w:lvl>
    <w:lvl w:ilvl="1">
      <w:numFmt w:val="bullet"/>
      <w:lvlText w:val=" "/>
      <w:lvlJc w:val="left"/>
      <w:pPr>
        <w:tabs>
          <w:tab w:pos="720" w:val="num"/>
        </w:tabs>
        <w:ind w:hanging="480" w:left="1200"/>
      </w:pPr>
    </w:lvl>
    <w:lvl w:ilvl="2">
      <w:numFmt w:val="bullet"/>
      <w:lvlText w:val=" "/>
      <w:lvlJc w:val="left"/>
      <w:pPr>
        <w:tabs>
          <w:tab w:pos="1440" w:val="num"/>
        </w:tabs>
        <w:ind w:hanging="480" w:left="1920"/>
      </w:pPr>
    </w:lvl>
    <w:lvl w:ilvl="3">
      <w:numFmt w:val="bullet"/>
      <w:lvlText w:val=" "/>
      <w:lvlJc w:val="left"/>
      <w:pPr>
        <w:tabs>
          <w:tab w:pos="2160" w:val="num"/>
        </w:tabs>
        <w:ind w:hanging="480" w:left="2640"/>
      </w:pPr>
    </w:lvl>
    <w:lvl w:ilvl="4">
      <w:numFmt w:val="bullet"/>
      <w:lvlText w:val=" "/>
      <w:lvlJc w:val="left"/>
      <w:pPr>
        <w:tabs>
          <w:tab w:pos="2880" w:val="num"/>
        </w:tabs>
        <w:ind w:hanging="480" w:left="3360"/>
      </w:pPr>
    </w:lvl>
    <w:lvl w:ilvl="5">
      <w:numFmt w:val="bullet"/>
      <w:lvlText w:val=" "/>
      <w:lvlJc w:val="left"/>
      <w:pPr>
        <w:tabs>
          <w:tab w:pos="3600" w:val="num"/>
        </w:tabs>
        <w:ind w:hanging="480" w:left="4080"/>
      </w:pPr>
    </w:lvl>
    <w:lvl w:ilvl="6">
      <w:numFmt w:val="bullet"/>
      <w:lvlText w:val=" "/>
      <w:lvlJc w:val="left"/>
      <w:pPr>
        <w:tabs>
          <w:tab w:pos="4320" w:val="num"/>
        </w:tabs>
        <w:ind w:hanging="480" w:left="480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15:restartNumberingAfterBreak="0" w:abstractNumId="1">
    <w:nsid w:val="E17F69BA"/>
    <w:multiLevelType w:val="multilevel"/>
    <w:tmpl w:val="41908794"/>
    <w:lvl w:ilvl="0">
      <w:numFmt w:val="bullet"/>
      <w:lvlText w:val=" "/>
      <w:lvlJc w:val="left"/>
      <w:pPr>
        <w:tabs>
          <w:tab w:pos="0" w:val="num"/>
        </w:tabs>
        <w:ind w:hanging="480" w:left="480"/>
      </w:pPr>
    </w:lvl>
    <w:lvl w:ilvl="1">
      <w:numFmt w:val="bullet"/>
      <w:lvlText w:val=" "/>
      <w:lvlJc w:val="left"/>
      <w:pPr>
        <w:tabs>
          <w:tab w:pos="720" w:val="num"/>
        </w:tabs>
        <w:ind w:hanging="480" w:left="1200"/>
      </w:pPr>
    </w:lvl>
    <w:lvl w:ilvl="2">
      <w:numFmt w:val="bullet"/>
      <w:lvlText w:val=" "/>
      <w:lvlJc w:val="left"/>
      <w:pPr>
        <w:tabs>
          <w:tab w:pos="1440" w:val="num"/>
        </w:tabs>
        <w:ind w:hanging="480" w:left="1920"/>
      </w:pPr>
    </w:lvl>
    <w:lvl w:ilvl="3">
      <w:numFmt w:val="bullet"/>
      <w:lvlText w:val=" "/>
      <w:lvlJc w:val="left"/>
      <w:pPr>
        <w:tabs>
          <w:tab w:pos="2160" w:val="num"/>
        </w:tabs>
        <w:ind w:hanging="480" w:left="2640"/>
      </w:pPr>
    </w:lvl>
    <w:lvl w:ilvl="4">
      <w:numFmt w:val="bullet"/>
      <w:lvlText w:val=" "/>
      <w:lvlJc w:val="left"/>
      <w:pPr>
        <w:tabs>
          <w:tab w:pos="2880" w:val="num"/>
        </w:tabs>
        <w:ind w:hanging="480" w:left="3360"/>
      </w:pPr>
    </w:lvl>
    <w:lvl w:ilvl="5">
      <w:numFmt w:val="bullet"/>
      <w:lvlText w:val=" "/>
      <w:lvlJc w:val="left"/>
      <w:pPr>
        <w:tabs>
          <w:tab w:pos="3600" w:val="num"/>
        </w:tabs>
        <w:ind w:hanging="480" w:left="4080"/>
      </w:pPr>
    </w:lvl>
    <w:lvl w:ilvl="6">
      <w:numFmt w:val="bullet"/>
      <w:lvlText w:val=" "/>
      <w:lvlJc w:val="left"/>
      <w:pPr>
        <w:tabs>
          <w:tab w:pos="4320" w:val="num"/>
        </w:tabs>
        <w:ind w:hanging="480" w:left="480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15:restartNumberingAfterBreak="0" w:abstractNumId="2">
    <w:nsid w:val="FFFFFF7C"/>
    <w:multiLevelType w:val="singleLevel"/>
    <w:tmpl w:val="55AAAEF8"/>
    <w:lvl w:ilvl="0">
      <w:start w:val="1"/>
      <w:numFmt w:val="decimal"/>
      <w:lvlText w:val="%1."/>
      <w:lvlJc w:val="left"/>
      <w:pPr>
        <w:tabs>
          <w:tab w:pos="1492" w:val="num"/>
        </w:tabs>
        <w:ind w:hanging="360" w:left="1492"/>
      </w:pPr>
    </w:lvl>
  </w:abstractNum>
  <w:abstractNum w15:restartNumberingAfterBreak="0" w:abstractNumId="3">
    <w:nsid w:val="FFFFFF7D"/>
    <w:multiLevelType w:val="singleLevel"/>
    <w:tmpl w:val="7B2CC1FC"/>
    <w:lvl w:ilvl="0">
      <w:start w:val="1"/>
      <w:numFmt w:val="decimal"/>
      <w:lvlText w:val="%1."/>
      <w:lvlJc w:val="left"/>
      <w:pPr>
        <w:tabs>
          <w:tab w:pos="1209" w:val="num"/>
        </w:tabs>
        <w:ind w:hanging="360" w:left="1209"/>
      </w:pPr>
    </w:lvl>
  </w:abstractNum>
  <w:abstractNum w15:restartNumberingAfterBreak="0" w:abstractNumId="4">
    <w:nsid w:val="FFFFFF7E"/>
    <w:multiLevelType w:val="singleLevel"/>
    <w:tmpl w:val="78B42C6C"/>
    <w:lvl w:ilvl="0">
      <w:start w:val="1"/>
      <w:numFmt w:val="decimal"/>
      <w:lvlText w:val="%1."/>
      <w:lvlJc w:val="left"/>
      <w:pPr>
        <w:tabs>
          <w:tab w:pos="926" w:val="num"/>
        </w:tabs>
        <w:ind w:hanging="360" w:left="926"/>
      </w:pPr>
    </w:lvl>
  </w:abstractNum>
  <w:abstractNum w15:restartNumberingAfterBreak="0" w:abstractNumId="5">
    <w:nsid w:val="FFFFFF7F"/>
    <w:multiLevelType w:val="singleLevel"/>
    <w:tmpl w:val="B84E3F80"/>
    <w:lvl w:ilvl="0">
      <w:start w:val="1"/>
      <w:numFmt w:val="decimal"/>
      <w:lvlText w:val="%1."/>
      <w:lvlJc w:val="left"/>
      <w:pPr>
        <w:tabs>
          <w:tab w:pos="643" w:val="num"/>
        </w:tabs>
        <w:ind w:hanging="360" w:left="643"/>
      </w:pPr>
    </w:lvl>
  </w:abstractNum>
  <w:abstractNum w15:restartNumberingAfterBreak="0" w:abstractNumId="6">
    <w:nsid w:val="FFFFFF80"/>
    <w:multiLevelType w:val="singleLevel"/>
    <w:tmpl w:val="EFC018FE"/>
    <w:lvl w:ilvl="0">
      <w:start w:val="1"/>
      <w:numFmt w:val="bullet"/>
      <w:lvlText w:val=""/>
      <w:lvlJc w:val="left"/>
      <w:pPr>
        <w:tabs>
          <w:tab w:pos="1492" w:val="num"/>
        </w:tabs>
        <w:ind w:hanging="360" w:left="1492"/>
      </w:pPr>
      <w:rPr>
        <w:rFonts w:ascii="Symbol" w:hAnsi="Symbol" w:hint="default"/>
      </w:rPr>
    </w:lvl>
  </w:abstractNum>
  <w:abstractNum w15:restartNumberingAfterBreak="0" w:abstractNumId="7">
    <w:nsid w:val="FFFFFF81"/>
    <w:multiLevelType w:val="singleLevel"/>
    <w:tmpl w:val="CCEC26E2"/>
    <w:lvl w:ilvl="0">
      <w:start w:val="1"/>
      <w:numFmt w:val="bullet"/>
      <w:lvlText w:val=""/>
      <w:lvlJc w:val="left"/>
      <w:pPr>
        <w:tabs>
          <w:tab w:pos="1209" w:val="num"/>
        </w:tabs>
        <w:ind w:hanging="360" w:left="1209"/>
      </w:pPr>
      <w:rPr>
        <w:rFonts w:ascii="Symbol" w:hAnsi="Symbol" w:hint="default"/>
      </w:rPr>
    </w:lvl>
  </w:abstractNum>
  <w:abstractNum w15:restartNumberingAfterBreak="0" w:abstractNumId="8">
    <w:nsid w:val="FFFFFF82"/>
    <w:multiLevelType w:val="singleLevel"/>
    <w:tmpl w:val="9D7E96C0"/>
    <w:lvl w:ilvl="0">
      <w:start w:val="1"/>
      <w:numFmt w:val="bullet"/>
      <w:lvlText w:val=""/>
      <w:lvlJc w:val="left"/>
      <w:pPr>
        <w:tabs>
          <w:tab w:pos="926" w:val="num"/>
        </w:tabs>
        <w:ind w:hanging="360" w:left="926"/>
      </w:pPr>
      <w:rPr>
        <w:rFonts w:ascii="Symbol" w:hAnsi="Symbol" w:hint="default"/>
      </w:rPr>
    </w:lvl>
  </w:abstractNum>
  <w:abstractNum w15:restartNumberingAfterBreak="0" w:abstractNumId="9">
    <w:nsid w:val="FFFFFF83"/>
    <w:multiLevelType w:val="singleLevel"/>
    <w:tmpl w:val="D2FED1C8"/>
    <w:lvl w:ilvl="0">
      <w:start w:val="1"/>
      <w:numFmt w:val="bullet"/>
      <w:lvlText w:val=""/>
      <w:lvlJc w:val="left"/>
      <w:pPr>
        <w:tabs>
          <w:tab w:pos="643" w:val="num"/>
        </w:tabs>
        <w:ind w:hanging="360" w:left="643"/>
      </w:pPr>
      <w:rPr>
        <w:rFonts w:ascii="Symbol" w:hAnsi="Symbol" w:hint="default"/>
      </w:rPr>
    </w:lvl>
  </w:abstractNum>
  <w:abstractNum w15:restartNumberingAfterBreak="0" w:abstractNumId="10">
    <w:nsid w:val="FFFFFF88"/>
    <w:multiLevelType w:val="singleLevel"/>
    <w:tmpl w:val="2A08FC60"/>
    <w:lvl w:ilvl="0">
      <w:start w:val="1"/>
      <w:numFmt w:val="decimal"/>
      <w:lvlText w:val="%1."/>
      <w:lvlJc w:val="left"/>
      <w:pPr>
        <w:tabs>
          <w:tab w:pos="360" w:val="num"/>
        </w:tabs>
        <w:ind w:hanging="360" w:left="360"/>
      </w:pPr>
    </w:lvl>
  </w:abstractNum>
  <w:abstractNum w15:restartNumberingAfterBreak="0" w:abstractNumId="11">
    <w:nsid w:val="FFFFFF89"/>
    <w:multiLevelType w:val="singleLevel"/>
    <w:tmpl w:val="0F56B906"/>
    <w:lvl w:ilvl="0">
      <w:start w:val="1"/>
      <w:numFmt w:val="bullet"/>
      <w:lvlText w:val=""/>
      <w:lvlJc w:val="left"/>
      <w:pPr>
        <w:tabs>
          <w:tab w:pos="360" w:val="num"/>
        </w:tabs>
        <w:ind w:hanging="360" w:left="360"/>
      </w:pPr>
      <w:rPr>
        <w:rFonts w:ascii="Symbol" w:hAnsi="Symbol" w:hint="default"/>
      </w:rPr>
    </w:lvl>
  </w:abstractNum>
  <w:abstractNum w15:restartNumberingAfterBreak="0" w:abstractNumId="12">
    <w:nsid w:val="00C072ED"/>
    <w:multiLevelType w:val="multilevel"/>
    <w:tmpl w:val="B2E0E602"/>
    <w:lvl w:ilvl="0">
      <w:start w:val="1"/>
      <w:numFmt w:val="decimal"/>
      <w:lvlText w:val="%1"/>
      <w:lvlJc w:val="left"/>
      <w:pPr>
        <w:ind w:hanging="360" w:left="-37"/>
      </w:pPr>
      <w:rPr>
        <w:rFonts w:hint="default"/>
      </w:rPr>
    </w:lvl>
    <w:lvl w:ilvl="1">
      <w:start w:val="1"/>
      <w:numFmt w:val="decimal"/>
      <w:lvlText w:val="%1.%2."/>
      <w:lvlJc w:val="left"/>
      <w:pPr>
        <w:ind w:hanging="432" w:left="79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hanging="504" w:left="122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hanging="648" w:left="172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hanging="792" w:left="223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hanging="936" w:left="27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hanging="1080" w:left="32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hanging="1224" w:left="374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hanging="1440" w:left="4320"/>
      </w:pPr>
      <w:rPr>
        <w:rFonts w:hint="default"/>
      </w:rPr>
    </w:lvl>
  </w:abstractNum>
  <w:abstractNum w15:restartNumberingAfterBreak="0" w:abstractNumId="13">
    <w:nsid w:val="189707DC"/>
    <w:multiLevelType w:val="hybridMultilevel"/>
    <w:tmpl w:val="E69A65F6"/>
    <w:lvl w:ilvl="0" w:tplc="5B7051AA">
      <w:start w:val="1"/>
      <w:numFmt w:val="decimal"/>
      <w:lvlText w:val="%1."/>
      <w:lvlJc w:val="left"/>
      <w:pPr>
        <w:ind w:hanging="360" w:left="720"/>
      </w:pPr>
    </w:lvl>
    <w:lvl w:ilvl="1" w:tentative="1" w:tplc="08090019">
      <w:start w:val="1"/>
      <w:numFmt w:val="lowerLetter"/>
      <w:lvlText w:val="%2."/>
      <w:lvlJc w:val="left"/>
      <w:pPr>
        <w:ind w:hanging="360" w:left="1440"/>
      </w:pPr>
    </w:lvl>
    <w:lvl w:ilvl="2" w:tentative="1" w:tplc="0809001B">
      <w:start w:val="1"/>
      <w:numFmt w:val="lowerRoman"/>
      <w:lvlText w:val="%3."/>
      <w:lvlJc w:val="right"/>
      <w:pPr>
        <w:ind w:hanging="180" w:left="2160"/>
      </w:pPr>
    </w:lvl>
    <w:lvl w:ilvl="3" w:tentative="1" w:tplc="0809000F">
      <w:start w:val="1"/>
      <w:numFmt w:val="decimal"/>
      <w:lvlText w:val="%4."/>
      <w:lvlJc w:val="left"/>
      <w:pPr>
        <w:ind w:hanging="360" w:left="2880"/>
      </w:pPr>
    </w:lvl>
    <w:lvl w:ilvl="4" w:tentative="1" w:tplc="08090019">
      <w:start w:val="1"/>
      <w:numFmt w:val="lowerLetter"/>
      <w:lvlText w:val="%5."/>
      <w:lvlJc w:val="left"/>
      <w:pPr>
        <w:ind w:hanging="360" w:left="3600"/>
      </w:pPr>
    </w:lvl>
    <w:lvl w:ilvl="5" w:tentative="1" w:tplc="0809001B">
      <w:start w:val="1"/>
      <w:numFmt w:val="lowerRoman"/>
      <w:lvlText w:val="%6."/>
      <w:lvlJc w:val="right"/>
      <w:pPr>
        <w:ind w:hanging="180" w:left="4320"/>
      </w:pPr>
    </w:lvl>
    <w:lvl w:ilvl="6" w:tentative="1" w:tplc="0809000F">
      <w:start w:val="1"/>
      <w:numFmt w:val="decimal"/>
      <w:lvlText w:val="%7."/>
      <w:lvlJc w:val="left"/>
      <w:pPr>
        <w:ind w:hanging="360" w:left="5040"/>
      </w:pPr>
    </w:lvl>
    <w:lvl w:ilvl="7" w:tentative="1" w:tplc="08090019">
      <w:start w:val="1"/>
      <w:numFmt w:val="lowerLetter"/>
      <w:lvlText w:val="%8."/>
      <w:lvlJc w:val="left"/>
      <w:pPr>
        <w:ind w:hanging="360" w:left="5760"/>
      </w:pPr>
    </w:lvl>
    <w:lvl w:ilvl="8" w:tentative="1" w:tplc="0809001B">
      <w:start w:val="1"/>
      <w:numFmt w:val="lowerRoman"/>
      <w:lvlText w:val="%9."/>
      <w:lvlJc w:val="right"/>
      <w:pPr>
        <w:ind w:hanging="180" w:left="6480"/>
      </w:pPr>
    </w:lvl>
  </w:abstractNum>
  <w:abstractNum w15:restartNumberingAfterBreak="0" w:abstractNumId="14">
    <w:nsid w:val="1E130607"/>
    <w:multiLevelType w:val="multilevel"/>
    <w:tmpl w:val="D400A0AE"/>
    <w:lvl w:ilvl="0">
      <w:start w:val="1"/>
      <w:numFmt w:val="decimal"/>
      <w:lvlText w:val="%1"/>
      <w:lvlJc w:val="left"/>
      <w:pPr>
        <w:ind w:hanging="360" w:left="-3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hanging="432" w:left="792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hanging="504" w:left="122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hanging="648" w:left="172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hanging="792" w:left="223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hanging="936" w:left="27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hanging="1080" w:left="32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hanging="1224" w:left="374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hanging="1440" w:left="4320"/>
      </w:pPr>
      <w:rPr>
        <w:rFonts w:hint="default"/>
      </w:rPr>
    </w:lvl>
  </w:abstractNum>
  <w:abstractNum w15:restartNumberingAfterBreak="0" w:abstractNumId="15">
    <w:nsid w:val="3086E0AB"/>
    <w:multiLevelType w:val="multilevel"/>
    <w:tmpl w:val="D7185C3C"/>
    <w:lvl w:ilvl="0">
      <w:numFmt w:val="bullet"/>
      <w:lvlText w:val="•"/>
      <w:lvlJc w:val="left"/>
      <w:pPr>
        <w:tabs>
          <w:tab w:pos="0" w:val="num"/>
        </w:tabs>
        <w:ind w:hanging="480" w:left="480"/>
      </w:pPr>
    </w:lvl>
    <w:lvl w:ilvl="1">
      <w:numFmt w:val="bullet"/>
      <w:lvlText w:val="–"/>
      <w:lvlJc w:val="left"/>
      <w:pPr>
        <w:tabs>
          <w:tab w:pos="720" w:val="num"/>
        </w:tabs>
        <w:ind w:hanging="480" w:left="1200"/>
      </w:pPr>
    </w:lvl>
    <w:lvl w:ilvl="2">
      <w:numFmt w:val="bullet"/>
      <w:lvlText w:val="•"/>
      <w:lvlJc w:val="left"/>
      <w:pPr>
        <w:tabs>
          <w:tab w:pos="1440" w:val="num"/>
        </w:tabs>
        <w:ind w:hanging="480" w:left="1920"/>
      </w:pPr>
    </w:lvl>
    <w:lvl w:ilvl="3">
      <w:numFmt w:val="bullet"/>
      <w:lvlText w:val="–"/>
      <w:lvlJc w:val="left"/>
      <w:pPr>
        <w:tabs>
          <w:tab w:pos="2160" w:val="num"/>
        </w:tabs>
        <w:ind w:hanging="480" w:left="2640"/>
      </w:pPr>
    </w:lvl>
    <w:lvl w:ilvl="4">
      <w:numFmt w:val="bullet"/>
      <w:lvlText w:val="•"/>
      <w:lvlJc w:val="left"/>
      <w:pPr>
        <w:tabs>
          <w:tab w:pos="2880" w:val="num"/>
        </w:tabs>
        <w:ind w:hanging="480" w:left="3360"/>
      </w:pPr>
    </w:lvl>
    <w:lvl w:ilvl="5">
      <w:numFmt w:val="bullet"/>
      <w:lvlText w:val="–"/>
      <w:lvlJc w:val="left"/>
      <w:pPr>
        <w:tabs>
          <w:tab w:pos="3600" w:val="num"/>
        </w:tabs>
        <w:ind w:hanging="480" w:left="4080"/>
      </w:pPr>
    </w:lvl>
    <w:lvl w:ilvl="6">
      <w:numFmt w:val="bullet"/>
      <w:lvlText w:val="•"/>
      <w:lvlJc w:val="left"/>
      <w:pPr>
        <w:tabs>
          <w:tab w:pos="4320" w:val="num"/>
        </w:tabs>
        <w:ind w:hanging="480" w:left="480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15:restartNumberingAfterBreak="0" w:abstractNumId="16">
    <w:nsid w:val="74331CB6"/>
    <w:multiLevelType w:val="multilevel"/>
    <w:tmpl w:val="0809001F"/>
    <w:lvl w:ilvl="0">
      <w:start w:val="1"/>
      <w:numFmt w:val="decimal"/>
      <w:lvlText w:val="%1."/>
      <w:lvlJc w:val="left"/>
      <w:pPr>
        <w:ind w:hanging="360" w:left="360"/>
      </w:pPr>
    </w:lvl>
    <w:lvl w:ilvl="1">
      <w:start w:val="1"/>
      <w:numFmt w:val="decimal"/>
      <w:lvlText w:val="%1.%2."/>
      <w:lvlJc w:val="left"/>
      <w:pPr>
        <w:ind w:hanging="432" w:left="792"/>
      </w:pPr>
    </w:lvl>
    <w:lvl w:ilvl="2">
      <w:start w:val="1"/>
      <w:numFmt w:val="decimal"/>
      <w:lvlText w:val="%1.%2.%3."/>
      <w:lvlJc w:val="left"/>
      <w:pPr>
        <w:ind w:hanging="504" w:left="1224"/>
      </w:pPr>
    </w:lvl>
    <w:lvl w:ilvl="3">
      <w:start w:val="1"/>
      <w:numFmt w:val="decimal"/>
      <w:lvlText w:val="%1.%2.%3.%4."/>
      <w:lvlJc w:val="left"/>
      <w:pPr>
        <w:ind w:hanging="648" w:left="1728"/>
      </w:pPr>
    </w:lvl>
    <w:lvl w:ilvl="4">
      <w:start w:val="1"/>
      <w:numFmt w:val="decimal"/>
      <w:lvlText w:val="%1.%2.%3.%4.%5."/>
      <w:lvlJc w:val="left"/>
      <w:pPr>
        <w:ind w:hanging="792" w:left="2232"/>
      </w:pPr>
    </w:lvl>
    <w:lvl w:ilvl="5">
      <w:start w:val="1"/>
      <w:numFmt w:val="decimal"/>
      <w:lvlText w:val="%1.%2.%3.%4.%5.%6."/>
      <w:lvlJc w:val="left"/>
      <w:pPr>
        <w:ind w:hanging="936" w:left="2736"/>
      </w:pPr>
    </w:lvl>
    <w:lvl w:ilvl="6">
      <w:start w:val="1"/>
      <w:numFmt w:val="decimal"/>
      <w:lvlText w:val="%1.%2.%3.%4.%5.%6.%7."/>
      <w:lvlJc w:val="left"/>
      <w:pPr>
        <w:ind w:hanging="1080" w:left="3240"/>
      </w:pPr>
    </w:lvl>
    <w:lvl w:ilvl="7">
      <w:start w:val="1"/>
      <w:numFmt w:val="decimal"/>
      <w:lvlText w:val="%1.%2.%3.%4.%5.%6.%7.%8."/>
      <w:lvlJc w:val="left"/>
      <w:pPr>
        <w:ind w:hanging="1224" w:left="3744"/>
      </w:pPr>
    </w:lvl>
    <w:lvl w:ilvl="8">
      <w:start w:val="1"/>
      <w:numFmt w:val="decimal"/>
      <w:lvlText w:val="%1.%2.%3.%4.%5.%6.%7.%8.%9."/>
      <w:lvlJc w:val="left"/>
      <w:pPr>
        <w:ind w:hanging="1440" w:left="4320"/>
      </w:pPr>
    </w:lvl>
  </w:abstractNum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">
    <w:abstractNumId w:val="1"/>
  </w:num>
  <w:num w:numId="2">
    <w:abstractNumId w:val="0"/>
  </w:num>
  <w:num w:numId="3">
    <w:abstractNumId w:val="15"/>
  </w:num>
  <w:num w:numId="4">
    <w:abstractNumId w:val="15"/>
  </w:num>
  <w:num w:numId="5">
    <w:abstractNumId w:val="15"/>
  </w:num>
  <w:num w:numId="6">
    <w:abstractNumId w:val="15"/>
  </w:num>
  <w:num w:numId="7">
    <w:abstractNumId w:val="15"/>
  </w:num>
  <w:num w:numId="8">
    <w:abstractNumId w:val="15"/>
  </w:num>
  <w:num w:numId="9">
    <w:abstractNumId w:val="13"/>
  </w:num>
  <w:num w:numId="10">
    <w:abstractNumId w:val="14"/>
  </w:num>
  <w:num w:numId="11">
    <w:abstractNumId w:val="14"/>
  </w:num>
  <w:num w:numId="12">
    <w:abstractNumId w:val="11"/>
  </w:num>
  <w:num w:numId="13">
    <w:abstractNumId w:val="9"/>
  </w:num>
  <w:num w:numId="14">
    <w:abstractNumId w:val="8"/>
  </w:num>
  <w:num w:numId="15">
    <w:abstractNumId w:val="7"/>
  </w:num>
  <w:num w:numId="16">
    <w:abstractNumId w:val="6"/>
  </w:num>
  <w:num w:numId="17">
    <w:abstractNumId w:val="10"/>
  </w:num>
  <w:num w:numId="18">
    <w:abstractNumId w:val="5"/>
  </w:num>
  <w:num w:numId="19">
    <w:abstractNumId w:val="4"/>
  </w:num>
  <w:num w:numId="20">
    <w:abstractNumId w:val="3"/>
  </w:num>
  <w:num w:numId="21">
    <w:abstractNumId w:val="2"/>
  </w:num>
  <w:num w:numId="22">
    <w:abstractNumId w:val="16"/>
  </w:num>
  <w:num w:numId="23">
    <w:abstractNumId w:val="12"/>
  </w:num>
  <w:num w:numId="24">
    <w:abstractNumId w:val="14"/>
  </w: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stylePaneFormatFilter w:val="0004"/>
  <w:footnotePr>
    <w:footnote w:id="-1"/>
    <w:footnote w:id="0"/>
  </w:footnotePr>
  <w:doNotTrackMoves/>
  <w:savePreviewPicture/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00"/>
  <w:embedSystemFonts/>
  <w:proofState w:grammar="clean" w:spelling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w16se="http://schemas.microsoft.com/office/word/2015/wordml/symex" mc:Ignorable="w14 w15 w16se w16cid w16 w16cex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376" w:defLockedState="0" w:defQFormat="0" w:defSemiHidden="0" w:defUIPriority="0" w:defUnhideWhenUsed="0">
    <w:lsdException w:name="Normal" w:qFormat="1"/>
    <w:lsdException w:name="heading 1" w:qFormat="1" w:uiPriority="9"/>
    <w:lsdException w:name="heading 2" w:qFormat="1" w:uiPriority="9"/>
    <w:lsdException w:name="heading 3" w:qFormat="1" w:uiPriority="9"/>
    <w:lsdException w:name="heading 4" w:qFormat="1" w:uiPriority="9"/>
    <w:lsdException w:name="heading 5" w:qFormat="1" w:semiHidden="1" w:uiPriority="9" w:unhideWhenUsed="1"/>
    <w:lsdException w:name="heading 6" w:qFormat="1" w:uiPriority="9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qFormat="1" w:semiHidden="1" w:uiPriority="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qFormat="1" w:semiHidden="1" w:uiPriority="9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qFormat="1" w:semiHidden="1" w:unhideWhenUsed="1"/>
    <w:lsdException w:name="TOC Heading" w:qFormat="1" w:semiHidden="1" w:uiPriority="39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BodyText"/>
    <w:uiPriority w:val="9"/>
    <w:qFormat/>
    <w:rsid w:val="00C2746E"/>
    <w:pPr>
      <w:keepNext/>
      <w:keepLines/>
      <w:spacing w:after="240" w:before="240"/>
      <w:outlineLvl w:val="0"/>
    </w:pPr>
    <w:rPr>
      <w:rFonts w:asciiTheme="majorHAnsi" w:cstheme="majorBidi" w:eastAsiaTheme="majorEastAsia" w:hAnsiTheme="majorHAnsi"/>
      <w:b/>
      <w:bCs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rsid w:val="001108D7"/>
    <w:pPr>
      <w:keepNext/>
      <w:keepLines/>
      <w:numPr>
        <w:ilvl w:val="1"/>
        <w:numId w:val="24"/>
      </w:numPr>
      <w:spacing w:after="240" w:before="240"/>
      <w:ind w:hanging="567" w:left="0"/>
      <w:outlineLvl w:val="1"/>
    </w:pPr>
    <w:rPr>
      <w:rFonts w:asciiTheme="majorHAnsi" w:cstheme="majorBidi" w:eastAsiaTheme="majorEastAsia" w:hAnsiTheme="majorHAnsi"/>
      <w:b/>
      <w:bCs/>
      <w:sz w:val="28"/>
      <w:szCs w:val="28"/>
    </w:rPr>
  </w:style>
  <w:style w:styleId="Heading3" w:type="paragraph">
    <w:name w:val="heading 3"/>
    <w:basedOn w:val="Heading2"/>
    <w:next w:val="BodyText"/>
    <w:uiPriority w:val="9"/>
    <w:unhideWhenUsed/>
    <w:qFormat/>
    <w:rsid w:val="00072848"/>
    <w:pPr>
      <w:numPr>
        <w:ilvl w:val="2"/>
      </w:numPr>
      <w:ind w:hanging="567" w:left="0"/>
      <w:outlineLvl w:val="2"/>
    </w:pPr>
    <w:rPr>
      <w:sz w:val="24"/>
    </w:rPr>
  </w:style>
  <w:style w:styleId="Heading4" w:type="paragraph">
    <w:name w:val="heading 4"/>
    <w:basedOn w:val="Normal"/>
    <w:next w:val="BodyText"/>
    <w:uiPriority w:val="9"/>
    <w:unhideWhenUsed/>
    <w:qFormat/>
    <w:rsid w:val="00A113E2"/>
    <w:pPr>
      <w:keepNext/>
      <w:keepLines/>
      <w:spacing w:after="0"/>
      <w:outlineLvl w:val="3"/>
    </w:pPr>
    <w:rPr>
      <w:rFonts w:asciiTheme="majorHAnsi" w:cstheme="majorBidi" w:eastAsiaTheme="majorEastAsia" w:hAnsiTheme="majorHAnsi"/>
      <w:b/>
      <w:bCs/>
    </w:rPr>
  </w:style>
  <w:style w:styleId="Heading5" w:type="paragraph">
    <w:name w:val="heading 5"/>
    <w:basedOn w:val="Heading4"/>
    <w:next w:val="BodyText"/>
    <w:uiPriority w:val="9"/>
    <w:unhideWhenUsed/>
    <w:qFormat/>
    <w:rsid w:val="00B16115"/>
    <w:pPr>
      <w:pageBreakBefore/>
      <w:spacing w:line="20" w:lineRule="exact"/>
      <w:outlineLvl w:val="4"/>
    </w:pPr>
    <w:rPr>
      <w:color w:themeColor="background1" w:val="FFFFFF"/>
      <w:sz w:val="16"/>
    </w:rPr>
  </w:style>
  <w:style w:styleId="Heading6" w:type="paragraph">
    <w:name w:val="heading 6"/>
    <w:basedOn w:val="Normal"/>
    <w:next w:val="BodyText"/>
    <w:uiPriority w:val="9"/>
    <w:unhideWhenUsed/>
    <w:qFormat/>
    <w:pPr>
      <w:keepNext/>
      <w:keepLines/>
      <w:spacing w:after="0" w:before="200"/>
      <w:outlineLvl w:val="5"/>
    </w:pPr>
    <w:rPr>
      <w:rFonts w:asciiTheme="majorHAnsi" w:cstheme="majorBidi" w:eastAsiaTheme="majorEastAsia" w:hAnsiTheme="majorHAnsi"/>
      <w:color w:themeColor="accent1" w:val="4F81BD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styleId="BodyText" w:type="paragraph">
    <w:name w:val="Body Text"/>
    <w:basedOn w:val="Normal"/>
    <w:link w:val="BodyTextChar"/>
    <w:qFormat/>
    <w:rsid w:val="003965E8"/>
    <w:pPr>
      <w:spacing w:after="120" w:before="120"/>
    </w:pPr>
  </w:style>
  <w:style w:customStyle="1" w:styleId="FirstParagraph" w:type="paragraph">
    <w:name w:val="First Paragraph"/>
    <w:basedOn w:val="BodyText"/>
    <w:next w:val="BodyText"/>
    <w:qFormat/>
    <w:rsid w:val="003965E8"/>
  </w:style>
  <w:style w:customStyle="1" w:styleId="Compact" w:type="paragraph">
    <w:name w:val="Compact"/>
    <w:basedOn w:val="BodyText"/>
    <w:qFormat/>
    <w:rsid w:val="0032548E"/>
    <w:pPr>
      <w:spacing w:after="36" w:before="36"/>
    </w:pPr>
    <w:rPr>
      <w:rFonts w:cs="Arial"/>
      <w:szCs w:val="18"/>
    </w:rPr>
  </w:style>
  <w:style w:styleId="Title" w:type="paragraph">
    <w:name w:val="Title"/>
    <w:basedOn w:val="Normal"/>
    <w:next w:val="BodyText"/>
    <w:qFormat/>
    <w:rsid w:val="009F2E06"/>
    <w:pPr>
      <w:keepNext/>
      <w:keepLines/>
      <w:spacing w:after="240" w:before="480"/>
      <w:jc w:val="center"/>
    </w:pPr>
    <w:rPr>
      <w:rFonts w:asciiTheme="majorHAnsi" w:cstheme="majorBidi" w:eastAsiaTheme="majorEastAsia" w:hAnsiTheme="majorHAnsi"/>
      <w:b/>
      <w:bCs/>
      <w:sz w:val="36"/>
      <w:szCs w:val="36"/>
    </w:rPr>
  </w:style>
  <w:style w:styleId="Subtitle" w:type="paragraph">
    <w:name w:val="Subtitle"/>
    <w:basedOn w:val="Title"/>
    <w:next w:val="BodyText"/>
    <w:qFormat/>
    <w:pPr>
      <w:spacing w:before="240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rsid w:val="009F2E06"/>
    <w:pPr>
      <w:keepNext/>
      <w:keepLines/>
      <w:jc w:val="center"/>
    </w:pPr>
    <w:rPr>
      <w:i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300"/>
    </w:pPr>
    <w:rPr>
      <w:sz w:val="20"/>
      <w:szCs w:val="20"/>
    </w:rPr>
  </w:style>
  <w:style w:styleId="Bibliography" w:type="paragraph">
    <w:name w:val="Bibliography"/>
    <w:basedOn w:val="Normal"/>
    <w:qFormat/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</w:pPr>
    <w:rPr>
      <w:rFonts w:asciiTheme="majorHAnsi" w:cstheme="majorBidi" w:eastAsiaTheme="majorEastAsia" w:hAnsiTheme="majorHAnsi"/>
      <w:bCs/>
      <w:sz w:val="20"/>
      <w:szCs w:val="20"/>
    </w:rPr>
  </w:style>
  <w:style w:styleId="FootnoteText" w:type="paragraph">
    <w:name w:val="footnote text"/>
    <w:basedOn w:val="Normal"/>
    <w:uiPriority w:val="9"/>
    <w:unhideWhenUsed/>
    <w:qFormat/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CaptionChar"/>
    <w:pPr>
      <w:spacing w:after="12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FigurewithCaption" w:type="paragraph">
    <w:name w:val="Figure with Caption"/>
    <w:basedOn w:val="Figure"/>
    <w:pPr>
      <w:keepNext/>
    </w:pPr>
  </w:style>
  <w:style w:customStyle="1" w:styleId="CaptionChar" w:type="character">
    <w:name w:val="Caption Char"/>
    <w:basedOn w:val="DefaultParagraphFont"/>
    <w:link w:val="Caption"/>
  </w:style>
  <w:style w:customStyle="1" w:styleId="VerbatimChar" w:type="character">
    <w:name w:val="Verbatim Char"/>
    <w:basedOn w:val="CaptionChar"/>
    <w:link w:val="SourceCode"/>
    <w:rPr>
      <w:rFonts w:ascii="Consolas" w:hAnsi="Consolas"/>
      <w:sz w:val="22"/>
    </w:rPr>
  </w:style>
  <w:style w:styleId="FootnoteReference" w:type="character">
    <w:name w:val="footnote reference"/>
    <w:basedOn w:val="CaptionChar"/>
    <w:rPr>
      <w:vertAlign w:val="superscript"/>
    </w:rPr>
  </w:style>
  <w:style w:styleId="Hyperlink" w:type="character">
    <w:name w:val="Hyperlink"/>
    <w:basedOn w:val="CaptionChar"/>
    <w:uiPriority w:val="99"/>
    <w:rPr>
      <w:color w:themeColor="accent1" w:val="4F81BD"/>
    </w:rPr>
  </w:style>
  <w:style w:styleId="TOCHeading" w:type="paragraph">
    <w:name w:val="TOC Heading"/>
    <w:basedOn w:val="Normal"/>
    <w:next w:val="BodyText"/>
    <w:uiPriority w:val="39"/>
    <w:unhideWhenUsed/>
    <w:qFormat/>
    <w:rsid w:val="00A42EE4"/>
    <w:rPr>
      <w:rFonts w:asciiTheme="majorHAnsi" w:cstheme="majorHAnsi" w:hAnsiTheme="majorHAnsi"/>
      <w:b/>
      <w:bCs/>
      <w:sz w:val="32"/>
      <w:szCs w:val="32"/>
    </w:rPr>
  </w:style>
  <w:style w:customStyle="1" w:styleId="SourceCode" w:type="paragraph">
    <w:name w:val="Source Code"/>
    <w:basedOn w:val="Normal"/>
    <w:link w:val="VerbatimChar"/>
    <w:pPr>
      <w:shd w:color="auto" w:fill="F8F8F8" w:val="clear"/>
      <w:wordWrap w:val="0"/>
    </w:pPr>
  </w:style>
  <w:style w:customStyle="1" w:styleId="KeywordTok" w:type="character">
    <w:name w:val="KeywordTok"/>
    <w:basedOn w:val="VerbatimChar"/>
    <w:rPr>
      <w:rFonts w:ascii="Consolas" w:hAnsi="Consolas"/>
      <w:b/>
      <w:color w:val="204A87"/>
      <w:sz w:val="22"/>
      <w:shd w:color="auto" w:fill="F8F8F8" w:val="clear"/>
    </w:rPr>
  </w:style>
  <w:style w:customStyle="1" w:styleId="DataTypeTok" w:type="character">
    <w:name w:val="DataTypeTok"/>
    <w:basedOn w:val="VerbatimChar"/>
    <w:rPr>
      <w:rFonts w:ascii="Consolas" w:hAnsi="Consolas"/>
      <w:color w:val="204A87"/>
      <w:sz w:val="22"/>
      <w:shd w:color="auto" w:fill="F8F8F8" w:val="clear"/>
    </w:rPr>
  </w:style>
  <w:style w:customStyle="1" w:styleId="DecValTok" w:type="character">
    <w:name w:val="DecValTok"/>
    <w:basedOn w:val="VerbatimChar"/>
    <w:rPr>
      <w:rFonts w:ascii="Consolas" w:hAnsi="Consolas"/>
      <w:color w:val="0000CF"/>
      <w:sz w:val="22"/>
      <w:shd w:color="auto" w:fill="F8F8F8" w:val="clear"/>
    </w:rPr>
  </w:style>
  <w:style w:customStyle="1" w:styleId="BaseNTok" w:type="character">
    <w:name w:val="BaseNTok"/>
    <w:basedOn w:val="VerbatimChar"/>
    <w:rPr>
      <w:rFonts w:ascii="Consolas" w:hAnsi="Consolas"/>
      <w:color w:val="0000CF"/>
      <w:sz w:val="22"/>
      <w:shd w:color="auto" w:fill="F8F8F8" w:val="clear"/>
    </w:rPr>
  </w:style>
  <w:style w:customStyle="1" w:styleId="FloatTok" w:type="character">
    <w:name w:val="FloatTok"/>
    <w:basedOn w:val="VerbatimChar"/>
    <w:rPr>
      <w:rFonts w:ascii="Consolas" w:hAnsi="Consolas"/>
      <w:color w:val="0000CF"/>
      <w:sz w:val="22"/>
      <w:shd w:color="auto" w:fill="F8F8F8" w:val="clear"/>
    </w:rPr>
  </w:style>
  <w:style w:customStyle="1" w:styleId="ConstantTok" w:type="character">
    <w:name w:val="ConstantTok"/>
    <w:basedOn w:val="VerbatimChar"/>
    <w:rPr>
      <w:rFonts w:ascii="Consolas" w:hAnsi="Consolas"/>
      <w:color w:val="000000"/>
      <w:sz w:val="22"/>
      <w:shd w:color="auto" w:fill="F8F8F8" w:val="clear"/>
    </w:rPr>
  </w:style>
  <w:style w:customStyle="1" w:styleId="CharTok" w:type="character">
    <w:name w:val="CharTok"/>
    <w:basedOn w:val="VerbatimChar"/>
    <w:rPr>
      <w:rFonts w:ascii="Consolas" w:hAnsi="Consolas"/>
      <w:color w:val="4E9A06"/>
      <w:sz w:val="22"/>
      <w:shd w:color="auto" w:fill="F8F8F8" w:val="clear"/>
    </w:rPr>
  </w:style>
  <w:style w:customStyle="1" w:styleId="SpecialCharTok" w:type="character">
    <w:name w:val="SpecialCharTok"/>
    <w:basedOn w:val="VerbatimChar"/>
    <w:rPr>
      <w:rFonts w:ascii="Consolas" w:hAnsi="Consolas"/>
      <w:color w:val="000000"/>
      <w:sz w:val="22"/>
      <w:shd w:color="auto" w:fill="F8F8F8" w:val="clear"/>
    </w:rPr>
  </w:style>
  <w:style w:customStyle="1" w:styleId="StringTok" w:type="character">
    <w:name w:val="StringTok"/>
    <w:basedOn w:val="VerbatimChar"/>
    <w:rPr>
      <w:rFonts w:ascii="Consolas" w:hAnsi="Consolas"/>
      <w:color w:val="4E9A06"/>
      <w:sz w:val="22"/>
      <w:shd w:color="auto" w:fill="F8F8F8" w:val="clear"/>
    </w:rPr>
  </w:style>
  <w:style w:customStyle="1" w:styleId="VerbatimStringTok" w:type="character">
    <w:name w:val="VerbatimStringTok"/>
    <w:basedOn w:val="VerbatimChar"/>
    <w:rPr>
      <w:rFonts w:ascii="Consolas" w:hAnsi="Consolas"/>
      <w:color w:val="4E9A06"/>
      <w:sz w:val="22"/>
      <w:shd w:color="auto" w:fill="F8F8F8" w:val="clear"/>
    </w:rPr>
  </w:style>
  <w:style w:customStyle="1" w:styleId="SpecialStringTok" w:type="character">
    <w:name w:val="SpecialStringTok"/>
    <w:basedOn w:val="VerbatimChar"/>
    <w:rPr>
      <w:rFonts w:ascii="Consolas" w:hAnsi="Consolas"/>
      <w:color w:val="4E9A06"/>
      <w:sz w:val="22"/>
      <w:shd w:color="auto" w:fill="F8F8F8" w:val="clear"/>
    </w:rPr>
  </w:style>
  <w:style w:customStyle="1" w:styleId="ImportTok" w:type="character">
    <w:name w:val="ImportTok"/>
    <w:basedOn w:val="VerbatimChar"/>
    <w:rPr>
      <w:rFonts w:ascii="Consolas" w:hAnsi="Consolas"/>
      <w:sz w:val="22"/>
      <w:shd w:color="auto" w:fill="F8F8F8" w:val="clear"/>
    </w:rPr>
  </w:style>
  <w:style w:customStyle="1" w:styleId="CommentTok" w:type="character">
    <w:name w:val="CommentTok"/>
    <w:basedOn w:val="VerbatimChar"/>
    <w:rPr>
      <w:rFonts w:ascii="Consolas" w:hAnsi="Consolas"/>
      <w:i/>
      <w:color w:val="8F5902"/>
      <w:sz w:val="22"/>
      <w:shd w:color="auto" w:fill="F8F8F8" w:val="clear"/>
    </w:rPr>
  </w:style>
  <w:style w:customStyle="1" w:styleId="DocumentationTok" w:type="character">
    <w:name w:val="DocumentationTok"/>
    <w:basedOn w:val="VerbatimChar"/>
    <w:rPr>
      <w:rFonts w:ascii="Consolas" w:hAnsi="Consolas"/>
      <w:b/>
      <w:i/>
      <w:color w:val="8F5902"/>
      <w:sz w:val="22"/>
      <w:shd w:color="auto" w:fill="F8F8F8" w:val="clear"/>
    </w:rPr>
  </w:style>
  <w:style w:customStyle="1" w:styleId="AnnotationTok" w:type="character">
    <w:name w:val="AnnotationTok"/>
    <w:basedOn w:val="VerbatimChar"/>
    <w:rPr>
      <w:rFonts w:ascii="Consolas" w:hAnsi="Consolas"/>
      <w:b/>
      <w:i/>
      <w:color w:val="8F5902"/>
      <w:sz w:val="22"/>
      <w:shd w:color="auto" w:fill="F8F8F8" w:val="clear"/>
    </w:rPr>
  </w:style>
  <w:style w:customStyle="1" w:styleId="CommentVarTok" w:type="character">
    <w:name w:val="CommentVarTok"/>
    <w:basedOn w:val="VerbatimChar"/>
    <w:rPr>
      <w:rFonts w:ascii="Consolas" w:hAnsi="Consolas"/>
      <w:b/>
      <w:i/>
      <w:color w:val="8F5902"/>
      <w:sz w:val="22"/>
      <w:shd w:color="auto" w:fill="F8F8F8" w:val="clear"/>
    </w:rPr>
  </w:style>
  <w:style w:customStyle="1" w:styleId="OtherTok" w:type="character">
    <w:name w:val="OtherTok"/>
    <w:basedOn w:val="VerbatimChar"/>
    <w:rPr>
      <w:rFonts w:ascii="Consolas" w:hAnsi="Consolas"/>
      <w:color w:val="8F5902"/>
      <w:sz w:val="22"/>
      <w:shd w:color="auto" w:fill="F8F8F8" w:val="clear"/>
    </w:rPr>
  </w:style>
  <w:style w:customStyle="1" w:styleId="FunctionTok" w:type="character">
    <w:name w:val="FunctionTok"/>
    <w:basedOn w:val="VerbatimChar"/>
    <w:rPr>
      <w:rFonts w:ascii="Consolas" w:hAnsi="Consolas"/>
      <w:color w:val="000000"/>
      <w:sz w:val="22"/>
      <w:shd w:color="auto" w:fill="F8F8F8" w:val="clear"/>
    </w:rPr>
  </w:style>
  <w:style w:customStyle="1" w:styleId="VariableTok" w:type="character">
    <w:name w:val="VariableTok"/>
    <w:basedOn w:val="VerbatimChar"/>
    <w:rPr>
      <w:rFonts w:ascii="Consolas" w:hAnsi="Consolas"/>
      <w:color w:val="000000"/>
      <w:sz w:val="22"/>
      <w:shd w:color="auto" w:fill="F8F8F8" w:val="clear"/>
    </w:rPr>
  </w:style>
  <w:style w:customStyle="1" w:styleId="ControlFlowTok" w:type="character">
    <w:name w:val="ControlFlowTok"/>
    <w:basedOn w:val="VerbatimChar"/>
    <w:rPr>
      <w:rFonts w:ascii="Consolas" w:hAnsi="Consolas"/>
      <w:b/>
      <w:color w:val="204A87"/>
      <w:sz w:val="22"/>
      <w:shd w:color="auto" w:fill="F8F8F8" w:val="clear"/>
    </w:rPr>
  </w:style>
  <w:style w:customStyle="1" w:styleId="OperatorTok" w:type="character">
    <w:name w:val="OperatorTok"/>
    <w:basedOn w:val="VerbatimChar"/>
    <w:rPr>
      <w:rFonts w:ascii="Consolas" w:hAnsi="Consolas"/>
      <w:b/>
      <w:color w:val="CE5C00"/>
      <w:sz w:val="22"/>
      <w:shd w:color="auto" w:fill="F8F8F8" w:val="clear"/>
    </w:rPr>
  </w:style>
  <w:style w:customStyle="1" w:styleId="BuiltInTok" w:type="character">
    <w:name w:val="BuiltInTok"/>
    <w:basedOn w:val="VerbatimChar"/>
    <w:rPr>
      <w:rFonts w:ascii="Consolas" w:hAnsi="Consolas"/>
      <w:sz w:val="22"/>
      <w:shd w:color="auto" w:fill="F8F8F8" w:val="clear"/>
    </w:rPr>
  </w:style>
  <w:style w:customStyle="1" w:styleId="ExtensionTok" w:type="character">
    <w:name w:val="ExtensionTok"/>
    <w:basedOn w:val="VerbatimChar"/>
    <w:rPr>
      <w:rFonts w:ascii="Consolas" w:hAnsi="Consolas"/>
      <w:sz w:val="22"/>
      <w:shd w:color="auto" w:fill="F8F8F8" w:val="clear"/>
    </w:rPr>
  </w:style>
  <w:style w:customStyle="1" w:styleId="PreprocessorTok" w:type="character">
    <w:name w:val="PreprocessorTok"/>
    <w:basedOn w:val="VerbatimChar"/>
    <w:rPr>
      <w:rFonts w:ascii="Consolas" w:hAnsi="Consolas"/>
      <w:i/>
      <w:color w:val="8F5902"/>
      <w:sz w:val="22"/>
      <w:shd w:color="auto" w:fill="F8F8F8" w:val="clear"/>
    </w:rPr>
  </w:style>
  <w:style w:customStyle="1" w:styleId="AttributeTok" w:type="character">
    <w:name w:val="AttributeTok"/>
    <w:basedOn w:val="VerbatimChar"/>
    <w:rPr>
      <w:rFonts w:ascii="Consolas" w:hAnsi="Consolas"/>
      <w:color w:val="C4A000"/>
      <w:sz w:val="22"/>
      <w:shd w:color="auto" w:fill="F8F8F8" w:val="clear"/>
    </w:rPr>
  </w:style>
  <w:style w:customStyle="1" w:styleId="RegionMarkerTok" w:type="character">
    <w:name w:val="RegionMarkerTok"/>
    <w:basedOn w:val="VerbatimChar"/>
    <w:rPr>
      <w:rFonts w:ascii="Consolas" w:hAnsi="Consolas"/>
      <w:sz w:val="22"/>
      <w:shd w:color="auto" w:fill="F8F8F8" w:val="clear"/>
    </w:rPr>
  </w:style>
  <w:style w:customStyle="1" w:styleId="InformationTok" w:type="character">
    <w:name w:val="InformationTok"/>
    <w:basedOn w:val="VerbatimChar"/>
    <w:rPr>
      <w:rFonts w:ascii="Consolas" w:hAnsi="Consolas"/>
      <w:b/>
      <w:i/>
      <w:color w:val="8F5902"/>
      <w:sz w:val="22"/>
      <w:shd w:color="auto" w:fill="F8F8F8" w:val="clear"/>
    </w:rPr>
  </w:style>
  <w:style w:customStyle="1" w:styleId="WarningTok" w:type="character">
    <w:name w:val="WarningTok"/>
    <w:basedOn w:val="VerbatimChar"/>
    <w:rPr>
      <w:rFonts w:ascii="Consolas" w:hAnsi="Consolas"/>
      <w:b/>
      <w:i/>
      <w:color w:val="8F5902"/>
      <w:sz w:val="22"/>
      <w:shd w:color="auto" w:fill="F8F8F8" w:val="clear"/>
    </w:rPr>
  </w:style>
  <w:style w:customStyle="1" w:styleId="AlertTok" w:type="character">
    <w:name w:val="AlertTok"/>
    <w:basedOn w:val="VerbatimChar"/>
    <w:rPr>
      <w:rFonts w:ascii="Consolas" w:hAnsi="Consolas"/>
      <w:color w:val="EF2929"/>
      <w:sz w:val="22"/>
      <w:shd w:color="auto" w:fill="F8F8F8" w:val="clear"/>
    </w:rPr>
  </w:style>
  <w:style w:customStyle="1" w:styleId="ErrorTok" w:type="character">
    <w:name w:val="ErrorTok"/>
    <w:basedOn w:val="VerbatimChar"/>
    <w:rPr>
      <w:rFonts w:ascii="Consolas" w:hAnsi="Consolas"/>
      <w:b/>
      <w:color w:val="A40000"/>
      <w:sz w:val="22"/>
      <w:shd w:color="auto" w:fill="F8F8F8" w:val="clear"/>
    </w:rPr>
  </w:style>
  <w:style w:customStyle="1" w:styleId="NormalTok" w:type="character">
    <w:name w:val="NormalTok"/>
    <w:basedOn w:val="VerbatimChar"/>
    <w:rPr>
      <w:rFonts w:ascii="Consolas" w:hAnsi="Consolas"/>
      <w:sz w:val="22"/>
      <w:shd w:color="auto" w:fill="F8F8F8" w:val="clear"/>
    </w:rPr>
  </w:style>
  <w:style w:styleId="TOC1" w:type="paragraph">
    <w:name w:val="toc 1"/>
    <w:basedOn w:val="Normal"/>
    <w:next w:val="Normal"/>
    <w:autoRedefine/>
    <w:uiPriority w:val="39"/>
    <w:unhideWhenUsed/>
    <w:rsid w:val="007B6050"/>
    <w:pPr>
      <w:spacing w:after="100"/>
    </w:pPr>
  </w:style>
  <w:style w:styleId="TOC2" w:type="paragraph">
    <w:name w:val="toc 2"/>
    <w:basedOn w:val="Normal"/>
    <w:next w:val="Normal"/>
    <w:autoRedefine/>
    <w:uiPriority w:val="39"/>
    <w:unhideWhenUsed/>
    <w:rsid w:val="007B6050"/>
    <w:pPr>
      <w:spacing w:after="100"/>
      <w:ind w:left="240"/>
    </w:pPr>
  </w:style>
  <w:style w:styleId="TOC3" w:type="paragraph">
    <w:name w:val="toc 3"/>
    <w:basedOn w:val="Normal"/>
    <w:next w:val="Normal"/>
    <w:autoRedefine/>
    <w:uiPriority w:val="39"/>
    <w:unhideWhenUsed/>
    <w:rsid w:val="007B6050"/>
    <w:pPr>
      <w:spacing w:after="100"/>
      <w:ind w:left="480"/>
    </w:pPr>
  </w:style>
  <w:style w:styleId="Header" w:type="paragraph">
    <w:name w:val="header"/>
    <w:basedOn w:val="Normal"/>
    <w:link w:val="HeaderChar"/>
    <w:unhideWhenUsed/>
    <w:rsid w:val="00390E4A"/>
    <w:pPr>
      <w:tabs>
        <w:tab w:pos="4513" w:val="center"/>
        <w:tab w:pos="9026" w:val="right"/>
      </w:tabs>
      <w:spacing w:after="0"/>
    </w:pPr>
  </w:style>
  <w:style w:customStyle="1" w:styleId="BodyTextChar" w:type="character">
    <w:name w:val="Body Text Char"/>
    <w:basedOn w:val="DefaultParagraphFont"/>
    <w:link w:val="BodyText"/>
    <w:rsid w:val="003965E8"/>
  </w:style>
  <w:style w:customStyle="1" w:styleId="HeaderChar" w:type="character">
    <w:name w:val="Header Char"/>
    <w:basedOn w:val="DefaultParagraphFont"/>
    <w:link w:val="Header"/>
    <w:rsid w:val="00390E4A"/>
  </w:style>
  <w:style w:styleId="Footer" w:type="paragraph">
    <w:name w:val="footer"/>
    <w:basedOn w:val="Normal"/>
    <w:link w:val="FooterChar"/>
    <w:uiPriority w:val="99"/>
    <w:unhideWhenUsed/>
    <w:rsid w:val="00390E4A"/>
    <w:pPr>
      <w:tabs>
        <w:tab w:pos="4513" w:val="center"/>
        <w:tab w:pos="9026" w:val="right"/>
      </w:tabs>
      <w:spacing w:after="0"/>
    </w:pPr>
  </w:style>
  <w:style w:customStyle="1" w:styleId="FooterChar" w:type="character">
    <w:name w:val="Footer Char"/>
    <w:basedOn w:val="DefaultParagraphFont"/>
    <w:link w:val="Footer"/>
    <w:uiPriority w:val="99"/>
    <w:rsid w:val="00390E4A"/>
  </w:style>
  <w:style w:styleId="BalloonText" w:type="paragraph">
    <w:name w:val="Balloon Text"/>
    <w:basedOn w:val="Normal"/>
    <w:link w:val="BalloonTextChar"/>
    <w:semiHidden/>
    <w:unhideWhenUsed/>
    <w:rsid w:val="00C97736"/>
    <w:pPr>
      <w:spacing w:after="0"/>
    </w:pPr>
    <w:rPr>
      <w:rFonts w:ascii="Segoe UI" w:cs="Segoe UI" w:hAnsi="Segoe UI"/>
      <w:sz w:val="18"/>
      <w:szCs w:val="18"/>
    </w:rPr>
  </w:style>
  <w:style w:customStyle="1" w:styleId="BalloonTextChar" w:type="character">
    <w:name w:val="Balloon Text Char"/>
    <w:basedOn w:val="DefaultParagraphFont"/>
    <w:link w:val="BalloonText"/>
    <w:semiHidden/>
    <w:rsid w:val="00C97736"/>
    <w:rPr>
      <w:rFonts w:ascii="Segoe UI" w:cs="Segoe UI" w:hAnsi="Segoe UI"/>
      <w:sz w:val="18"/>
      <w:szCs w:val="18"/>
    </w:rPr>
  </w:style>
  <w:style w:styleId="LineNumber" w:type="character">
    <w:name w:val="line number"/>
    <w:basedOn w:val="DefaultParagraphFont"/>
    <w:semiHidden/>
    <w:unhideWhenUsed/>
    <w:rsid w:val="001D2E8D"/>
  </w:style>
  <w:style w:customStyle="1" w:styleId="Style1" w:type="table">
    <w:name w:val="Style1"/>
    <w:basedOn w:val="TableNormal"/>
    <w:uiPriority w:val="99"/>
    <w:rsid w:val="00B521C7"/>
    <w:pPr>
      <w:spacing w:after="0"/>
    </w:pPr>
    <w:tblPr>
      <w:tblStyleRowBandSize w:val="1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  <w:tcPr>
      <w:vAlign w:val="center"/>
    </w:tcPr>
    <w:tblStylePr w:type="firstRow">
      <w:rPr>
        <w:b/>
      </w:rPr>
      <w:tblPr/>
      <w:tcPr>
        <w:shd w:color="auto" w:fill="BFBFBF" w:themeFill="background1" w:themeFillShade="BF" w:val="clear"/>
      </w:tcPr>
    </w:tblStylePr>
    <w:tblStylePr w:type="band2Horz">
      <w:tblPr/>
      <w:tcPr>
        <w:shd w:color="auto" w:fill="D9D9D9" w:themeFill="background1" w:themeFillShade="D9" w:val="clear"/>
      </w:tcPr>
    </w:tblStylePr>
  </w:style>
  <w:style w:styleId="TableGrid" w:type="table">
    <w:name w:val="Table Grid"/>
    <w:basedOn w:val="TableNormal"/>
    <w:rsid w:val="00B521C7"/>
    <w:pPr>
      <w:spacing w:after="0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0956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Id="rId9" Target="footer1.xml" Type="http://schemas.openxmlformats.org/officeDocument/2006/relationships/footer" /><Relationship Type="http://schemas.openxmlformats.org/officeDocument/2006/relationships/hyperlink" Id="rId20" Target="doi:10.1016/j.jval.2021.10.008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20" Target="doi:10.1016/j.jval.2021.10.008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Bristol</Company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2024-03-21T11:55:57Z</dcterms:created>
  <dcterms:modified xsi:type="dcterms:W3CDTF">2024-03-21T11:55:57Z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utput">
    <vt:lpwstr/>
  </property>
  <property fmtid="{D5CDD505-2E9C-101B-9397-08002B2CF9AE}" pid="3" name="params">
    <vt:lpwstr/>
  </property>
</Properties>
</file>