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176E" w:rsidRPr="00F0786C" w:rsidRDefault="00C7176E" w:rsidP="00C7176E">
      <w:pPr>
        <w:spacing w:line="480" w:lineRule="auto"/>
        <w:jc w:val="left"/>
        <w:rPr>
          <w:rFonts w:ascii="Times New Roman" w:hAnsi="Times New Roman" w:cs="Times New Roman"/>
          <w:b/>
          <w:sz w:val="24"/>
          <w:szCs w:val="24"/>
          <w:lang w:val="en-GB"/>
        </w:rPr>
      </w:pPr>
      <w:bookmarkStart w:id="0" w:name="_GoBack"/>
      <w:bookmarkEnd w:id="0"/>
      <w:r w:rsidRPr="00F0786C">
        <w:rPr>
          <w:rFonts w:ascii="Times New Roman" w:hAnsi="Times New Roman" w:cs="Times New Roman"/>
          <w:b/>
          <w:sz w:val="24"/>
          <w:szCs w:val="24"/>
          <w:lang w:val="en-GB"/>
        </w:rPr>
        <w:t>Appendix</w:t>
      </w:r>
    </w:p>
    <w:p w:rsidR="00C7176E" w:rsidRPr="00F0786C" w:rsidRDefault="00C7176E" w:rsidP="00C7176E">
      <w:pPr>
        <w:spacing w:line="480" w:lineRule="auto"/>
        <w:jc w:val="left"/>
        <w:rPr>
          <w:rFonts w:ascii="Times New Roman" w:hAnsi="Times New Roman" w:cs="Times New Roman"/>
          <w:b/>
          <w:i/>
          <w:sz w:val="24"/>
          <w:szCs w:val="24"/>
          <w:lang w:val="en-GB"/>
        </w:rPr>
      </w:pPr>
      <w:r w:rsidRPr="00F0786C">
        <w:rPr>
          <w:rFonts w:ascii="Times New Roman" w:hAnsi="Times New Roman" w:cs="Times New Roman"/>
          <w:b/>
          <w:i/>
          <w:sz w:val="24"/>
          <w:szCs w:val="24"/>
          <w:lang w:val="en-GB"/>
        </w:rPr>
        <w:t>Three-dimensional analysis of eye movements</w:t>
      </w:r>
    </w:p>
    <w:p w:rsidR="00C7176E" w:rsidRPr="00F0786C" w:rsidRDefault="00C7176E" w:rsidP="00C7176E">
      <w:pPr>
        <w:autoSpaceDE w:val="0"/>
        <w:autoSpaceDN w:val="0"/>
        <w:adjustRightInd w:val="0"/>
        <w:spacing w:line="480" w:lineRule="auto"/>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 xml:space="preserve">In the present study, eye movements were three-dimensionally described by rotation vectors, which characterize the eye positions around a single rotation (Appendix Fig. A). Any eye position can be reached by rotating the eye from the reference position around a single axis. The head coordinates for analysing the left eye were reconstructed in three dimensions and defined as follows: the X-axis was parallel to the interaural axis (positive left), the Y-axis was parallel to the naso-occipital axis (positive backward), and the Z-axis was normal to the X-Y plane (positive upwards) (Appendix Fig. B). The head coordinates for analysing the right eye were reconstructed in three dimensions and defined as follows: the X-axis was parallel to the interaural axis (positive right), the Y-axis was parallel to the naso-occipital axis (positive forward), and the Z-axis was normal to the X-Y plane (positive upwards). Movies of eye movement were converted to 644 × 484-pixel JPEG images and analysed with an algorithm developed in our laboratory (Imai T et al. PLoS One (2016) 11:e0152307). The two-dimensional coordinates of the centre of the pupil (yp zp) and an iris freckle (yi zi) in the image were determined (Appendix Fig. C) (Imai T et al. PLoS One (2016) 11:e0152307). The edge of the pupil was also detected and approximated using an ellipse. We then identified the </w:t>
      </w:r>
      <w:r w:rsidRPr="00F0786C">
        <w:rPr>
          <w:rFonts w:ascii="Times New Roman" w:hAnsi="Times New Roman" w:cs="Times New Roman"/>
          <w:sz w:val="24"/>
          <w:szCs w:val="24"/>
          <w:lang w:val="en-GB"/>
        </w:rPr>
        <w:lastRenderedPageBreak/>
        <w:t>minor and major axes of the ellipse. The centre of eye rotation (</w:t>
      </w:r>
      <w:r w:rsidRPr="00F0786C">
        <w:rPr>
          <w:rFonts w:ascii="Times New Roman" w:hAnsi="Times New Roman" w:cs="Times New Roman"/>
          <w:i/>
          <w:sz w:val="24"/>
          <w:szCs w:val="24"/>
          <w:lang w:val="en-GB"/>
        </w:rPr>
        <w:t>o</w:t>
      </w:r>
      <w:r w:rsidRPr="00F0786C">
        <w:rPr>
          <w:rFonts w:ascii="Times New Roman" w:hAnsi="Times New Roman" w:cs="Times New Roman"/>
          <w:sz w:val="24"/>
          <w:szCs w:val="24"/>
          <w:lang w:val="en-GB"/>
        </w:rPr>
        <w:t>) (yc zc) on the image plane was determined as the intersection of the extensions of the minor axes (Appendix Fig. D) (Imai T et al. PLoS One (2016) 11:e0152307). After determining the centre of eye rotation, we calculated the radius of rotation of the centre of the pupil (</w:t>
      </w:r>
      <w:r w:rsidRPr="00F0786C">
        <w:rPr>
          <w:rFonts w:ascii="Times New Roman" w:hAnsi="Times New Roman" w:cs="Times New Roman"/>
          <w:i/>
          <w:sz w:val="24"/>
          <w:szCs w:val="24"/>
          <w:lang w:val="en-GB"/>
        </w:rPr>
        <w:t>R</w:t>
      </w:r>
      <w:r w:rsidRPr="00F0786C">
        <w:rPr>
          <w:rFonts w:ascii="Times New Roman" w:hAnsi="Times New Roman" w:cs="Times New Roman"/>
          <w:sz w:val="24"/>
          <w:szCs w:val="24"/>
          <w:lang w:val="en-GB"/>
        </w:rPr>
        <w:t xml:space="preserve">) using the following formula: </w:t>
      </w:r>
      <m:oMath>
        <m:r>
          <m:rPr>
            <m:sty m:val="p"/>
          </m:rPr>
          <w:rPr>
            <w:rFonts w:ascii="Cambria Math" w:hAnsi="Cambria Math" w:cs="Times New Roman"/>
            <w:snapToGrid w:val="0"/>
            <w:sz w:val="24"/>
            <w:szCs w:val="24"/>
            <w:lang w:val="en-GB"/>
          </w:rPr>
          <m:t xml:space="preserve"> </m:t>
        </m:r>
        <m:r>
          <w:rPr>
            <w:rFonts w:ascii="Cambria Math" w:hAnsi="Cambria Math" w:cs="Times New Roman"/>
            <w:snapToGrid w:val="0"/>
            <w:sz w:val="24"/>
            <w:szCs w:val="24"/>
            <w:lang w:val="en-GB"/>
          </w:rPr>
          <m:t>R</m:t>
        </m:r>
        <m:rad>
          <m:radPr>
            <m:degHide m:val="1"/>
            <m:ctrlPr>
              <w:rPr>
                <w:rFonts w:ascii="Cambria Math" w:hAnsi="Cambria Math" w:cs="Times New Roman"/>
                <w:snapToGrid w:val="0"/>
                <w:sz w:val="24"/>
                <w:szCs w:val="24"/>
                <w:lang w:val="en-GB"/>
              </w:rPr>
            </m:ctrlPr>
          </m:radPr>
          <m:deg/>
          <m:e>
            <m:r>
              <w:rPr>
                <w:rFonts w:ascii="Cambria Math" w:hAnsi="Cambria Math" w:cs="Times New Roman"/>
                <w:snapToGrid w:val="0"/>
                <w:sz w:val="24"/>
                <w:szCs w:val="24"/>
                <w:lang w:val="en-GB"/>
              </w:rPr>
              <m:t>1-</m:t>
            </m:r>
            <m:sSup>
              <m:sSupPr>
                <m:ctrlPr>
                  <w:rPr>
                    <w:rFonts w:ascii="Cambria Math" w:hAnsi="Cambria Math" w:cs="Times New Roman"/>
                    <w:i/>
                    <w:snapToGrid w:val="0"/>
                    <w:sz w:val="24"/>
                    <w:szCs w:val="24"/>
                    <w:lang w:val="en-GB"/>
                  </w:rPr>
                </m:ctrlPr>
              </m:sSupPr>
              <m:e>
                <m:d>
                  <m:dPr>
                    <m:ctrlPr>
                      <w:rPr>
                        <w:rFonts w:ascii="Cambria Math" w:hAnsi="Cambria Math" w:cs="Times New Roman"/>
                        <w:i/>
                        <w:snapToGrid w:val="0"/>
                        <w:sz w:val="24"/>
                        <w:szCs w:val="24"/>
                        <w:lang w:val="en-GB"/>
                      </w:rPr>
                    </m:ctrlPr>
                  </m:dPr>
                  <m:e>
                    <m:f>
                      <m:fPr>
                        <m:type m:val="lin"/>
                        <m:ctrlPr>
                          <w:rPr>
                            <w:rFonts w:ascii="Cambria Math" w:hAnsi="Cambria Math" w:cs="Times New Roman"/>
                            <w:snapToGrid w:val="0"/>
                            <w:sz w:val="24"/>
                            <w:szCs w:val="24"/>
                            <w:lang w:val="en-GB"/>
                          </w:rPr>
                        </m:ctrlPr>
                      </m:fPr>
                      <m:num>
                        <m:r>
                          <m:rPr>
                            <m:sty m:val="p"/>
                          </m:rPr>
                          <w:rPr>
                            <w:rFonts w:ascii="Cambria Math" w:hAnsi="Cambria Math" w:cs="Times New Roman"/>
                            <w:snapToGrid w:val="0"/>
                            <w:sz w:val="24"/>
                            <w:szCs w:val="24"/>
                            <w:lang w:val="en-GB"/>
                          </w:rPr>
                          <m:t>the length of minor axis</m:t>
                        </m:r>
                      </m:num>
                      <m:den>
                        <m:r>
                          <m:rPr>
                            <m:sty m:val="p"/>
                          </m:rPr>
                          <w:rPr>
                            <w:rFonts w:ascii="Cambria Math" w:hAnsi="Cambria Math" w:cs="Times New Roman"/>
                            <w:snapToGrid w:val="0"/>
                            <w:sz w:val="24"/>
                            <w:szCs w:val="24"/>
                            <w:lang w:val="en-GB"/>
                          </w:rPr>
                          <m:t>the length of major axis</m:t>
                        </m:r>
                      </m:den>
                    </m:f>
                  </m:e>
                </m:d>
              </m:e>
              <m:sup>
                <m:r>
                  <w:rPr>
                    <w:rFonts w:ascii="Cambria Math" w:hAnsi="Cambria Math" w:cs="Times New Roman"/>
                    <w:snapToGrid w:val="0"/>
                    <w:sz w:val="24"/>
                    <w:szCs w:val="24"/>
                    <w:lang w:val="en-GB"/>
                  </w:rPr>
                  <m:t>2</m:t>
                </m:r>
              </m:sup>
            </m:sSup>
          </m:e>
        </m:rad>
        <m:r>
          <w:rPr>
            <w:rFonts w:ascii="Cambria Math" w:hAnsi="Cambria Math" w:cs="Times New Roman"/>
            <w:snapToGrid w:val="0"/>
            <w:sz w:val="24"/>
            <w:szCs w:val="24"/>
            <w:lang w:val="en-GB"/>
          </w:rPr>
          <m:t>=d</m:t>
        </m:r>
      </m:oMath>
    </w:p>
    <w:p w:rsidR="00C7176E" w:rsidRPr="00F0786C" w:rsidRDefault="00C7176E" w:rsidP="00C7176E">
      <w:pPr>
        <w:autoSpaceDE w:val="0"/>
        <w:autoSpaceDN w:val="0"/>
        <w:adjustRightInd w:val="0"/>
        <w:spacing w:line="480" w:lineRule="auto"/>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 xml:space="preserve">Here, </w:t>
      </w:r>
      <w:r w:rsidRPr="00F0786C">
        <w:rPr>
          <w:rFonts w:ascii="Times New Roman" w:hAnsi="Times New Roman" w:cs="Times New Roman"/>
          <w:i/>
          <w:sz w:val="24"/>
          <w:szCs w:val="24"/>
          <w:lang w:val="en-GB"/>
        </w:rPr>
        <w:t>d</w:t>
      </w:r>
      <w:r w:rsidRPr="00F0786C">
        <w:rPr>
          <w:rFonts w:ascii="Times New Roman" w:hAnsi="Times New Roman" w:cs="Times New Roman"/>
          <w:sz w:val="24"/>
          <w:szCs w:val="24"/>
          <w:lang w:val="en-GB"/>
        </w:rPr>
        <w:t xml:space="preserve"> is the length between </w:t>
      </w:r>
      <w:r w:rsidRPr="00F0786C">
        <w:rPr>
          <w:rFonts w:ascii="Times New Roman" w:hAnsi="Times New Roman" w:cs="Times New Roman"/>
          <w:i/>
          <w:sz w:val="24"/>
          <w:szCs w:val="24"/>
          <w:lang w:val="en-GB"/>
        </w:rPr>
        <w:t>o</w:t>
      </w:r>
      <w:r w:rsidRPr="00F0786C">
        <w:rPr>
          <w:rFonts w:ascii="Times New Roman" w:hAnsi="Times New Roman" w:cs="Times New Roman"/>
          <w:sz w:val="24"/>
          <w:szCs w:val="24"/>
          <w:lang w:val="en-GB"/>
        </w:rPr>
        <w:t xml:space="preserve"> and the centre of the pupil ellipse, </w:t>
      </w:r>
      <w:r w:rsidRPr="00F0786C">
        <w:rPr>
          <w:rFonts w:ascii="Times New Roman" w:hAnsi="Times New Roman" w:cs="Times New Roman"/>
          <w:i/>
          <w:sz w:val="24"/>
          <w:szCs w:val="24"/>
          <w:lang w:val="en-GB"/>
        </w:rPr>
        <w:t>p</w:t>
      </w:r>
      <w:r w:rsidRPr="00F0786C">
        <w:rPr>
          <w:rFonts w:ascii="Times New Roman" w:hAnsi="Times New Roman" w:cs="Times New Roman"/>
          <w:sz w:val="24"/>
          <w:szCs w:val="24"/>
          <w:lang w:val="en-GB"/>
        </w:rPr>
        <w:t xml:space="preserve"> (Appendix Fig. E). Next, we calculated the length of the radius of rotation of an iris freckle (</w:t>
      </w:r>
      <w:r w:rsidRPr="00F0786C">
        <w:rPr>
          <w:rFonts w:ascii="Times New Roman" w:hAnsi="Times New Roman" w:cs="Times New Roman"/>
          <w:i/>
          <w:sz w:val="24"/>
          <w:szCs w:val="24"/>
          <w:lang w:val="en-GB"/>
        </w:rPr>
        <w:t>R’</w:t>
      </w:r>
      <w:r w:rsidRPr="00F0786C">
        <w:rPr>
          <w:rFonts w:ascii="Times New Roman" w:hAnsi="Times New Roman" w:cs="Times New Roman"/>
          <w:sz w:val="24"/>
          <w:szCs w:val="24"/>
          <w:lang w:val="en-GB"/>
        </w:rPr>
        <w:t xml:space="preserve">). </w:t>
      </w:r>
      <w:r w:rsidRPr="00F0786C">
        <w:rPr>
          <w:rFonts w:ascii="Times New Roman" w:hAnsi="Times New Roman" w:cs="Times New Roman"/>
          <w:snapToGrid w:val="0"/>
          <w:sz w:val="24"/>
          <w:szCs w:val="24"/>
          <w:lang w:val="en-GB"/>
        </w:rPr>
        <w:t xml:space="preserve">We reconstructed the three-dimensional coordinates of the centre of the pupil and an iris freckle in the head-fixed coordinate system as </w:t>
      </w:r>
      <m:oMath>
        <m:d>
          <m:dPr>
            <m:ctrlPr>
              <w:rPr>
                <w:rFonts w:ascii="Cambria Math" w:hAnsi="Cambria Math" w:cs="Times New Roman"/>
                <w:snapToGrid w:val="0"/>
                <w:sz w:val="24"/>
                <w:szCs w:val="24"/>
                <w:lang w:val="en-GB"/>
              </w:rPr>
            </m:ctrlPr>
          </m:dPr>
          <m:e>
            <m:m>
              <m:mPr>
                <m:mcs>
                  <m:mc>
                    <m:mcPr>
                      <m:count m:val="3"/>
                      <m:mcJc m:val="center"/>
                    </m:mcPr>
                  </m:mc>
                </m:mcs>
                <m:ctrlPr>
                  <w:rPr>
                    <w:rFonts w:ascii="Cambria Math" w:hAnsi="Cambria Math" w:cs="Times New Roman"/>
                    <w:snapToGrid w:val="0"/>
                    <w:sz w:val="24"/>
                    <w:szCs w:val="24"/>
                    <w:lang w:val="en-GB"/>
                  </w:rPr>
                </m:ctrlPr>
              </m:mPr>
              <m:mr>
                <m:e>
                  <m:rad>
                    <m:radPr>
                      <m:degHide m:val="1"/>
                      <m:ctrlPr>
                        <w:rPr>
                          <w:rFonts w:ascii="Cambria Math" w:hAnsi="Cambria Math" w:cs="Times New Roman"/>
                          <w:snapToGrid w:val="0"/>
                          <w:sz w:val="24"/>
                          <w:szCs w:val="24"/>
                          <w:lang w:val="en-GB"/>
                        </w:rPr>
                      </m:ctrlPr>
                    </m:radPr>
                    <m:deg/>
                    <m:e>
                      <m:sSup>
                        <m:sSupPr>
                          <m:ctrlPr>
                            <w:rPr>
                              <w:rFonts w:ascii="Cambria Math" w:hAnsi="Cambria Math" w:cs="Times New Roman"/>
                              <w:snapToGrid w:val="0"/>
                              <w:sz w:val="24"/>
                              <w:szCs w:val="24"/>
                              <w:lang w:val="en-GB"/>
                            </w:rPr>
                          </m:ctrlPr>
                        </m:sSupPr>
                        <m:e>
                          <m:r>
                            <m:rPr>
                              <m:sty m:val="p"/>
                            </m:rPr>
                            <w:rPr>
                              <w:rFonts w:ascii="Cambria Math" w:hAnsi="Cambria Math" w:cs="Times New Roman"/>
                              <w:snapToGrid w:val="0"/>
                              <w:sz w:val="24"/>
                              <w:szCs w:val="24"/>
                              <w:lang w:val="en-GB"/>
                            </w:rPr>
                            <m:t>R</m:t>
                          </m:r>
                        </m:e>
                        <m:sup>
                          <m:r>
                            <m:rPr>
                              <m:sty m:val="p"/>
                            </m:rPr>
                            <w:rPr>
                              <w:rFonts w:ascii="Cambria Math" w:hAnsi="Cambria Math" w:cs="Times New Roman"/>
                              <w:snapToGrid w:val="0"/>
                              <w:sz w:val="24"/>
                              <w:szCs w:val="24"/>
                              <w:lang w:val="en-GB"/>
                            </w:rPr>
                            <m:t>2</m:t>
                          </m:r>
                        </m:sup>
                      </m:sSup>
                      <m:r>
                        <m:rPr>
                          <m:sty m:val="p"/>
                        </m:rPr>
                        <w:rPr>
                          <w:rFonts w:ascii="Cambria Math" w:hAnsi="Cambria Math" w:cs="Times New Roman"/>
                          <w:snapToGrid w:val="0"/>
                          <w:sz w:val="24"/>
                          <w:szCs w:val="24"/>
                          <w:lang w:val="en-GB"/>
                        </w:rPr>
                        <m:t>-</m:t>
                      </m:r>
                      <m:sSup>
                        <m:sSupPr>
                          <m:ctrlPr>
                            <w:rPr>
                              <w:rFonts w:ascii="Cambria Math" w:hAnsi="Cambria Math" w:cs="Times New Roman"/>
                              <w:snapToGrid w:val="0"/>
                              <w:sz w:val="24"/>
                              <w:szCs w:val="24"/>
                              <w:lang w:val="en-GB"/>
                            </w:rPr>
                          </m:ctrlPr>
                        </m:sSupPr>
                        <m:e>
                          <m:d>
                            <m:dPr>
                              <m:ctrlPr>
                                <w:rPr>
                                  <w:rFonts w:ascii="Cambria Math" w:hAnsi="Cambria Math" w:cs="Times New Roman"/>
                                  <w:snapToGrid w:val="0"/>
                                  <w:sz w:val="24"/>
                                  <w:szCs w:val="24"/>
                                  <w:lang w:val="en-GB"/>
                                </w:rPr>
                              </m:ctrlPr>
                            </m:dPr>
                            <m:e>
                              <m:r>
                                <m:rPr>
                                  <m:sty m:val="p"/>
                                </m:rPr>
                                <w:rPr>
                                  <w:rFonts w:ascii="Cambria Math" w:hAnsi="Cambria Math" w:cs="Times New Roman"/>
                                  <w:snapToGrid w:val="0"/>
                                  <w:sz w:val="24"/>
                                  <w:szCs w:val="24"/>
                                  <w:lang w:val="en-GB"/>
                                </w:rPr>
                                <m:t>yp-yc</m:t>
                              </m:r>
                            </m:e>
                          </m:d>
                        </m:e>
                        <m:sup>
                          <m:r>
                            <m:rPr>
                              <m:sty m:val="p"/>
                            </m:rPr>
                            <w:rPr>
                              <w:rFonts w:ascii="Cambria Math" w:hAnsi="Cambria Math" w:cs="Times New Roman"/>
                              <w:snapToGrid w:val="0"/>
                              <w:sz w:val="24"/>
                              <w:szCs w:val="24"/>
                              <w:lang w:val="en-GB"/>
                            </w:rPr>
                            <m:t>2</m:t>
                          </m:r>
                        </m:sup>
                      </m:sSup>
                      <m:r>
                        <m:rPr>
                          <m:sty m:val="p"/>
                        </m:rPr>
                        <w:rPr>
                          <w:rFonts w:ascii="Cambria Math" w:hAnsi="Cambria Math" w:cs="Times New Roman"/>
                          <w:snapToGrid w:val="0"/>
                          <w:sz w:val="24"/>
                          <w:szCs w:val="24"/>
                          <w:lang w:val="en-GB"/>
                        </w:rPr>
                        <m:t>-</m:t>
                      </m:r>
                      <m:sSup>
                        <m:sSupPr>
                          <m:ctrlPr>
                            <w:rPr>
                              <w:rFonts w:ascii="Cambria Math" w:hAnsi="Cambria Math" w:cs="Times New Roman"/>
                              <w:snapToGrid w:val="0"/>
                              <w:sz w:val="24"/>
                              <w:szCs w:val="24"/>
                              <w:lang w:val="en-GB"/>
                            </w:rPr>
                          </m:ctrlPr>
                        </m:sSupPr>
                        <m:e>
                          <m:d>
                            <m:dPr>
                              <m:ctrlPr>
                                <w:rPr>
                                  <w:rFonts w:ascii="Cambria Math" w:hAnsi="Cambria Math" w:cs="Times New Roman"/>
                                  <w:snapToGrid w:val="0"/>
                                  <w:sz w:val="24"/>
                                  <w:szCs w:val="24"/>
                                  <w:lang w:val="en-GB"/>
                                </w:rPr>
                              </m:ctrlPr>
                            </m:dPr>
                            <m:e>
                              <m:r>
                                <m:rPr>
                                  <m:sty m:val="p"/>
                                </m:rPr>
                                <w:rPr>
                                  <w:rFonts w:ascii="Cambria Math" w:hAnsi="Cambria Math" w:cs="Times New Roman"/>
                                  <w:snapToGrid w:val="0"/>
                                  <w:sz w:val="24"/>
                                  <w:szCs w:val="24"/>
                                  <w:lang w:val="en-GB"/>
                                </w:rPr>
                                <m:t>zp-zc</m:t>
                              </m:r>
                            </m:e>
                          </m:d>
                        </m:e>
                        <m:sup>
                          <m:r>
                            <m:rPr>
                              <m:sty m:val="p"/>
                            </m:rPr>
                            <w:rPr>
                              <w:rFonts w:ascii="Cambria Math" w:hAnsi="Cambria Math" w:cs="Times New Roman"/>
                              <w:snapToGrid w:val="0"/>
                              <w:sz w:val="24"/>
                              <w:szCs w:val="24"/>
                              <w:lang w:val="en-GB"/>
                            </w:rPr>
                            <m:t>2</m:t>
                          </m:r>
                        </m:sup>
                      </m:sSup>
                    </m:e>
                  </m:rad>
                </m:e>
                <m:e>
                  <m:r>
                    <m:rPr>
                      <m:sty m:val="p"/>
                    </m:rPr>
                    <w:rPr>
                      <w:rFonts w:ascii="Cambria Math" w:hAnsi="Cambria Math" w:cs="Times New Roman"/>
                      <w:snapToGrid w:val="0"/>
                      <w:sz w:val="24"/>
                      <w:szCs w:val="24"/>
                      <w:lang w:val="en-GB"/>
                    </w:rPr>
                    <m:t>yp-yc</m:t>
                  </m:r>
                </m:e>
                <m:e>
                  <m:r>
                    <m:rPr>
                      <m:sty m:val="p"/>
                    </m:rPr>
                    <w:rPr>
                      <w:rFonts w:ascii="Cambria Math" w:hAnsi="Cambria Math" w:cs="Times New Roman"/>
                      <w:snapToGrid w:val="0"/>
                      <w:sz w:val="24"/>
                      <w:szCs w:val="24"/>
                      <w:lang w:val="en-GB"/>
                    </w:rPr>
                    <m:t>zp-zc</m:t>
                  </m:r>
                </m:e>
              </m:mr>
            </m:m>
          </m:e>
        </m:d>
      </m:oMath>
      <w:r w:rsidRPr="00F0786C">
        <w:rPr>
          <w:rFonts w:ascii="Times New Roman" w:hAnsi="Times New Roman" w:cs="Times New Roman"/>
          <w:snapToGrid w:val="0"/>
          <w:sz w:val="24"/>
          <w:szCs w:val="24"/>
          <w:lang w:val="en-GB"/>
        </w:rPr>
        <w:t xml:space="preserve"> and </w:t>
      </w:r>
      <m:oMath>
        <m:d>
          <m:dPr>
            <m:ctrlPr>
              <w:rPr>
                <w:rFonts w:ascii="Cambria Math" w:hAnsi="Cambria Math" w:cs="Times New Roman"/>
                <w:snapToGrid w:val="0"/>
                <w:sz w:val="24"/>
                <w:szCs w:val="24"/>
                <w:lang w:val="en-GB"/>
              </w:rPr>
            </m:ctrlPr>
          </m:dPr>
          <m:e>
            <m:m>
              <m:mPr>
                <m:mcs>
                  <m:mc>
                    <m:mcPr>
                      <m:count m:val="3"/>
                      <m:mcJc m:val="center"/>
                    </m:mcPr>
                  </m:mc>
                </m:mcs>
                <m:ctrlPr>
                  <w:rPr>
                    <w:rFonts w:ascii="Cambria Math" w:hAnsi="Cambria Math" w:cs="Times New Roman"/>
                    <w:snapToGrid w:val="0"/>
                    <w:sz w:val="24"/>
                    <w:szCs w:val="24"/>
                    <w:lang w:val="en-GB"/>
                  </w:rPr>
                </m:ctrlPr>
              </m:mPr>
              <m:mr>
                <m:e>
                  <m:rad>
                    <m:radPr>
                      <m:degHide m:val="1"/>
                      <m:ctrlPr>
                        <w:rPr>
                          <w:rFonts w:ascii="Cambria Math" w:hAnsi="Cambria Math" w:cs="Times New Roman"/>
                          <w:snapToGrid w:val="0"/>
                          <w:sz w:val="24"/>
                          <w:szCs w:val="24"/>
                          <w:lang w:val="en-GB"/>
                        </w:rPr>
                      </m:ctrlPr>
                    </m:radPr>
                    <m:deg/>
                    <m:e>
                      <m:sSup>
                        <m:sSupPr>
                          <m:ctrlPr>
                            <w:rPr>
                              <w:rFonts w:ascii="Cambria Math" w:hAnsi="Cambria Math" w:cs="Times New Roman"/>
                              <w:snapToGrid w:val="0"/>
                              <w:sz w:val="24"/>
                              <w:szCs w:val="24"/>
                              <w:lang w:val="en-GB"/>
                            </w:rPr>
                          </m:ctrlPr>
                        </m:sSupPr>
                        <m:e>
                          <m:r>
                            <m:rPr>
                              <m:sty m:val="p"/>
                            </m:rPr>
                            <w:rPr>
                              <w:rFonts w:ascii="Cambria Math" w:hAnsi="Cambria Math" w:cs="Times New Roman"/>
                              <w:snapToGrid w:val="0"/>
                              <w:sz w:val="24"/>
                              <w:szCs w:val="24"/>
                              <w:lang w:val="en-GB"/>
                            </w:rPr>
                            <m:t>R'</m:t>
                          </m:r>
                        </m:e>
                        <m:sup>
                          <m:r>
                            <m:rPr>
                              <m:sty m:val="p"/>
                            </m:rPr>
                            <w:rPr>
                              <w:rFonts w:ascii="Cambria Math" w:hAnsi="Cambria Math" w:cs="Times New Roman"/>
                              <w:snapToGrid w:val="0"/>
                              <w:sz w:val="24"/>
                              <w:szCs w:val="24"/>
                              <w:lang w:val="en-GB"/>
                            </w:rPr>
                            <m:t>2</m:t>
                          </m:r>
                        </m:sup>
                      </m:sSup>
                      <m:r>
                        <m:rPr>
                          <m:sty m:val="p"/>
                        </m:rPr>
                        <w:rPr>
                          <w:rFonts w:ascii="Cambria Math" w:hAnsi="Cambria Math" w:cs="Times New Roman"/>
                          <w:snapToGrid w:val="0"/>
                          <w:sz w:val="24"/>
                          <w:szCs w:val="24"/>
                          <w:lang w:val="en-GB"/>
                        </w:rPr>
                        <m:t>-</m:t>
                      </m:r>
                      <m:sSup>
                        <m:sSupPr>
                          <m:ctrlPr>
                            <w:rPr>
                              <w:rFonts w:ascii="Cambria Math" w:hAnsi="Cambria Math" w:cs="Times New Roman"/>
                              <w:snapToGrid w:val="0"/>
                              <w:sz w:val="24"/>
                              <w:szCs w:val="24"/>
                              <w:lang w:val="en-GB"/>
                            </w:rPr>
                          </m:ctrlPr>
                        </m:sSupPr>
                        <m:e>
                          <m:d>
                            <m:dPr>
                              <m:ctrlPr>
                                <w:rPr>
                                  <w:rFonts w:ascii="Cambria Math" w:hAnsi="Cambria Math" w:cs="Times New Roman"/>
                                  <w:snapToGrid w:val="0"/>
                                  <w:sz w:val="24"/>
                                  <w:szCs w:val="24"/>
                                  <w:lang w:val="en-GB"/>
                                </w:rPr>
                              </m:ctrlPr>
                            </m:dPr>
                            <m:e>
                              <m:r>
                                <m:rPr>
                                  <m:sty m:val="p"/>
                                </m:rPr>
                                <w:rPr>
                                  <w:rFonts w:ascii="Cambria Math" w:hAnsi="Cambria Math" w:cs="Times New Roman"/>
                                  <w:snapToGrid w:val="0"/>
                                  <w:sz w:val="24"/>
                                  <w:szCs w:val="24"/>
                                  <w:lang w:val="en-GB"/>
                                </w:rPr>
                                <m:t>yi-yc</m:t>
                              </m:r>
                            </m:e>
                          </m:d>
                        </m:e>
                        <m:sup>
                          <m:r>
                            <m:rPr>
                              <m:sty m:val="p"/>
                            </m:rPr>
                            <w:rPr>
                              <w:rFonts w:ascii="Cambria Math" w:hAnsi="Cambria Math" w:cs="Times New Roman"/>
                              <w:snapToGrid w:val="0"/>
                              <w:sz w:val="24"/>
                              <w:szCs w:val="24"/>
                              <w:lang w:val="en-GB"/>
                            </w:rPr>
                            <m:t>2</m:t>
                          </m:r>
                        </m:sup>
                      </m:sSup>
                      <m:r>
                        <m:rPr>
                          <m:sty m:val="p"/>
                        </m:rPr>
                        <w:rPr>
                          <w:rFonts w:ascii="Cambria Math" w:hAnsi="Cambria Math" w:cs="Times New Roman"/>
                          <w:snapToGrid w:val="0"/>
                          <w:sz w:val="24"/>
                          <w:szCs w:val="24"/>
                          <w:lang w:val="en-GB"/>
                        </w:rPr>
                        <m:t>-</m:t>
                      </m:r>
                      <m:sSup>
                        <m:sSupPr>
                          <m:ctrlPr>
                            <w:rPr>
                              <w:rFonts w:ascii="Cambria Math" w:hAnsi="Cambria Math" w:cs="Times New Roman"/>
                              <w:snapToGrid w:val="0"/>
                              <w:sz w:val="24"/>
                              <w:szCs w:val="24"/>
                              <w:lang w:val="en-GB"/>
                            </w:rPr>
                          </m:ctrlPr>
                        </m:sSupPr>
                        <m:e>
                          <m:d>
                            <m:dPr>
                              <m:ctrlPr>
                                <w:rPr>
                                  <w:rFonts w:ascii="Cambria Math" w:hAnsi="Cambria Math" w:cs="Times New Roman"/>
                                  <w:snapToGrid w:val="0"/>
                                  <w:sz w:val="24"/>
                                  <w:szCs w:val="24"/>
                                  <w:lang w:val="en-GB"/>
                                </w:rPr>
                              </m:ctrlPr>
                            </m:dPr>
                            <m:e>
                              <m:r>
                                <m:rPr>
                                  <m:sty m:val="p"/>
                                </m:rPr>
                                <w:rPr>
                                  <w:rFonts w:ascii="Cambria Math" w:hAnsi="Cambria Math" w:cs="Times New Roman"/>
                                  <w:snapToGrid w:val="0"/>
                                  <w:sz w:val="24"/>
                                  <w:szCs w:val="24"/>
                                  <w:lang w:val="en-GB"/>
                                </w:rPr>
                                <m:t>zi-zc</m:t>
                              </m:r>
                            </m:e>
                          </m:d>
                        </m:e>
                        <m:sup>
                          <m:r>
                            <m:rPr>
                              <m:sty m:val="p"/>
                            </m:rPr>
                            <w:rPr>
                              <w:rFonts w:ascii="Cambria Math" w:hAnsi="Cambria Math" w:cs="Times New Roman"/>
                              <w:snapToGrid w:val="0"/>
                              <w:sz w:val="24"/>
                              <w:szCs w:val="24"/>
                              <w:lang w:val="en-GB"/>
                            </w:rPr>
                            <m:t>2</m:t>
                          </m:r>
                        </m:sup>
                      </m:sSup>
                    </m:e>
                  </m:rad>
                </m:e>
                <m:e>
                  <m:r>
                    <m:rPr>
                      <m:sty m:val="p"/>
                    </m:rPr>
                    <w:rPr>
                      <w:rFonts w:ascii="Cambria Math" w:hAnsi="Cambria Math" w:cs="Times New Roman"/>
                      <w:snapToGrid w:val="0"/>
                      <w:sz w:val="24"/>
                      <w:szCs w:val="24"/>
                      <w:lang w:val="en-GB"/>
                    </w:rPr>
                    <m:t>yi-yc</m:t>
                  </m:r>
                </m:e>
                <m:e>
                  <m:r>
                    <m:rPr>
                      <m:sty m:val="p"/>
                    </m:rPr>
                    <w:rPr>
                      <w:rFonts w:ascii="Cambria Math" w:hAnsi="Cambria Math" w:cs="Times New Roman"/>
                      <w:snapToGrid w:val="0"/>
                      <w:sz w:val="24"/>
                      <w:szCs w:val="24"/>
                      <w:lang w:val="en-GB"/>
                    </w:rPr>
                    <m:t>zi-zc</m:t>
                  </m:r>
                </m:e>
              </m:mr>
            </m:m>
          </m:e>
        </m:d>
      </m:oMath>
      <w:r w:rsidRPr="00F0786C">
        <w:rPr>
          <w:rFonts w:ascii="Times New Roman" w:hAnsi="Times New Roman" w:cs="Times New Roman"/>
          <w:snapToGrid w:val="0"/>
          <w:sz w:val="24"/>
          <w:szCs w:val="24"/>
          <w:lang w:val="en-GB"/>
        </w:rPr>
        <w:t>.</w:t>
      </w:r>
    </w:p>
    <w:p w:rsidR="00C7176E" w:rsidRPr="00F0786C" w:rsidRDefault="00C7176E" w:rsidP="00C7176E">
      <w:pPr>
        <w:autoSpaceDE w:val="0"/>
        <w:autoSpaceDN w:val="0"/>
        <w:adjustRightInd w:val="0"/>
        <w:spacing w:line="480" w:lineRule="auto"/>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 xml:space="preserve">The relationship between the three-dimensional coordinates of the centre of the pupil and the iris freckle, compared between the test and reference positions, was used to calculate the rotation vector of the eye position, </w:t>
      </w:r>
      <w:r w:rsidRPr="00F0786C">
        <w:rPr>
          <w:rFonts w:ascii="Times New Roman" w:hAnsi="Times New Roman" w:cs="Times New Roman"/>
          <w:b/>
          <w:sz w:val="24"/>
          <w:szCs w:val="24"/>
          <w:lang w:val="en-GB"/>
        </w:rPr>
        <w:t>r</w:t>
      </w:r>
      <w:r w:rsidRPr="00F0786C">
        <w:rPr>
          <w:rFonts w:ascii="Times New Roman" w:hAnsi="Times New Roman" w:cs="Times New Roman"/>
          <w:sz w:val="24"/>
          <w:szCs w:val="24"/>
          <w:lang w:val="en-GB"/>
        </w:rPr>
        <w:t xml:space="preserve"> (Haslwanter T. Vision Res (1995) 35:1727-39). The reference position was defined as the eye position when the mouse’s head was still in an upright position. The X, Y, and Z components of the axis angle of the eye position primarily reflected the roll, pitch, and yaw components, respectively (Appendix Fig. B). The direction of rotation was described from the mouse’s point of </w:t>
      </w:r>
      <w:r w:rsidRPr="00F0786C">
        <w:rPr>
          <w:rFonts w:ascii="Times New Roman" w:hAnsi="Times New Roman" w:cs="Times New Roman"/>
          <w:sz w:val="24"/>
          <w:szCs w:val="24"/>
          <w:lang w:val="en-GB"/>
        </w:rPr>
        <w:lastRenderedPageBreak/>
        <w:t xml:space="preserve">view. For the X-component, “right torsional” and “left torsional” indicated that the superior pole of the eyeball rotated toward the right and left ears, respectively. We used the Euler angle parameter, given as 2 </w:t>
      </w:r>
      <w:r w:rsidRPr="00F0786C">
        <w:rPr>
          <w:rFonts w:ascii="Times New Roman" w:hAnsi="Times New Roman" w:cs="Times New Roman"/>
          <w:sz w:val="24"/>
          <w:szCs w:val="24"/>
          <w:lang w:val="en-GB"/>
        </w:rPr>
        <w:sym w:font="Symbol" w:char="F0B4"/>
      </w:r>
      <w:r w:rsidRPr="00F0786C">
        <w:rPr>
          <w:rFonts w:ascii="Times New Roman" w:hAnsi="Times New Roman" w:cs="Times New Roman"/>
          <w:sz w:val="24"/>
          <w:szCs w:val="24"/>
          <w:lang w:val="en-GB"/>
        </w:rPr>
        <w:t xml:space="preserve"> tan</w:t>
      </w:r>
      <w:r w:rsidRPr="00F0786C">
        <w:rPr>
          <w:rFonts w:ascii="Times New Roman" w:hAnsi="Times New Roman" w:cs="Times New Roman"/>
          <w:sz w:val="24"/>
          <w:szCs w:val="24"/>
          <w:vertAlign w:val="superscript"/>
          <w:lang w:val="en-GB"/>
        </w:rPr>
        <w:t>-1</w:t>
      </w:r>
      <w:r w:rsidRPr="00F0786C">
        <w:rPr>
          <w:rFonts w:ascii="Times New Roman" w:hAnsi="Times New Roman" w:cs="Times New Roman"/>
          <w:sz w:val="24"/>
          <w:szCs w:val="24"/>
          <w:lang w:val="en-GB"/>
        </w:rPr>
        <w:t xml:space="preserve">(magnitude of rotation vector, </w:t>
      </w:r>
      <w:r w:rsidRPr="00F0786C">
        <w:rPr>
          <w:rFonts w:ascii="Times New Roman" w:hAnsi="Times New Roman" w:cs="Times New Roman"/>
          <w:b/>
          <w:sz w:val="24"/>
          <w:szCs w:val="24"/>
          <w:lang w:val="en-GB"/>
        </w:rPr>
        <w:t>r</w:t>
      </w:r>
      <w:r w:rsidRPr="00F0786C">
        <w:rPr>
          <w:rFonts w:ascii="Times New Roman" w:hAnsi="Times New Roman" w:cs="Times New Roman"/>
          <w:snapToGrid w:val="0"/>
          <w:sz w:val="24"/>
          <w:szCs w:val="24"/>
          <w:lang w:val="en-GB"/>
        </w:rPr>
        <w:t>), to represent eye position and velocity as an axis-angle representation</w:t>
      </w:r>
      <w:r w:rsidRPr="00F0786C">
        <w:rPr>
          <w:rFonts w:ascii="Times New Roman" w:hAnsi="Times New Roman" w:cs="Times New Roman"/>
          <w:sz w:val="24"/>
          <w:szCs w:val="24"/>
          <w:lang w:val="en-GB"/>
        </w:rPr>
        <w:t xml:space="preserve"> (Schnabolk C et al. J Neurophysiol (1994) 71:623-638).</w:t>
      </w:r>
    </w:p>
    <w:p w:rsidR="00C7176E" w:rsidRPr="00F0786C" w:rsidRDefault="00C7176E" w:rsidP="00C7176E">
      <w:pPr>
        <w:spacing w:line="480" w:lineRule="auto"/>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The accuracy of this method for analysing eye rotation vectors has been described elsewhere. The accuracy of our video-oculography method was confirmed by matching the analysed angle of an eyeball simulator with a previously set value (Imai et al. Acta Otolaryngol (1999) 119:24-28) and by matching the analysed angle with that analysed using a scleral search coil system in humans</w:t>
      </w:r>
      <w:r w:rsidRPr="00F0786C">
        <w:rPr>
          <w:rFonts w:ascii="Times New Roman" w:hAnsi="Times New Roman" w:cs="Times New Roman"/>
          <w:noProof/>
          <w:sz w:val="24"/>
          <w:szCs w:val="24"/>
          <w:vertAlign w:val="superscript"/>
          <w:lang w:val="en-GB"/>
        </w:rPr>
        <w:t xml:space="preserve"> </w:t>
      </w:r>
      <w:r w:rsidRPr="00F0786C">
        <w:rPr>
          <w:rFonts w:ascii="Times New Roman" w:hAnsi="Times New Roman" w:cs="Times New Roman"/>
          <w:sz w:val="24"/>
          <w:szCs w:val="24"/>
          <w:lang w:val="en-GB"/>
        </w:rPr>
        <w:t>(Imai T et al. Auris Nasus Larynx (2005) 32:3-9). In addition, we confirmed the absence of torsional cross-talk between the horizontal and vertical components of the analysed data when the rotated angle was between −40° and 40°</w:t>
      </w:r>
      <w:r w:rsidRPr="00F0786C">
        <w:rPr>
          <w:rFonts w:ascii="Times New Roman" w:hAnsi="Times New Roman" w:cs="Times New Roman"/>
          <w:noProof/>
          <w:sz w:val="24"/>
          <w:szCs w:val="24"/>
          <w:vertAlign w:val="superscript"/>
          <w:lang w:val="en-GB"/>
        </w:rPr>
        <w:t xml:space="preserve"> </w:t>
      </w:r>
      <w:r w:rsidRPr="00F0786C">
        <w:rPr>
          <w:rFonts w:ascii="Times New Roman" w:hAnsi="Times New Roman" w:cs="Times New Roman"/>
          <w:sz w:val="24"/>
          <w:szCs w:val="24"/>
          <w:lang w:val="en-GB"/>
        </w:rPr>
        <w:t>(Imai et al. Acta Otolaryngol (1999) 119:24-28).</w:t>
      </w:r>
    </w:p>
    <w:p w:rsidR="00C7176E" w:rsidRPr="00F0786C" w:rsidRDefault="00C7176E" w:rsidP="00C7176E">
      <w:pPr>
        <w:spacing w:line="480" w:lineRule="auto"/>
        <w:jc w:val="left"/>
        <w:rPr>
          <w:rFonts w:ascii="Times New Roman" w:hAnsi="Times New Roman" w:cs="Times New Roman"/>
          <w:sz w:val="24"/>
          <w:szCs w:val="24"/>
          <w:lang w:val="en-GB"/>
        </w:rPr>
      </w:pPr>
    </w:p>
    <w:p w:rsidR="00C7176E" w:rsidRPr="00F0786C" w:rsidRDefault="00C7176E" w:rsidP="00C7176E">
      <w:pPr>
        <w:spacing w:line="480" w:lineRule="auto"/>
        <w:jc w:val="left"/>
        <w:rPr>
          <w:rFonts w:ascii="Times New Roman" w:hAnsi="Times New Roman" w:cs="Times New Roman"/>
          <w:sz w:val="24"/>
          <w:szCs w:val="24"/>
          <w:lang w:val="en-GB"/>
        </w:rPr>
      </w:pPr>
      <w:r>
        <w:rPr>
          <w:rFonts w:ascii="Times New Roman" w:hAnsi="Times New Roman" w:cs="Times New Roman"/>
          <w:noProof/>
          <w:sz w:val="24"/>
          <w:szCs w:val="24"/>
        </w:rPr>
        <w:lastRenderedPageBreak/>
        <w:drawing>
          <wp:inline distT="0" distB="0" distL="0" distR="0">
            <wp:extent cx="5400040" cy="4105275"/>
            <wp:effectExtent l="0" t="0" r="0" b="952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ppendixfigure4-2.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00040" cy="4105275"/>
                    </a:xfrm>
                    <a:prstGeom prst="rect">
                      <a:avLst/>
                    </a:prstGeom>
                  </pic:spPr>
                </pic:pic>
              </a:graphicData>
            </a:graphic>
          </wp:inline>
        </w:drawing>
      </w:r>
    </w:p>
    <w:p w:rsidR="00C7176E" w:rsidRPr="00F0786C" w:rsidRDefault="00C7176E" w:rsidP="00C7176E">
      <w:pPr>
        <w:spacing w:line="480" w:lineRule="auto"/>
        <w:jc w:val="left"/>
        <w:rPr>
          <w:rFonts w:ascii="Times New Roman" w:hAnsi="Times New Roman" w:cs="Times New Roman"/>
          <w:b/>
          <w:sz w:val="24"/>
          <w:szCs w:val="24"/>
          <w:lang w:val="en-GB"/>
        </w:rPr>
      </w:pPr>
      <w:r w:rsidRPr="00F0786C">
        <w:rPr>
          <w:rFonts w:ascii="Times New Roman" w:hAnsi="Times New Roman" w:cs="Times New Roman" w:hint="eastAsia"/>
          <w:b/>
          <w:sz w:val="24"/>
          <w:szCs w:val="24"/>
          <w:lang w:val="en-GB"/>
        </w:rPr>
        <w:t>Appendix figure</w:t>
      </w:r>
    </w:p>
    <w:p w:rsidR="00C7176E" w:rsidRPr="00F0786C" w:rsidRDefault="00C7176E" w:rsidP="00C7176E">
      <w:pPr>
        <w:spacing w:line="480" w:lineRule="auto"/>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The method for analysing three-dimensional eye position in the mouse</w:t>
      </w:r>
    </w:p>
    <w:p w:rsidR="00C7176E" w:rsidRPr="00F0786C" w:rsidRDefault="00C7176E" w:rsidP="00C7176E">
      <w:pPr>
        <w:spacing w:line="480" w:lineRule="auto"/>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(A)   Rotation vector of eye position</w:t>
      </w:r>
    </w:p>
    <w:p w:rsidR="00C7176E" w:rsidRPr="00F0786C" w:rsidRDefault="00C7176E" w:rsidP="00C7176E">
      <w:pPr>
        <w:spacing w:line="480" w:lineRule="auto"/>
        <w:ind w:leftChars="160" w:left="336" w:firstLine="515"/>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Any eye position can be reached by rotating the eye from the reference position around a single axis. Therefore, any eye position can be represented by the axis and the rotation angle around the axis. A rotation vector is a vector of which the direction is the axis and the magnitude is the value of tan(the rotation angle / 2).</w:t>
      </w:r>
      <w:r w:rsidRPr="00F0786C">
        <w:rPr>
          <w:rFonts w:ascii="Times New Roman" w:hAnsi="Times New Roman" w:cs="Times New Roman"/>
          <w:b/>
          <w:sz w:val="24"/>
          <w:szCs w:val="24"/>
          <w:lang w:val="en-GB"/>
        </w:rPr>
        <w:t xml:space="preserve"> </w:t>
      </w:r>
    </w:p>
    <w:p w:rsidR="00C7176E" w:rsidRPr="00F0786C" w:rsidRDefault="00C7176E" w:rsidP="00C7176E">
      <w:pPr>
        <w:spacing w:line="480" w:lineRule="auto"/>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(B)   Three-dimensional coordinate frame of the left eye</w:t>
      </w:r>
    </w:p>
    <w:p w:rsidR="00C7176E" w:rsidRPr="00F0786C" w:rsidRDefault="00C7176E" w:rsidP="00C7176E">
      <w:pPr>
        <w:spacing w:line="480" w:lineRule="auto"/>
        <w:ind w:leftChars="160" w:left="336" w:firstLine="515"/>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The three-dimensional coordinate of the left eye was defined as follows: the X-</w:t>
      </w:r>
      <w:r w:rsidRPr="00F0786C">
        <w:rPr>
          <w:rFonts w:ascii="Times New Roman" w:hAnsi="Times New Roman" w:cs="Times New Roman"/>
          <w:sz w:val="24"/>
          <w:szCs w:val="24"/>
          <w:lang w:val="en-GB"/>
        </w:rPr>
        <w:lastRenderedPageBreak/>
        <w:t>axis parallel to the interaural axis (positive left), the Y-axis parallel to the naso-occipital axis (positive backward), and the Z-axis normal to the X–Y plane (positive upwards). In the present study, eye movements can be three-dimensionally described by axis angle, characterizing the eye positions around a single rotation. Therefore, the X-, Y-, and Z-components mainly reflect the roll, pitch, and yaw components, respectively.</w:t>
      </w:r>
    </w:p>
    <w:p w:rsidR="00C7176E" w:rsidRPr="00F0786C" w:rsidRDefault="00C7176E" w:rsidP="00C7176E">
      <w:pPr>
        <w:spacing w:line="480" w:lineRule="auto"/>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(C)   The schema of the eye image of the mouse</w:t>
      </w:r>
    </w:p>
    <w:p w:rsidR="00C7176E" w:rsidRPr="00F0786C" w:rsidRDefault="00C7176E" w:rsidP="00C7176E">
      <w:pPr>
        <w:spacing w:line="480" w:lineRule="auto"/>
        <w:ind w:leftChars="166" w:left="349" w:firstLine="490"/>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The coordinates of the centre of the pupil and an iris freckle shown by the arrow were extracted.</w:t>
      </w:r>
    </w:p>
    <w:p w:rsidR="00C7176E" w:rsidRPr="00F0786C" w:rsidRDefault="00C7176E" w:rsidP="00C7176E">
      <w:pPr>
        <w:spacing w:line="480" w:lineRule="auto"/>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(D)   The method for determination of the coordinate of centre of eye rotation</w:t>
      </w:r>
    </w:p>
    <w:p w:rsidR="00C7176E" w:rsidRPr="00F0786C" w:rsidRDefault="00C7176E" w:rsidP="00C7176E">
      <w:pPr>
        <w:spacing w:line="480" w:lineRule="auto"/>
        <w:ind w:leftChars="166" w:left="349" w:firstLine="502"/>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The edge of the pupil was detected and approximated using an ellipse. We then identified the minor and major axes of the ellipse. The centre of eye rotation (</w:t>
      </w:r>
      <w:r w:rsidRPr="00F0786C">
        <w:rPr>
          <w:rFonts w:ascii="Times New Roman" w:hAnsi="Times New Roman" w:cs="Times New Roman"/>
          <w:i/>
          <w:sz w:val="24"/>
          <w:szCs w:val="24"/>
          <w:lang w:val="en-GB"/>
        </w:rPr>
        <w:t>o</w:t>
      </w:r>
      <w:r w:rsidRPr="00F0786C">
        <w:rPr>
          <w:rFonts w:ascii="Times New Roman" w:hAnsi="Times New Roman" w:cs="Times New Roman"/>
          <w:sz w:val="24"/>
          <w:szCs w:val="24"/>
          <w:lang w:val="en-GB"/>
        </w:rPr>
        <w:t>) on the image plane was determined as the intersection of the extensions of the minor axes.</w:t>
      </w:r>
    </w:p>
    <w:p w:rsidR="00C7176E" w:rsidRPr="00F0786C" w:rsidRDefault="00C7176E" w:rsidP="00C7176E">
      <w:pPr>
        <w:spacing w:line="480" w:lineRule="auto"/>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 xml:space="preserve">(E)   The method for calculating the radius of rotation of the centre of the pupil </w:t>
      </w:r>
    </w:p>
    <w:p w:rsidR="00C7176E" w:rsidRPr="00F0786C" w:rsidRDefault="00C7176E" w:rsidP="00C7176E">
      <w:pPr>
        <w:autoSpaceDE w:val="0"/>
        <w:autoSpaceDN w:val="0"/>
        <w:adjustRightInd w:val="0"/>
        <w:spacing w:line="480" w:lineRule="auto"/>
        <w:ind w:leftChars="166" w:left="349" w:firstLine="502"/>
        <w:jc w:val="left"/>
        <w:rPr>
          <w:rFonts w:ascii="Times New Roman" w:hAnsi="Times New Roman" w:cs="Times New Roman"/>
          <w:sz w:val="24"/>
          <w:szCs w:val="24"/>
          <w:lang w:val="en-GB"/>
        </w:rPr>
      </w:pPr>
      <w:r w:rsidRPr="00F0786C">
        <w:rPr>
          <w:rFonts w:ascii="Times New Roman" w:hAnsi="Times New Roman" w:cs="Times New Roman"/>
          <w:sz w:val="24"/>
          <w:szCs w:val="24"/>
          <w:lang w:val="en-GB"/>
        </w:rPr>
        <w:t>After determining the centre of eye rotation, we calculated the radius of rotation of the centre of the pupil (</w:t>
      </w:r>
      <w:r w:rsidRPr="00F0786C">
        <w:rPr>
          <w:rFonts w:ascii="Times New Roman" w:hAnsi="Times New Roman" w:cs="Times New Roman"/>
          <w:i/>
          <w:sz w:val="24"/>
          <w:szCs w:val="24"/>
          <w:lang w:val="en-GB"/>
        </w:rPr>
        <w:t>R</w:t>
      </w:r>
      <w:r w:rsidRPr="00F0786C">
        <w:rPr>
          <w:rFonts w:ascii="Times New Roman" w:hAnsi="Times New Roman" w:cs="Times New Roman"/>
          <w:sz w:val="24"/>
          <w:szCs w:val="24"/>
          <w:lang w:val="en-GB"/>
        </w:rPr>
        <w:t xml:space="preserve">) using the following formula: </w:t>
      </w:r>
      <m:oMath>
        <m:r>
          <m:rPr>
            <m:sty m:val="p"/>
          </m:rPr>
          <w:rPr>
            <w:rFonts w:ascii="Cambria Math" w:hAnsi="Cambria Math" w:cs="Times New Roman"/>
            <w:snapToGrid w:val="0"/>
            <w:sz w:val="24"/>
            <w:szCs w:val="24"/>
            <w:lang w:val="en-GB"/>
          </w:rPr>
          <m:t xml:space="preserve"> </m:t>
        </m:r>
        <m:r>
          <w:rPr>
            <w:rFonts w:ascii="Cambria Math" w:hAnsi="Cambria Math" w:cs="Times New Roman"/>
            <w:snapToGrid w:val="0"/>
            <w:sz w:val="24"/>
            <w:szCs w:val="24"/>
            <w:lang w:val="en-GB"/>
          </w:rPr>
          <m:t>R</m:t>
        </m:r>
        <m:rad>
          <m:radPr>
            <m:degHide m:val="1"/>
            <m:ctrlPr>
              <w:rPr>
                <w:rFonts w:ascii="Cambria Math" w:hAnsi="Cambria Math" w:cs="Times New Roman"/>
                <w:snapToGrid w:val="0"/>
                <w:sz w:val="24"/>
                <w:szCs w:val="24"/>
                <w:lang w:val="en-GB"/>
              </w:rPr>
            </m:ctrlPr>
          </m:radPr>
          <m:deg/>
          <m:e>
            <m:r>
              <w:rPr>
                <w:rFonts w:ascii="Cambria Math" w:hAnsi="Cambria Math" w:cs="Times New Roman"/>
                <w:snapToGrid w:val="0"/>
                <w:sz w:val="24"/>
                <w:szCs w:val="24"/>
                <w:lang w:val="en-GB"/>
              </w:rPr>
              <m:t>1-</m:t>
            </m:r>
            <m:sSup>
              <m:sSupPr>
                <m:ctrlPr>
                  <w:rPr>
                    <w:rFonts w:ascii="Cambria Math" w:hAnsi="Cambria Math" w:cs="Times New Roman"/>
                    <w:i/>
                    <w:snapToGrid w:val="0"/>
                    <w:sz w:val="24"/>
                    <w:szCs w:val="24"/>
                    <w:lang w:val="en-GB"/>
                  </w:rPr>
                </m:ctrlPr>
              </m:sSupPr>
              <m:e>
                <m:d>
                  <m:dPr>
                    <m:ctrlPr>
                      <w:rPr>
                        <w:rFonts w:ascii="Cambria Math" w:hAnsi="Cambria Math" w:cs="Times New Roman"/>
                        <w:i/>
                        <w:snapToGrid w:val="0"/>
                        <w:sz w:val="24"/>
                        <w:szCs w:val="24"/>
                        <w:lang w:val="en-GB"/>
                      </w:rPr>
                    </m:ctrlPr>
                  </m:dPr>
                  <m:e>
                    <m:f>
                      <m:fPr>
                        <m:type m:val="lin"/>
                        <m:ctrlPr>
                          <w:rPr>
                            <w:rFonts w:ascii="Cambria Math" w:hAnsi="Cambria Math" w:cs="Times New Roman"/>
                            <w:snapToGrid w:val="0"/>
                            <w:sz w:val="24"/>
                            <w:szCs w:val="24"/>
                            <w:lang w:val="en-GB"/>
                          </w:rPr>
                        </m:ctrlPr>
                      </m:fPr>
                      <m:num>
                        <m:r>
                          <m:rPr>
                            <m:sty m:val="p"/>
                          </m:rPr>
                          <w:rPr>
                            <w:rFonts w:ascii="Cambria Math" w:hAnsi="Cambria Math" w:cs="Times New Roman"/>
                            <w:snapToGrid w:val="0"/>
                            <w:sz w:val="24"/>
                            <w:szCs w:val="24"/>
                            <w:lang w:val="en-GB"/>
                          </w:rPr>
                          <m:t>length of minor axis</m:t>
                        </m:r>
                      </m:num>
                      <m:den>
                        <m:r>
                          <m:rPr>
                            <m:sty m:val="p"/>
                          </m:rPr>
                          <w:rPr>
                            <w:rFonts w:ascii="Cambria Math" w:hAnsi="Cambria Math" w:cs="Times New Roman"/>
                            <w:snapToGrid w:val="0"/>
                            <w:sz w:val="24"/>
                            <w:szCs w:val="24"/>
                            <w:lang w:val="en-GB"/>
                          </w:rPr>
                          <m:t>length of major axis</m:t>
                        </m:r>
                      </m:den>
                    </m:f>
                  </m:e>
                </m:d>
              </m:e>
              <m:sup>
                <m:r>
                  <w:rPr>
                    <w:rFonts w:ascii="Cambria Math" w:hAnsi="Cambria Math" w:cs="Times New Roman"/>
                    <w:snapToGrid w:val="0"/>
                    <w:sz w:val="24"/>
                    <w:szCs w:val="24"/>
                    <w:lang w:val="en-GB"/>
                  </w:rPr>
                  <m:t>2</m:t>
                </m:r>
              </m:sup>
            </m:sSup>
          </m:e>
        </m:rad>
        <m:r>
          <w:rPr>
            <w:rFonts w:ascii="Cambria Math" w:hAnsi="Cambria Math" w:cs="Times New Roman"/>
            <w:snapToGrid w:val="0"/>
            <w:sz w:val="24"/>
            <w:szCs w:val="24"/>
            <w:lang w:val="en-GB"/>
          </w:rPr>
          <m:t>=d</m:t>
        </m:r>
      </m:oMath>
    </w:p>
    <w:p w:rsidR="00C7176E" w:rsidRPr="00F0786C" w:rsidRDefault="00C7176E" w:rsidP="00C7176E">
      <w:pPr>
        <w:spacing w:line="480" w:lineRule="auto"/>
        <w:ind w:leftChars="166" w:left="349"/>
        <w:jc w:val="left"/>
        <w:rPr>
          <w:rFonts w:ascii="Times New Roman" w:hAnsi="Times New Roman" w:cs="Times New Roman"/>
          <w:sz w:val="24"/>
          <w:szCs w:val="24"/>
          <w:shd w:val="clear" w:color="auto" w:fill="FFFFFF"/>
          <w:lang w:val="en-GB"/>
        </w:rPr>
      </w:pPr>
      <w:r w:rsidRPr="00F0786C">
        <w:rPr>
          <w:rFonts w:ascii="Times New Roman" w:hAnsi="Times New Roman" w:cs="Times New Roman"/>
          <w:sz w:val="24"/>
          <w:szCs w:val="24"/>
          <w:lang w:val="en-GB"/>
        </w:rPr>
        <w:lastRenderedPageBreak/>
        <w:t xml:space="preserve">Here, </w:t>
      </w:r>
      <w:r w:rsidRPr="00F0786C">
        <w:rPr>
          <w:rFonts w:ascii="Times New Roman" w:hAnsi="Times New Roman" w:cs="Times New Roman"/>
          <w:i/>
          <w:sz w:val="24"/>
          <w:szCs w:val="24"/>
          <w:lang w:val="en-GB"/>
        </w:rPr>
        <w:t>d</w:t>
      </w:r>
      <w:r w:rsidRPr="00F0786C">
        <w:rPr>
          <w:rFonts w:ascii="Times New Roman" w:hAnsi="Times New Roman" w:cs="Times New Roman"/>
          <w:sz w:val="24"/>
          <w:szCs w:val="24"/>
          <w:lang w:val="en-GB"/>
        </w:rPr>
        <w:t xml:space="preserve"> is the length between the centre of eye rotation, </w:t>
      </w:r>
      <w:r w:rsidRPr="00F0786C">
        <w:rPr>
          <w:rFonts w:ascii="Times New Roman" w:hAnsi="Times New Roman" w:cs="Times New Roman"/>
          <w:i/>
          <w:sz w:val="24"/>
          <w:szCs w:val="24"/>
          <w:lang w:val="en-GB"/>
        </w:rPr>
        <w:t>o</w:t>
      </w:r>
      <w:r w:rsidRPr="00F0786C">
        <w:rPr>
          <w:rFonts w:ascii="Times New Roman" w:hAnsi="Times New Roman" w:cs="Times New Roman"/>
          <w:sz w:val="24"/>
          <w:szCs w:val="24"/>
          <w:lang w:val="en-GB"/>
        </w:rPr>
        <w:t xml:space="preserve"> and the centre of the pupil ellipse, </w:t>
      </w:r>
      <w:r w:rsidRPr="00F0786C">
        <w:rPr>
          <w:rFonts w:ascii="Times New Roman" w:hAnsi="Times New Roman" w:cs="Times New Roman"/>
          <w:i/>
          <w:sz w:val="24"/>
          <w:szCs w:val="24"/>
          <w:lang w:val="en-GB"/>
        </w:rPr>
        <w:t>p</w:t>
      </w:r>
      <w:r w:rsidRPr="00F0786C">
        <w:rPr>
          <w:rFonts w:ascii="Times New Roman" w:hAnsi="Times New Roman" w:cs="Times New Roman"/>
          <w:sz w:val="24"/>
          <w:szCs w:val="24"/>
          <w:lang w:val="en-GB"/>
        </w:rPr>
        <w:t>.</w:t>
      </w:r>
    </w:p>
    <w:p w:rsidR="00C7176E" w:rsidRPr="00F0786C" w:rsidRDefault="00C7176E" w:rsidP="00C7176E">
      <w:pPr>
        <w:spacing w:line="480" w:lineRule="auto"/>
        <w:jc w:val="left"/>
        <w:rPr>
          <w:rFonts w:ascii="Times New Roman" w:hAnsi="Times New Roman" w:cs="Times New Roman"/>
          <w:sz w:val="24"/>
          <w:szCs w:val="24"/>
          <w:lang w:val="en-GB"/>
        </w:rPr>
      </w:pPr>
    </w:p>
    <w:p w:rsidR="00232780" w:rsidRPr="00C7176E" w:rsidRDefault="00232780">
      <w:pPr>
        <w:rPr>
          <w:lang w:val="en-GB"/>
        </w:rPr>
      </w:pPr>
    </w:p>
    <w:sectPr w:rsidR="00232780" w:rsidRPr="00C7176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2DFE" w:rsidRDefault="006A2DFE" w:rsidP="009D2F07">
      <w:r>
        <w:separator/>
      </w:r>
    </w:p>
  </w:endnote>
  <w:endnote w:type="continuationSeparator" w:id="0">
    <w:p w:rsidR="006A2DFE" w:rsidRDefault="006A2DFE" w:rsidP="009D2F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2DFE" w:rsidRDefault="006A2DFE" w:rsidP="009D2F07">
      <w:r>
        <w:separator/>
      </w:r>
    </w:p>
  </w:footnote>
  <w:footnote w:type="continuationSeparator" w:id="0">
    <w:p w:rsidR="006A2DFE" w:rsidRDefault="006A2DFE" w:rsidP="009D2F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8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76E"/>
    <w:rsid w:val="000F093C"/>
    <w:rsid w:val="00232780"/>
    <w:rsid w:val="003055E9"/>
    <w:rsid w:val="00657CEA"/>
    <w:rsid w:val="006A2DFE"/>
    <w:rsid w:val="009D2F07"/>
    <w:rsid w:val="00C7176E"/>
    <w:rsid w:val="00DC57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787F2422-7E59-4903-94DC-B5003552D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ＭＳ 明朝" w:eastAsia="ＭＳ 明朝" w:hAnsiTheme="minorHAnsi" w:cs="ＭＳ 明朝"/>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176E"/>
    <w:pPr>
      <w:widowControl w:val="0"/>
      <w:jc w:val="both"/>
    </w:pPr>
    <w:rPr>
      <w:rFonts w:asciiTheme="minorHAnsi" w:eastAsiaTheme="minorEastAsia"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7176E"/>
    <w:rPr>
      <w:sz w:val="18"/>
      <w:szCs w:val="18"/>
    </w:rPr>
  </w:style>
  <w:style w:type="paragraph" w:styleId="a4">
    <w:name w:val="annotation text"/>
    <w:basedOn w:val="a"/>
    <w:link w:val="a5"/>
    <w:uiPriority w:val="99"/>
    <w:semiHidden/>
    <w:unhideWhenUsed/>
    <w:rsid w:val="00C7176E"/>
    <w:rPr>
      <w:sz w:val="24"/>
      <w:szCs w:val="24"/>
    </w:rPr>
  </w:style>
  <w:style w:type="character" w:customStyle="1" w:styleId="a5">
    <w:name w:val="コメント文字列 (文字)"/>
    <w:basedOn w:val="a0"/>
    <w:link w:val="a4"/>
    <w:uiPriority w:val="99"/>
    <w:semiHidden/>
    <w:rsid w:val="00C7176E"/>
    <w:rPr>
      <w:rFonts w:asciiTheme="minorHAnsi" w:eastAsiaTheme="minorEastAsia" w:cstheme="minorBidi"/>
      <w:kern w:val="2"/>
    </w:rPr>
  </w:style>
  <w:style w:type="paragraph" w:styleId="a6">
    <w:name w:val="Balloon Text"/>
    <w:basedOn w:val="a"/>
    <w:link w:val="a7"/>
    <w:uiPriority w:val="99"/>
    <w:semiHidden/>
    <w:unhideWhenUsed/>
    <w:rsid w:val="00C7176E"/>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C7176E"/>
    <w:rPr>
      <w:rFonts w:asciiTheme="majorHAnsi" w:eastAsiaTheme="majorEastAsia" w:hAnsiTheme="majorHAnsi" w:cstheme="majorBidi"/>
      <w:kern w:val="2"/>
      <w:sz w:val="18"/>
      <w:szCs w:val="18"/>
    </w:rPr>
  </w:style>
  <w:style w:type="paragraph" w:styleId="a8">
    <w:name w:val="header"/>
    <w:basedOn w:val="a"/>
    <w:link w:val="a9"/>
    <w:uiPriority w:val="99"/>
    <w:unhideWhenUsed/>
    <w:rsid w:val="009D2F07"/>
    <w:pPr>
      <w:tabs>
        <w:tab w:val="center" w:pos="4252"/>
        <w:tab w:val="right" w:pos="8504"/>
      </w:tabs>
      <w:snapToGrid w:val="0"/>
    </w:pPr>
  </w:style>
  <w:style w:type="character" w:customStyle="1" w:styleId="a9">
    <w:name w:val="ヘッダー (文字)"/>
    <w:basedOn w:val="a0"/>
    <w:link w:val="a8"/>
    <w:uiPriority w:val="99"/>
    <w:rsid w:val="009D2F07"/>
    <w:rPr>
      <w:rFonts w:asciiTheme="minorHAnsi" w:eastAsiaTheme="minorEastAsia" w:cstheme="minorBidi"/>
      <w:kern w:val="2"/>
      <w:sz w:val="21"/>
      <w:szCs w:val="22"/>
    </w:rPr>
  </w:style>
  <w:style w:type="paragraph" w:styleId="aa">
    <w:name w:val="footer"/>
    <w:basedOn w:val="a"/>
    <w:link w:val="ab"/>
    <w:uiPriority w:val="99"/>
    <w:unhideWhenUsed/>
    <w:rsid w:val="009D2F07"/>
    <w:pPr>
      <w:tabs>
        <w:tab w:val="center" w:pos="4252"/>
        <w:tab w:val="right" w:pos="8504"/>
      </w:tabs>
      <w:snapToGrid w:val="0"/>
    </w:pPr>
  </w:style>
  <w:style w:type="character" w:customStyle="1" w:styleId="ab">
    <w:name w:val="フッター (文字)"/>
    <w:basedOn w:val="a0"/>
    <w:link w:val="aa"/>
    <w:uiPriority w:val="99"/>
    <w:rsid w:val="009D2F07"/>
    <w:rPr>
      <w:rFonts w:asciiTheme="minorHAnsi" w:eastAsiaTheme="minorEastAsia"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6</Pages>
  <Words>867</Words>
  <Characters>4946</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今井　貴夫</dc:creator>
  <cp:keywords/>
  <dc:description/>
  <cp:lastModifiedBy>今井　貴夫</cp:lastModifiedBy>
  <cp:revision>6</cp:revision>
  <cp:lastPrinted>2021-04-02T08:54:00Z</cp:lastPrinted>
  <dcterms:created xsi:type="dcterms:W3CDTF">2021-04-02T08:52:00Z</dcterms:created>
  <dcterms:modified xsi:type="dcterms:W3CDTF">2021-04-12T10:19:00Z</dcterms:modified>
</cp:coreProperties>
</file>