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7C3" w:rsidRPr="002119C1" w:rsidRDefault="000507C3" w:rsidP="000507C3">
      <w:pPr>
        <w:jc w:val="both"/>
        <w:rPr>
          <w:rFonts w:cstheme="minorHAnsi"/>
          <w:b/>
          <w:u w:val="single"/>
          <w:lang w:val="en-AU"/>
        </w:rPr>
      </w:pPr>
      <w:r w:rsidRPr="002119C1">
        <w:rPr>
          <w:rFonts w:cstheme="minorHAnsi"/>
          <w:b/>
          <w:u w:val="single"/>
          <w:lang w:val="en-AU"/>
        </w:rPr>
        <w:t xml:space="preserve">S </w:t>
      </w:r>
      <w:r>
        <w:rPr>
          <w:rFonts w:cstheme="minorHAnsi"/>
          <w:b/>
          <w:u w:val="single"/>
          <w:lang w:val="en-AU"/>
        </w:rPr>
        <w:t>Table</w:t>
      </w:r>
    </w:p>
    <w:p w:rsidR="005039C0" w:rsidRDefault="005039C0" w:rsidP="005039C0">
      <w:pPr>
        <w:spacing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</w:pPr>
      <w:r w:rsidRPr="005039C0">
        <w:rPr>
          <w:rFonts w:cstheme="minorHAnsi"/>
          <w:b/>
          <w:color w:val="000000"/>
          <w:sz w:val="24"/>
          <w:szCs w:val="24"/>
          <w:shd w:val="clear" w:color="auto" w:fill="FFFFFF"/>
          <w:lang w:val="en-AU"/>
        </w:rPr>
        <w:t>Supplementary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  <w:t xml:space="preserve"> </w:t>
      </w:r>
      <w:r w:rsidR="002B7317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AU"/>
        </w:rPr>
        <w:t>Table 1</w:t>
      </w: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AU"/>
        </w:rPr>
        <w:t>. Model comparison describing MPXV evolution.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  <w:t xml:space="preserve"> Marginal likelihood estimates of different models with (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  <w:t>heterochronous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  <w:t>) or without (isochronous) tip dates obtained using generalized stepping-stone sampling; 2lnBF values &gt;10 indicate decisive support for model 1 vs models 2, 3 and 4.</w:t>
      </w:r>
    </w:p>
    <w:tbl>
      <w:tblPr>
        <w:tblW w:w="8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6"/>
        <w:gridCol w:w="3815"/>
        <w:gridCol w:w="956"/>
      </w:tblGrid>
      <w:tr w:rsidR="005039C0" w:rsidTr="005039C0">
        <w:trPr>
          <w:trHeight w:val="7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39C0" w:rsidRDefault="005039C0" w:rsidP="00DE55C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>Model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39C0" w:rsidRDefault="005039C0" w:rsidP="00DE55C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Marginal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>likelihood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>estimate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39C0" w:rsidRDefault="005039C0" w:rsidP="00DE55C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>2lnBF</w:t>
            </w:r>
          </w:p>
        </w:tc>
      </w:tr>
      <w:tr w:rsidR="005039C0" w:rsidTr="00DE55C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39C0" w:rsidRPr="005039C0" w:rsidRDefault="005039C0" w:rsidP="00DE55CA">
            <w:pPr>
              <w:spacing w:line="276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1. </w:t>
            </w:r>
            <w:r w:rsidRPr="005039C0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Uncorrelated relaxed clock</w:t>
            </w:r>
          </w:p>
          <w:p w:rsidR="005039C0" w:rsidRDefault="005039C0" w:rsidP="00DE55C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Heterochronous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9C0" w:rsidRDefault="005039C0" w:rsidP="00DE55C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-247797.21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9C0" w:rsidRDefault="005039C0" w:rsidP="00DE55C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5039C0" w:rsidTr="00DE55C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9C0" w:rsidRDefault="005039C0" w:rsidP="00DE55C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2.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>Uncorrelated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relaxed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>clock</w:t>
            </w:r>
            <w:proofErr w:type="spellEnd"/>
          </w:p>
          <w:p w:rsidR="005039C0" w:rsidRDefault="005039C0" w:rsidP="00DE55C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>Isochronous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9C0" w:rsidRDefault="005039C0" w:rsidP="00DE55C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>-247804.31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9C0" w:rsidRDefault="005039C0" w:rsidP="00DE55C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>14.2</w:t>
            </w:r>
          </w:p>
        </w:tc>
      </w:tr>
      <w:tr w:rsidR="005039C0" w:rsidTr="00DE55C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9C0" w:rsidRDefault="005039C0" w:rsidP="00DE55C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3.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>Strict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>clock</w:t>
            </w:r>
            <w:proofErr w:type="spellEnd"/>
          </w:p>
          <w:p w:rsidR="005039C0" w:rsidRDefault="005039C0" w:rsidP="00DE55C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>Heterochronous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9C0" w:rsidRDefault="005039C0" w:rsidP="00DE55C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>-247852.22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9C0" w:rsidRDefault="005039C0" w:rsidP="00DE55C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>11</w:t>
            </w:r>
          </w:p>
        </w:tc>
      </w:tr>
      <w:tr w:rsidR="005039C0" w:rsidTr="00DE55C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9C0" w:rsidRDefault="005039C0" w:rsidP="00DE55C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4.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>Strict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>clock</w:t>
            </w:r>
            <w:proofErr w:type="spellEnd"/>
          </w:p>
          <w:p w:rsidR="005039C0" w:rsidRDefault="005039C0" w:rsidP="00DE55C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>Isochronous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9C0" w:rsidRDefault="005039C0" w:rsidP="00DE55C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>-247876.56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9C0" w:rsidRDefault="005039C0" w:rsidP="00DE55C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de-DE"/>
              </w:rPr>
              <w:t>15.87</w:t>
            </w:r>
          </w:p>
        </w:tc>
      </w:tr>
    </w:tbl>
    <w:p w:rsidR="005039C0" w:rsidRDefault="005039C0" w:rsidP="005039C0">
      <w:pPr>
        <w:spacing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</w:pPr>
    </w:p>
    <w:p w:rsidR="005039C0" w:rsidRDefault="005039C0" w:rsidP="005039C0">
      <w:pPr>
        <w:spacing w:line="276" w:lineRule="auto"/>
        <w:jc w:val="both"/>
        <w:rPr>
          <w:rFonts w:cstheme="minorHAnsi"/>
          <w:b/>
          <w:color w:val="000000"/>
          <w:sz w:val="24"/>
          <w:szCs w:val="24"/>
          <w:u w:val="single"/>
          <w:shd w:val="clear" w:color="auto" w:fill="FFFFFF"/>
          <w:lang w:val="en-AU"/>
        </w:rPr>
      </w:pPr>
    </w:p>
    <w:p w:rsidR="000507C3" w:rsidRDefault="000507C3" w:rsidP="000507C3">
      <w:pPr>
        <w:rPr>
          <w:lang w:val="en-AU"/>
        </w:rPr>
      </w:pPr>
    </w:p>
    <w:p w:rsidR="000507C3" w:rsidRDefault="000507C3" w:rsidP="000507C3">
      <w:pPr>
        <w:rPr>
          <w:lang w:val="en-AU"/>
        </w:rPr>
      </w:pPr>
    </w:p>
    <w:p w:rsidR="005039C0" w:rsidRDefault="005039C0" w:rsidP="000507C3">
      <w:pPr>
        <w:rPr>
          <w:lang w:val="en-AU"/>
        </w:rPr>
      </w:pPr>
    </w:p>
    <w:p w:rsidR="005039C0" w:rsidRDefault="005039C0" w:rsidP="000507C3">
      <w:pPr>
        <w:rPr>
          <w:lang w:val="en-AU"/>
        </w:rPr>
      </w:pPr>
    </w:p>
    <w:p w:rsidR="005039C0" w:rsidRDefault="005039C0" w:rsidP="000507C3">
      <w:pPr>
        <w:rPr>
          <w:lang w:val="en-AU"/>
        </w:rPr>
      </w:pPr>
    </w:p>
    <w:p w:rsidR="005039C0" w:rsidRDefault="005039C0" w:rsidP="000507C3">
      <w:pPr>
        <w:rPr>
          <w:lang w:val="en-AU"/>
        </w:rPr>
      </w:pPr>
    </w:p>
    <w:p w:rsidR="005039C0" w:rsidRDefault="005039C0" w:rsidP="000507C3">
      <w:pPr>
        <w:rPr>
          <w:lang w:val="en-AU"/>
        </w:rPr>
      </w:pPr>
    </w:p>
    <w:p w:rsidR="005039C0" w:rsidRDefault="005039C0" w:rsidP="000507C3">
      <w:pPr>
        <w:rPr>
          <w:lang w:val="en-AU"/>
        </w:rPr>
      </w:pPr>
    </w:p>
    <w:p w:rsidR="005039C0" w:rsidRDefault="005039C0" w:rsidP="000507C3">
      <w:pPr>
        <w:rPr>
          <w:lang w:val="en-AU"/>
        </w:rPr>
      </w:pPr>
    </w:p>
    <w:p w:rsidR="005039C0" w:rsidRDefault="005039C0" w:rsidP="000507C3">
      <w:pPr>
        <w:rPr>
          <w:lang w:val="en-AU"/>
        </w:rPr>
      </w:pPr>
    </w:p>
    <w:p w:rsidR="005039C0" w:rsidRDefault="005039C0" w:rsidP="000507C3">
      <w:pPr>
        <w:rPr>
          <w:lang w:val="en-AU"/>
        </w:rPr>
      </w:pPr>
    </w:p>
    <w:p w:rsidR="000507C3" w:rsidRPr="002119C1" w:rsidRDefault="000507C3" w:rsidP="000507C3">
      <w:pPr>
        <w:jc w:val="both"/>
        <w:rPr>
          <w:rFonts w:cstheme="minorHAnsi"/>
          <w:b/>
          <w:u w:val="single"/>
          <w:lang w:val="en-AU"/>
        </w:rPr>
      </w:pPr>
      <w:r w:rsidRPr="002119C1">
        <w:rPr>
          <w:rFonts w:cstheme="minorHAnsi"/>
          <w:b/>
          <w:u w:val="single"/>
          <w:lang w:val="en-AU"/>
        </w:rPr>
        <w:lastRenderedPageBreak/>
        <w:t xml:space="preserve">S </w:t>
      </w:r>
      <w:r>
        <w:rPr>
          <w:rFonts w:cstheme="minorHAnsi"/>
          <w:b/>
          <w:u w:val="single"/>
          <w:lang w:val="en-AU"/>
        </w:rPr>
        <w:t>figures</w:t>
      </w:r>
    </w:p>
    <w:p w:rsidR="000507C3" w:rsidRDefault="009D6A65" w:rsidP="000507C3">
      <w:pPr>
        <w:rPr>
          <w:lang w:val="en-AU"/>
        </w:rPr>
      </w:pPr>
      <w:r w:rsidRPr="009D6A65">
        <w:rPr>
          <w:noProof/>
          <w:lang w:val="en-GB" w:eastAsia="en-GB"/>
        </w:rPr>
        <w:drawing>
          <wp:inline distT="0" distB="0" distL="0" distR="0">
            <wp:extent cx="5760720" cy="6595338"/>
            <wp:effectExtent l="0" t="0" r="0" b="0"/>
            <wp:docPr id="3" name="Picture 3" descr="C:\Users\jmarien\Desktop\monkeypox viruses\paper\review\New figures without WA\MLtree25_3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arien\Desktop\monkeypox viruses\paper\review\New figures without WA\MLtree25_3_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9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07C3" w:rsidRDefault="000507C3" w:rsidP="000507C3">
      <w:pPr>
        <w:jc w:val="both"/>
        <w:rPr>
          <w:rFonts w:cstheme="minorHAnsi"/>
          <w:sz w:val="24"/>
          <w:szCs w:val="24"/>
          <w:lang w:val="en-CA"/>
        </w:rPr>
      </w:pPr>
      <w:r>
        <w:rPr>
          <w:rFonts w:cstheme="minorHAnsi"/>
          <w:b/>
          <w:bCs/>
          <w:sz w:val="24"/>
          <w:szCs w:val="24"/>
          <w:lang w:val="en-AU"/>
        </w:rPr>
        <w:t xml:space="preserve">S. </w:t>
      </w:r>
      <w:r w:rsidRPr="00133BC3">
        <w:rPr>
          <w:rFonts w:cstheme="minorHAnsi"/>
          <w:b/>
          <w:bCs/>
          <w:sz w:val="24"/>
          <w:szCs w:val="24"/>
          <w:lang w:val="en-AU"/>
        </w:rPr>
        <w:t>Fig 1:</w:t>
      </w:r>
      <w:r w:rsidRPr="00133BC3">
        <w:rPr>
          <w:rFonts w:cstheme="minorHAnsi"/>
          <w:sz w:val="24"/>
          <w:szCs w:val="24"/>
          <w:lang w:val="en-AU"/>
        </w:rPr>
        <w:t xml:space="preserve"> </w:t>
      </w:r>
      <w:r w:rsidR="0084413E">
        <w:rPr>
          <w:rFonts w:eastAsia="Times New Roman" w:cstheme="minorHAnsi"/>
          <w:b/>
          <w:bCs/>
          <w:color w:val="000000"/>
          <w:sz w:val="24"/>
          <w:szCs w:val="24"/>
          <w:lang w:val="en-IE" w:eastAsia="de-DE"/>
        </w:rPr>
        <w:t>Phylogenetic tree</w:t>
      </w:r>
      <w:r w:rsidRPr="00133BC3">
        <w:rPr>
          <w:rFonts w:eastAsia="Times New Roman" w:cstheme="minorHAnsi"/>
          <w:b/>
          <w:bCs/>
          <w:color w:val="000000"/>
          <w:sz w:val="24"/>
          <w:szCs w:val="24"/>
          <w:lang w:val="en-IE" w:eastAsia="de-DE"/>
        </w:rPr>
        <w:t xml:space="preserve"> from an alignment of monkeypox whole genome sequences and map of Africa to show </w:t>
      </w:r>
      <w:r>
        <w:rPr>
          <w:rFonts w:eastAsia="Times New Roman" w:cstheme="minorHAnsi"/>
          <w:b/>
          <w:bCs/>
          <w:color w:val="000000"/>
          <w:sz w:val="24"/>
          <w:szCs w:val="24"/>
          <w:lang w:val="en-IE" w:eastAsia="de-DE"/>
        </w:rPr>
        <w:t>sequence origin based on a maximum likelihood phylogenetic analysis</w:t>
      </w:r>
      <w:r w:rsidRPr="00133BC3">
        <w:rPr>
          <w:rFonts w:eastAsia="Times New Roman" w:cstheme="minorHAnsi"/>
          <w:b/>
          <w:bCs/>
          <w:color w:val="000000"/>
          <w:sz w:val="24"/>
          <w:szCs w:val="24"/>
          <w:lang w:val="en-IE" w:eastAsia="de-DE"/>
        </w:rPr>
        <w:t xml:space="preserve">. </w:t>
      </w:r>
      <w:r w:rsidRPr="00133BC3">
        <w:rPr>
          <w:rFonts w:eastAsia="Times New Roman" w:cstheme="minorHAnsi"/>
          <w:color w:val="000000"/>
          <w:sz w:val="24"/>
          <w:szCs w:val="24"/>
          <w:lang w:val="en-IE" w:eastAsia="de-DE"/>
        </w:rPr>
        <w:t xml:space="preserve">Sequences derived from specimens from the Congo Basin are in </w:t>
      </w:r>
      <w:r>
        <w:rPr>
          <w:rFonts w:eastAsia="Times New Roman" w:cstheme="minorHAnsi"/>
          <w:color w:val="000000"/>
          <w:sz w:val="24"/>
          <w:szCs w:val="24"/>
          <w:lang w:val="en-IE" w:eastAsia="de-DE"/>
        </w:rPr>
        <w:t>red</w:t>
      </w:r>
      <w:r w:rsidRPr="00133BC3">
        <w:rPr>
          <w:rFonts w:eastAsia="Times New Roman" w:cstheme="minorHAnsi"/>
          <w:color w:val="000000"/>
          <w:sz w:val="24"/>
          <w:szCs w:val="24"/>
          <w:lang w:val="en-IE" w:eastAsia="de-DE"/>
        </w:rPr>
        <w:t xml:space="preserve">, from West Africa in </w:t>
      </w:r>
      <w:r>
        <w:rPr>
          <w:rFonts w:eastAsia="Times New Roman" w:cstheme="minorHAnsi"/>
          <w:color w:val="000000"/>
          <w:sz w:val="24"/>
          <w:szCs w:val="24"/>
          <w:lang w:val="en-IE" w:eastAsia="de-DE"/>
        </w:rPr>
        <w:t>blue</w:t>
      </w:r>
      <w:r w:rsidRPr="00133BC3">
        <w:rPr>
          <w:rFonts w:eastAsia="Times New Roman" w:cstheme="minorHAnsi"/>
          <w:color w:val="000000"/>
          <w:sz w:val="24"/>
          <w:szCs w:val="24"/>
          <w:lang w:val="en-IE" w:eastAsia="de-DE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en-IE" w:eastAsia="de-DE"/>
        </w:rPr>
        <w:t>the USA and Europe in black and</w:t>
      </w:r>
      <w:r w:rsidRPr="00133BC3">
        <w:rPr>
          <w:rFonts w:eastAsia="Times New Roman" w:cstheme="minorHAnsi"/>
          <w:color w:val="000000"/>
          <w:sz w:val="24"/>
          <w:szCs w:val="24"/>
          <w:lang w:val="en-IE" w:eastAsia="de-DE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en-IE" w:eastAsia="de-DE"/>
        </w:rPr>
        <w:t>wildlife derived sequences</w:t>
      </w:r>
      <w:r w:rsidRPr="00133BC3">
        <w:rPr>
          <w:rFonts w:eastAsia="Times New Roman" w:cstheme="minorHAnsi"/>
          <w:color w:val="000000"/>
          <w:sz w:val="24"/>
          <w:szCs w:val="24"/>
          <w:lang w:val="en-IE" w:eastAsia="de-DE"/>
        </w:rPr>
        <w:t xml:space="preserve"> in bold </w:t>
      </w:r>
      <w:r>
        <w:rPr>
          <w:rFonts w:eastAsia="Times New Roman" w:cstheme="minorHAnsi"/>
          <w:color w:val="000000"/>
          <w:sz w:val="24"/>
          <w:szCs w:val="24"/>
          <w:lang w:val="en-IE" w:eastAsia="de-DE"/>
        </w:rPr>
        <w:t>italic</w:t>
      </w:r>
      <w:r w:rsidRPr="00133BC3">
        <w:rPr>
          <w:rFonts w:eastAsia="Times New Roman" w:cstheme="minorHAnsi"/>
          <w:color w:val="000000"/>
          <w:sz w:val="24"/>
          <w:szCs w:val="24"/>
          <w:lang w:val="en-IE" w:eastAsia="de-DE"/>
        </w:rPr>
        <w:t xml:space="preserve">. Human MPXV sequences are represented as dots </w:t>
      </w:r>
      <w:r>
        <w:rPr>
          <w:rFonts w:eastAsia="Times New Roman" w:cstheme="minorHAnsi"/>
          <w:color w:val="000000"/>
          <w:sz w:val="24"/>
          <w:szCs w:val="24"/>
          <w:lang w:val="en-IE" w:eastAsia="de-DE"/>
        </w:rPr>
        <w:t xml:space="preserve">on the map </w:t>
      </w:r>
      <w:r w:rsidRPr="00133BC3">
        <w:rPr>
          <w:rFonts w:eastAsia="Times New Roman" w:cstheme="minorHAnsi"/>
          <w:color w:val="000000"/>
          <w:sz w:val="24"/>
          <w:szCs w:val="24"/>
          <w:lang w:val="en-IE" w:eastAsia="de-DE"/>
        </w:rPr>
        <w:t>and animal sequences as triangles.</w:t>
      </w:r>
      <w:r w:rsidRPr="0097283D">
        <w:rPr>
          <w:rFonts w:eastAsia="Times New Roman" w:cstheme="minorHAnsi"/>
          <w:color w:val="000000"/>
          <w:sz w:val="24"/>
          <w:szCs w:val="24"/>
          <w:lang w:val="en-CA" w:eastAsia="de-DE"/>
        </w:rPr>
        <w:t xml:space="preserve"> </w:t>
      </w:r>
      <w:r w:rsidRPr="0097283D">
        <w:rPr>
          <w:rFonts w:cstheme="minorHAnsi"/>
          <w:sz w:val="24"/>
          <w:szCs w:val="24"/>
          <w:lang w:val="en-CA"/>
        </w:rPr>
        <w:t xml:space="preserve">The inner branch colours represent </w:t>
      </w:r>
      <w:proofErr w:type="spellStart"/>
      <w:r w:rsidR="0084413E">
        <w:rPr>
          <w:rFonts w:cstheme="minorHAnsi"/>
          <w:sz w:val="24"/>
          <w:szCs w:val="24"/>
          <w:lang w:val="en-CA"/>
        </w:rPr>
        <w:t>aLRT</w:t>
      </w:r>
      <w:proofErr w:type="spellEnd"/>
      <w:r w:rsidR="0084413E">
        <w:rPr>
          <w:rFonts w:cstheme="minorHAnsi"/>
          <w:sz w:val="24"/>
          <w:szCs w:val="24"/>
          <w:lang w:val="en-CA"/>
        </w:rPr>
        <w:t>-branch support</w:t>
      </w:r>
      <w:r w:rsidRPr="0097283D">
        <w:rPr>
          <w:rFonts w:cstheme="minorHAnsi"/>
          <w:sz w:val="24"/>
          <w:szCs w:val="24"/>
          <w:lang w:val="en-CA"/>
        </w:rPr>
        <w:t xml:space="preserve"> (grey is &lt;0.95; black is ≥0.95)</w:t>
      </w:r>
      <w:r>
        <w:rPr>
          <w:rFonts w:cstheme="minorHAnsi"/>
          <w:sz w:val="24"/>
          <w:szCs w:val="24"/>
          <w:lang w:val="en-CA"/>
        </w:rPr>
        <w:t xml:space="preserve">. </w:t>
      </w:r>
    </w:p>
    <w:p w:rsidR="000507C3" w:rsidRDefault="000507C3" w:rsidP="000507C3">
      <w:pPr>
        <w:rPr>
          <w:lang w:val="en-AU"/>
        </w:rPr>
      </w:pPr>
    </w:p>
    <w:p w:rsidR="00CA74AF" w:rsidRPr="003F0650" w:rsidRDefault="00CA74AF" w:rsidP="000507C3">
      <w:pPr>
        <w:rPr>
          <w:lang w:val="en-AU"/>
        </w:rPr>
      </w:pPr>
      <w:r w:rsidRPr="00CA74AF">
        <w:rPr>
          <w:noProof/>
          <w:lang w:val="en-GB" w:eastAsia="en-GB"/>
        </w:rPr>
        <w:lastRenderedPageBreak/>
        <w:drawing>
          <wp:inline distT="0" distB="0" distL="0" distR="0">
            <wp:extent cx="6228512" cy="5349240"/>
            <wp:effectExtent l="0" t="0" r="1270" b="3810"/>
            <wp:docPr id="2" name="Picture 2" descr="C:\Users\jmarien\Desktop\monkeypox viruses\paper\review\New figures without WA\PhyML_Fun 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marien\Desktop\monkeypox viruses\paper\review\New figures without WA\PhyML_Fun 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693" cy="535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AF" w:rsidRDefault="00CA74AF" w:rsidP="00CA74AF">
      <w:pPr>
        <w:jc w:val="both"/>
        <w:rPr>
          <w:rFonts w:cstheme="minorHAnsi"/>
          <w:sz w:val="24"/>
          <w:szCs w:val="24"/>
          <w:lang w:val="en-CA"/>
        </w:rPr>
      </w:pPr>
      <w:r>
        <w:rPr>
          <w:rFonts w:cstheme="minorHAnsi"/>
          <w:b/>
          <w:bCs/>
          <w:sz w:val="24"/>
          <w:szCs w:val="24"/>
          <w:lang w:val="en-AU"/>
        </w:rPr>
        <w:t xml:space="preserve">S. </w:t>
      </w:r>
      <w:r w:rsidRPr="00133BC3">
        <w:rPr>
          <w:rFonts w:cstheme="minorHAnsi"/>
          <w:b/>
          <w:bCs/>
          <w:sz w:val="24"/>
          <w:szCs w:val="24"/>
          <w:lang w:val="en-AU"/>
        </w:rPr>
        <w:t xml:space="preserve">Fig </w:t>
      </w:r>
      <w:r>
        <w:rPr>
          <w:rFonts w:cstheme="minorHAnsi"/>
          <w:b/>
          <w:bCs/>
          <w:sz w:val="24"/>
          <w:szCs w:val="24"/>
          <w:lang w:val="en-AU"/>
        </w:rPr>
        <w:t>2</w:t>
      </w:r>
      <w:r w:rsidRPr="00133BC3">
        <w:rPr>
          <w:rFonts w:cstheme="minorHAnsi"/>
          <w:b/>
          <w:bCs/>
          <w:sz w:val="24"/>
          <w:szCs w:val="24"/>
          <w:lang w:val="en-AU"/>
        </w:rPr>
        <w:t>:</w:t>
      </w:r>
      <w:r w:rsidRPr="00133BC3">
        <w:rPr>
          <w:rFonts w:cstheme="minorHAnsi"/>
          <w:sz w:val="24"/>
          <w:szCs w:val="24"/>
          <w:lang w:val="en-AU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val="en-IE" w:eastAsia="de-DE"/>
        </w:rPr>
        <w:t>Phylogenetic tree</w:t>
      </w:r>
      <w:r w:rsidRPr="00133BC3">
        <w:rPr>
          <w:rFonts w:eastAsia="Times New Roman" w:cstheme="minorHAnsi"/>
          <w:b/>
          <w:bCs/>
          <w:color w:val="000000"/>
          <w:sz w:val="24"/>
          <w:szCs w:val="24"/>
          <w:lang w:val="en-IE" w:eastAsia="de-DE"/>
        </w:rPr>
        <w:t xml:space="preserve"> from an alignment of monkeypox whole genome sequences and map of Africa to show </w:t>
      </w:r>
      <w:r>
        <w:rPr>
          <w:rFonts w:eastAsia="Times New Roman" w:cstheme="minorHAnsi"/>
          <w:b/>
          <w:bCs/>
          <w:color w:val="000000"/>
          <w:sz w:val="24"/>
          <w:szCs w:val="24"/>
          <w:lang w:val="en-IE" w:eastAsia="de-DE"/>
        </w:rPr>
        <w:t>sequence origin based on a maximum likelihood phylogenetic analysis</w:t>
      </w:r>
      <w:r w:rsidRPr="00133BC3">
        <w:rPr>
          <w:rFonts w:eastAsia="Times New Roman" w:cstheme="minorHAnsi"/>
          <w:b/>
          <w:bCs/>
          <w:color w:val="000000"/>
          <w:sz w:val="24"/>
          <w:szCs w:val="24"/>
          <w:lang w:val="en-IE" w:eastAsia="de-DE"/>
        </w:rPr>
        <w:t xml:space="preserve">. </w:t>
      </w:r>
      <w:r w:rsidRPr="00133BC3">
        <w:rPr>
          <w:rFonts w:eastAsia="Times New Roman" w:cstheme="minorHAnsi"/>
          <w:color w:val="000000"/>
          <w:sz w:val="24"/>
          <w:szCs w:val="24"/>
          <w:lang w:val="en-IE" w:eastAsia="de-DE"/>
        </w:rPr>
        <w:t xml:space="preserve">Sequences derived from specimens from the Congo Basin are in </w:t>
      </w:r>
      <w:r>
        <w:rPr>
          <w:rFonts w:eastAsia="Times New Roman" w:cstheme="minorHAnsi"/>
          <w:color w:val="000000"/>
          <w:sz w:val="24"/>
          <w:szCs w:val="24"/>
          <w:lang w:val="en-IE" w:eastAsia="de-DE"/>
        </w:rPr>
        <w:t xml:space="preserve">red (including the partially obtained sequence from </w:t>
      </w:r>
      <w:r>
        <w:rPr>
          <w:rFonts w:eastAsia="Times New Roman" w:cstheme="minorHAnsi"/>
          <w:i/>
          <w:iCs/>
          <w:color w:val="000000"/>
          <w:sz w:val="24"/>
          <w:szCs w:val="24"/>
          <w:lang w:val="en-IE" w:eastAsia="de-DE"/>
        </w:rPr>
        <w:t xml:space="preserve">F. </w:t>
      </w:r>
      <w:proofErr w:type="spellStart"/>
      <w:r>
        <w:rPr>
          <w:rFonts w:eastAsia="Times New Roman" w:cstheme="minorHAnsi"/>
          <w:i/>
          <w:iCs/>
          <w:color w:val="000000"/>
          <w:sz w:val="24"/>
          <w:szCs w:val="24"/>
          <w:lang w:val="en-IE" w:eastAsia="de-DE"/>
        </w:rPr>
        <w:t>b</w:t>
      </w:r>
      <w:r w:rsidRPr="00E025F1">
        <w:rPr>
          <w:rFonts w:eastAsia="Times New Roman" w:cstheme="minorHAnsi"/>
          <w:i/>
          <w:iCs/>
          <w:color w:val="000000"/>
          <w:sz w:val="24"/>
          <w:szCs w:val="24"/>
          <w:lang w:val="en-IE" w:eastAsia="de-DE"/>
        </w:rPr>
        <w:t>ayonii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IE" w:eastAsia="de-DE"/>
        </w:rPr>
        <w:t>)</w:t>
      </w:r>
      <w:r w:rsidRPr="00133BC3">
        <w:rPr>
          <w:rFonts w:eastAsia="Times New Roman" w:cstheme="minorHAnsi"/>
          <w:color w:val="000000"/>
          <w:sz w:val="24"/>
          <w:szCs w:val="24"/>
          <w:lang w:val="en-IE" w:eastAsia="de-DE"/>
        </w:rPr>
        <w:t xml:space="preserve">, from West Africa in </w:t>
      </w:r>
      <w:r>
        <w:rPr>
          <w:rFonts w:eastAsia="Times New Roman" w:cstheme="minorHAnsi"/>
          <w:color w:val="000000"/>
          <w:sz w:val="24"/>
          <w:szCs w:val="24"/>
          <w:lang w:val="en-IE" w:eastAsia="de-DE"/>
        </w:rPr>
        <w:t>blue</w:t>
      </w:r>
      <w:r w:rsidRPr="00133BC3">
        <w:rPr>
          <w:rFonts w:eastAsia="Times New Roman" w:cstheme="minorHAnsi"/>
          <w:color w:val="000000"/>
          <w:sz w:val="24"/>
          <w:szCs w:val="24"/>
          <w:lang w:val="en-IE" w:eastAsia="de-DE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en-IE" w:eastAsia="de-DE"/>
        </w:rPr>
        <w:t>the USA and Europe in black and</w:t>
      </w:r>
      <w:r w:rsidRPr="00133BC3">
        <w:rPr>
          <w:rFonts w:eastAsia="Times New Roman" w:cstheme="minorHAnsi"/>
          <w:color w:val="000000"/>
          <w:sz w:val="24"/>
          <w:szCs w:val="24"/>
          <w:lang w:val="en-IE" w:eastAsia="de-DE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en-IE" w:eastAsia="de-DE"/>
        </w:rPr>
        <w:t>wildlife derived sequences</w:t>
      </w:r>
      <w:r w:rsidRPr="00133BC3">
        <w:rPr>
          <w:rFonts w:eastAsia="Times New Roman" w:cstheme="minorHAnsi"/>
          <w:color w:val="000000"/>
          <w:sz w:val="24"/>
          <w:szCs w:val="24"/>
          <w:lang w:val="en-IE" w:eastAsia="de-DE"/>
        </w:rPr>
        <w:t xml:space="preserve"> in bold </w:t>
      </w:r>
      <w:r>
        <w:rPr>
          <w:rFonts w:eastAsia="Times New Roman" w:cstheme="minorHAnsi"/>
          <w:color w:val="000000"/>
          <w:sz w:val="24"/>
          <w:szCs w:val="24"/>
          <w:lang w:val="en-IE" w:eastAsia="de-DE"/>
        </w:rPr>
        <w:t>italic</w:t>
      </w:r>
      <w:r w:rsidRPr="00133BC3">
        <w:rPr>
          <w:rFonts w:eastAsia="Times New Roman" w:cstheme="minorHAnsi"/>
          <w:color w:val="000000"/>
          <w:sz w:val="24"/>
          <w:szCs w:val="24"/>
          <w:lang w:val="en-IE" w:eastAsia="de-DE"/>
        </w:rPr>
        <w:t xml:space="preserve">. Human MPXV sequences are represented as dots </w:t>
      </w:r>
      <w:r>
        <w:rPr>
          <w:rFonts w:eastAsia="Times New Roman" w:cstheme="minorHAnsi"/>
          <w:color w:val="000000"/>
          <w:sz w:val="24"/>
          <w:szCs w:val="24"/>
          <w:lang w:val="en-IE" w:eastAsia="de-DE"/>
        </w:rPr>
        <w:t xml:space="preserve">on the map </w:t>
      </w:r>
      <w:r w:rsidRPr="00133BC3">
        <w:rPr>
          <w:rFonts w:eastAsia="Times New Roman" w:cstheme="minorHAnsi"/>
          <w:color w:val="000000"/>
          <w:sz w:val="24"/>
          <w:szCs w:val="24"/>
          <w:lang w:val="en-IE" w:eastAsia="de-DE"/>
        </w:rPr>
        <w:t>and animal sequences as triangles.</w:t>
      </w:r>
      <w:r w:rsidRPr="0097283D">
        <w:rPr>
          <w:rFonts w:eastAsia="Times New Roman" w:cstheme="minorHAnsi"/>
          <w:color w:val="000000"/>
          <w:sz w:val="24"/>
          <w:szCs w:val="24"/>
          <w:lang w:val="en-CA" w:eastAsia="de-DE"/>
        </w:rPr>
        <w:t xml:space="preserve"> </w:t>
      </w:r>
      <w:r w:rsidRPr="0097283D">
        <w:rPr>
          <w:rFonts w:cstheme="minorHAnsi"/>
          <w:sz w:val="24"/>
          <w:szCs w:val="24"/>
          <w:lang w:val="en-CA"/>
        </w:rPr>
        <w:t xml:space="preserve">The inner branch colours represent </w:t>
      </w:r>
      <w:proofErr w:type="spellStart"/>
      <w:r>
        <w:rPr>
          <w:rFonts w:cstheme="minorHAnsi"/>
          <w:sz w:val="24"/>
          <w:szCs w:val="24"/>
          <w:lang w:val="en-CA"/>
        </w:rPr>
        <w:t>aLRT</w:t>
      </w:r>
      <w:proofErr w:type="spellEnd"/>
      <w:r>
        <w:rPr>
          <w:rFonts w:cstheme="minorHAnsi"/>
          <w:sz w:val="24"/>
          <w:szCs w:val="24"/>
          <w:lang w:val="en-CA"/>
        </w:rPr>
        <w:t>-branch support</w:t>
      </w:r>
      <w:r w:rsidRPr="0097283D">
        <w:rPr>
          <w:rFonts w:cstheme="minorHAnsi"/>
          <w:sz w:val="24"/>
          <w:szCs w:val="24"/>
          <w:lang w:val="en-CA"/>
        </w:rPr>
        <w:t xml:space="preserve"> (grey is &lt;0.95; black is ≥0.95)</w:t>
      </w:r>
      <w:r>
        <w:rPr>
          <w:rFonts w:cstheme="minorHAnsi"/>
          <w:sz w:val="24"/>
          <w:szCs w:val="24"/>
          <w:lang w:val="en-CA"/>
        </w:rPr>
        <w:t xml:space="preserve">. </w:t>
      </w:r>
    </w:p>
    <w:p w:rsidR="00051A9A" w:rsidRPr="00CA74AF" w:rsidRDefault="00051A9A">
      <w:pPr>
        <w:rPr>
          <w:lang w:val="en-CA"/>
        </w:rPr>
      </w:pPr>
    </w:p>
    <w:sectPr w:rsidR="00051A9A" w:rsidRPr="00CA74AF" w:rsidSect="00132314">
      <w:footerReference w:type="default" r:id="rId8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592" w:rsidRDefault="00C86592">
      <w:pPr>
        <w:spacing w:after="0" w:line="240" w:lineRule="auto"/>
      </w:pPr>
      <w:r>
        <w:separator/>
      </w:r>
    </w:p>
  </w:endnote>
  <w:endnote w:type="continuationSeparator" w:id="0">
    <w:p w:rsidR="00C86592" w:rsidRDefault="00C8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23756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4561" w:rsidRDefault="00E63A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A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4561" w:rsidRDefault="00C86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592" w:rsidRDefault="00C86592">
      <w:pPr>
        <w:spacing w:after="0" w:line="240" w:lineRule="auto"/>
      </w:pPr>
      <w:r>
        <w:separator/>
      </w:r>
    </w:p>
  </w:footnote>
  <w:footnote w:type="continuationSeparator" w:id="0">
    <w:p w:rsidR="00C86592" w:rsidRDefault="00C86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3F"/>
    <w:rsid w:val="000507C3"/>
    <w:rsid w:val="00051A9A"/>
    <w:rsid w:val="000A44ED"/>
    <w:rsid w:val="002A3EA2"/>
    <w:rsid w:val="002B7317"/>
    <w:rsid w:val="004078FA"/>
    <w:rsid w:val="005039C0"/>
    <w:rsid w:val="006D21FD"/>
    <w:rsid w:val="00783FBE"/>
    <w:rsid w:val="0084413E"/>
    <w:rsid w:val="009D6A65"/>
    <w:rsid w:val="00B73B3F"/>
    <w:rsid w:val="00C86592"/>
    <w:rsid w:val="00CA74AF"/>
    <w:rsid w:val="00DF6502"/>
    <w:rsid w:val="00E6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EC196-9F1F-4E9C-BB9E-1CD4C4B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7C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5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7C3"/>
  </w:style>
  <w:style w:type="character" w:styleId="LineNumber">
    <w:name w:val="line number"/>
    <w:basedOn w:val="DefaultParagraphFont"/>
    <w:uiPriority w:val="99"/>
    <w:semiHidden/>
    <w:unhideWhenUsed/>
    <w:rsid w:val="000507C3"/>
  </w:style>
  <w:style w:type="paragraph" w:styleId="BalloonText">
    <w:name w:val="Balloon Text"/>
    <w:basedOn w:val="Normal"/>
    <w:link w:val="BalloonTextChar"/>
    <w:uiPriority w:val="99"/>
    <w:semiHidden/>
    <w:unhideWhenUsed/>
    <w:rsid w:val="00503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Mariën Joachim</dc:creator>
  <cp:keywords/>
  <dc:description/>
  <cp:lastModifiedBy>Mariën Joachim</cp:lastModifiedBy>
  <cp:revision>9</cp:revision>
  <dcterms:created xsi:type="dcterms:W3CDTF">2020-07-09T11:28:00Z</dcterms:created>
  <dcterms:modified xsi:type="dcterms:W3CDTF">2021-03-29T12:45:00Z</dcterms:modified>
</cp:coreProperties>
</file>