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B386" w14:textId="77777777" w:rsidR="00FE5E30" w:rsidRDefault="00000000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bookmarkStart w:id="0" w:name="OLE_LINK1"/>
      <w:r>
        <w:rPr>
          <w:rFonts w:ascii="Times New Roman" w:hAnsi="Times New Roman" w:cs="Times New Roman"/>
          <w:b/>
          <w:bCs/>
          <w:sz w:val="28"/>
          <w:szCs w:val="32"/>
        </w:rPr>
        <w:t>Supplementary</w:t>
      </w:r>
      <w:bookmarkEnd w:id="0"/>
      <w:r>
        <w:rPr>
          <w:rFonts w:ascii="Times New Roman" w:hAnsi="Times New Roman" w:cs="Times New Roman"/>
          <w:b/>
          <w:bCs/>
          <w:sz w:val="28"/>
          <w:szCs w:val="32"/>
        </w:rPr>
        <w:t xml:space="preserve"> materials</w:t>
      </w:r>
    </w:p>
    <w:p w14:paraId="2FFBE9D5" w14:textId="77777777" w:rsidR="00FE5E30" w:rsidRDefault="00000000">
      <w:pP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bidi="ar"/>
        </w:rPr>
      </w:pPr>
      <w:bookmarkStart w:id="1" w:name="OLE_LINK2"/>
      <w:r>
        <w:rPr>
          <w:rFonts w:ascii="Times New Roman" w:hAnsi="Times New Roman" w:cs="Times New Roman"/>
          <w:b/>
          <w:bCs/>
          <w:szCs w:val="21"/>
        </w:rPr>
        <w:t xml:space="preserve">Supplementary table 1. Subgroup analysis based on gender for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bidi="ar"/>
        </w:rPr>
        <w:t>symptom pattern between Rome IV criteria defined FD and potential FD that fulfilled Rome IV criteria but with 3-6 months’ duration.</w:t>
      </w:r>
    </w:p>
    <w:bookmarkEnd w:id="1"/>
    <w:tbl>
      <w:tblPr>
        <w:tblW w:w="6238" w:type="pct"/>
        <w:jc w:val="center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1041"/>
        <w:gridCol w:w="1254"/>
        <w:gridCol w:w="636"/>
        <w:gridCol w:w="1040"/>
        <w:gridCol w:w="1252"/>
        <w:gridCol w:w="636"/>
        <w:gridCol w:w="1465"/>
      </w:tblGrid>
      <w:tr w:rsidR="00FE5E30" w14:paraId="4747919F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E465529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41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3DFC5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Male</w:t>
            </w:r>
          </w:p>
        </w:tc>
        <w:tc>
          <w:tcPr>
            <w:tcW w:w="141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070FA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Female</w:t>
            </w:r>
          </w:p>
        </w:tc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EFE59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 xml:space="preserve">Within </w:t>
            </w: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>Rome IV criteria defined FD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 xml:space="preserve"> </w:t>
            </w:r>
          </w:p>
        </w:tc>
      </w:tr>
      <w:tr w:rsidR="00FE5E30" w14:paraId="01B14F0B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AA4A5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Symptom duration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F2D3A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>≥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6 months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AF9F8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3-6 months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487549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C5AD5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>≥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6 months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9836E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3-6 months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7E1FD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986D9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 w:val="21"/>
                <w:szCs w:val="21"/>
              </w:rPr>
              <w:t>P (male vs. female)</w:t>
            </w:r>
          </w:p>
        </w:tc>
      </w:tr>
      <w:tr w:rsidR="00FE5E30" w14:paraId="3208682A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31FEE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0D070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457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D3E5A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165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1E698C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C4021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194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910B3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58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68152C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010ACF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2D6007BF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90D93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Dyspepsia symptoms</w:t>
            </w: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EAEC06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6D8D7B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D95F5B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82BFE53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C89A68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D862F8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59A01A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4E64E9D7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15FF6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Epigastric pain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EF4FF0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79.2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E8376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78.8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A293C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0.909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520B406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57.2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14B3BCB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65.5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5A880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1"/>
                <w:szCs w:val="21"/>
              </w:rPr>
              <w:t>0.259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21311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1645C4E6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6BB69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Postprandial fullness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47EB3D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60.1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51841B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33.9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9E49C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0.754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98001A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39.9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7ECD02C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53.4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F1016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0.747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CEEC2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75D52D63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9F584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Early satiation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0AD33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22.8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55D7F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26.7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4C248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0.312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2F21652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48.5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2F33099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31.0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0315E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0.019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6C466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79EFAEFD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3B1E9D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Epigastric burning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12130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43.5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70AA8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52.1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4B566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0.058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5F3ED1A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37.1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07FE203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48.3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27372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0.127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A7A893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0.128</w:t>
            </w:r>
          </w:p>
        </w:tc>
      </w:tr>
      <w:tr w:rsidR="00FE5E30" w14:paraId="14DEB5D2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192B3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Postprandial pain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9B372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47.7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9F446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43.0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102BF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0.302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C726E1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27.8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5CF5D19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41.4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D75EC3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0.050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F3BE7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1EDC4297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EF203E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Postprandial nausea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8D24E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0.2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CDF6F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0.6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88CA1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0.460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4BD6BC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61DDB86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5.2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F8C10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0.730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111EE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0.003</w:t>
            </w:r>
          </w:p>
        </w:tc>
      </w:tr>
      <w:tr w:rsidR="00FE5E30" w14:paraId="27CC2CDD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F3623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Dysmotility-like symptoms</w:t>
            </w: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0AA247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006BA5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2E47FE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A8CDE2C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9342469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65B598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F4862D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 w:rsidR="00FE5E30" w14:paraId="705248FE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EE1DCD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Any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E1498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40.3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CE360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41.2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FA912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0.831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069FD92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68.0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D5A0EA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62.1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F1B91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0.397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56BB0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1058D403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C73AB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Belching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24AE3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27.8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3B3F4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28.5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F675F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0.865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0180D9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49.5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75CD848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50.0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6173B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0.945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A0794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6D409E44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ACA347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Nausea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4B3D4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16.6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7A9F4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18.8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3DB34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0.529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141352A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37.1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456C2C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34.5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7B7C0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0.715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50E3D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39A00598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0492A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Vomiting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7A3B7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0.7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487D0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1.2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F0665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0.621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6D93867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F9AD2D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3.4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19801FD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0.624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F91060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0.205</w:t>
            </w:r>
          </w:p>
        </w:tc>
      </w:tr>
      <w:tr w:rsidR="00FE5E30" w14:paraId="482A3176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03641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Reflux-like symptoms</w:t>
            </w: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24D32D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C63DFE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44E82E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218BFB50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1234F44C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8CBEFC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8785F0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6CAD89D3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B85DA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Any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ED84B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32.6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09516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32.7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8485A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0.977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E07479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11.3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0851EDA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27.6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17074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0.002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7FAA1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64CA6E3C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8D508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Heartburn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56FBA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12.0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01CAE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10.9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D1DC7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0.700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1503347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0.0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701A44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0.0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50753B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/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226D5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1DC09AC5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F3F1C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Acid reflux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D8E398D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30.9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42B828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29.7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9F998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0.782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BD145A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9.3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66901E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27.6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7A377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CAF579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236BA529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FE39B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Regurgitation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F97D5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4.2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498A1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3.0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431E0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0.519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6E5002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0A439A2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1.7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E7EB18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0.919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6D413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0.518</w:t>
            </w:r>
          </w:p>
        </w:tc>
      </w:tr>
      <w:tr w:rsidR="00FE5E30" w14:paraId="4B293FB9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ABE8FD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Symptoms after meals</w:t>
            </w: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5161C9C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545952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F3980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0.977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5E1BF3F9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716B7078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C6A3B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0.257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C8310D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  <w:tr w:rsidR="00FE5E30" w14:paraId="722D8EF7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7E8AB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Aggravation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99CD85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61.1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24421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61.8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0961E0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7DFC943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58.8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5DCE9A2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70.7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9FDCA53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47B667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2155FE2A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D29C2E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Relief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BE73B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17.1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69251D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16.4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C1C53D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7B8B12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32.5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137189C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22.4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BF51E4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B54CF4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437B6D64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045CB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No change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65889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21.9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F35ADA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21.8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5373FA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0194F9E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8.8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4B44536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6.9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40AEFA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8564DE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0033C36A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207FE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Overall symptom severity</w:t>
            </w:r>
            <w:r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  <w:lang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D69975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C9D253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696BC8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0.449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FCB62FB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78A10C26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55C0D42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0.922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7575C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0.148</w:t>
            </w:r>
          </w:p>
        </w:tc>
      </w:tr>
      <w:tr w:rsidR="00FE5E30" w14:paraId="4972A921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DC598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Moderate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6272D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74.6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DCAD8C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77.6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FAAEF9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57175B8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79.9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361E1D8F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79.3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60CB8B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6D701B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1FC9A257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CF315A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Severe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A525C7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25.4</w:t>
            </w: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A74C9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22.4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31012A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67065B5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20.1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79EBAD9D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20.7</w:t>
            </w: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704E07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6E5542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4058C5FA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565A386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Overall symptom frequency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3EFCD4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765736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FC98BF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297CA0F8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2D380BCF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3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29C323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3005BC" w14:textId="77777777" w:rsidR="00FE5E30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</w:p>
        </w:tc>
      </w:tr>
      <w:tr w:rsidR="00FE5E30" w14:paraId="6649B10D" w14:textId="77777777" w:rsidTr="000817E1">
        <w:trPr>
          <w:trHeight w:val="90"/>
          <w:tblCellSpacing w:w="0" w:type="dxa"/>
          <w:jc w:val="center"/>
        </w:trPr>
        <w:tc>
          <w:tcPr>
            <w:tcW w:w="1466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AFE901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lastRenderedPageBreak/>
              <w:t>Mean (SD)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8A9564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3.05(1.789)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9208DB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3.23(1.796)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6A5FD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0.258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06EBDAB5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4.35(1.407)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 w14:paraId="21321830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4.10(1.385)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D6B963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  <w:t>0.240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D92DD89" w14:textId="77777777" w:rsidR="00FE5E30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1"/>
                <w:szCs w:val="21"/>
              </w:rPr>
              <w:t>&lt;0.001</w:t>
            </w:r>
          </w:p>
        </w:tc>
      </w:tr>
    </w:tbl>
    <w:p w14:paraId="7B0B0C65" w14:textId="77777777" w:rsidR="000817E1" w:rsidRPr="000817E1" w:rsidRDefault="000817E1" w:rsidP="000817E1">
      <w:pPr>
        <w:widowControl/>
        <w:jc w:val="left"/>
        <w:rPr>
          <w:rFonts w:ascii="Times New Roman" w:hAnsi="Times New Roman" w:cs="Times New Roman"/>
        </w:rPr>
      </w:pPr>
      <w:r w:rsidRPr="000817E1">
        <w:rPr>
          <w:rFonts w:ascii="Times New Roman" w:hAnsi="Times New Roman" w:cs="Times New Roman"/>
        </w:rPr>
        <w:t xml:space="preserve">The results of categorical variables were expressed as N%, Pearson’s chi-square test or the Fisher exact test was used according to the analysis requirements. The results of continuous variables were expressed as the mean (standard deviation), and the independent-samples T test or one-way analysis of variance (ANOVA) test was used according to the analysis requirements. </w:t>
      </w:r>
    </w:p>
    <w:p w14:paraId="6AAC3FF4" w14:textId="71E77048" w:rsidR="00FE5E30" w:rsidRDefault="000817E1" w:rsidP="000817E1">
      <w:pPr>
        <w:widowControl/>
        <w:jc w:val="left"/>
        <w:rPr>
          <w:rFonts w:ascii="Times New Roman" w:hAnsi="Times New Roman" w:cs="Times New Roman"/>
          <w:szCs w:val="21"/>
        </w:rPr>
      </w:pPr>
      <w:r w:rsidRPr="000817E1">
        <w:rPr>
          <w:rFonts w:ascii="Times New Roman" w:hAnsi="Times New Roman" w:cs="Times New Roman"/>
          <w:i/>
          <w:iCs/>
        </w:rPr>
        <w:t>P</w:t>
      </w:r>
      <w:r w:rsidRPr="000817E1">
        <w:rPr>
          <w:rFonts w:ascii="Times New Roman" w:hAnsi="Times New Roman" w:cs="Times New Roman"/>
        </w:rPr>
        <w:t>&lt;0.05 indicates a statistical difference.</w:t>
      </w:r>
      <w:r w:rsidR="00000000">
        <w:rPr>
          <w:rFonts w:ascii="Times New Roman" w:hAnsi="Times New Roman" w:cs="Times New Roman"/>
          <w:szCs w:val="21"/>
        </w:rPr>
        <w:br w:type="page"/>
      </w:r>
    </w:p>
    <w:p w14:paraId="6D1E6215" w14:textId="77777777" w:rsidR="00FE5E30" w:rsidRDefault="00000000">
      <w:pPr>
        <w:rPr>
          <w:rFonts w:ascii="Times New Roman" w:hAnsi="Times New Roman" w:cs="Times New Roman"/>
          <w:b/>
          <w:bCs/>
          <w:color w:val="000000" w:themeColor="text1"/>
          <w:kern w:val="0"/>
          <w:szCs w:val="21"/>
          <w:lang w:bidi="ar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table 2. Subgroup analysis based on age for symptom pattern between Rome IV criteria defined FD and potential FD that fulfilled </w:t>
      </w:r>
      <w:bookmarkStart w:id="2" w:name="OLE_LINK3"/>
      <w:r>
        <w:rPr>
          <w:rFonts w:ascii="Times New Roman" w:hAnsi="Times New Roman" w:cs="Times New Roman"/>
          <w:b/>
          <w:bCs/>
          <w:szCs w:val="21"/>
        </w:rPr>
        <w:t>Rome IV criteria</w:t>
      </w:r>
      <w:bookmarkEnd w:id="2"/>
      <w:r>
        <w:rPr>
          <w:rFonts w:ascii="Times New Roman" w:hAnsi="Times New Roman" w:cs="Times New Roman"/>
          <w:b/>
          <w:bCs/>
          <w:szCs w:val="21"/>
        </w:rPr>
        <w:t xml:space="preserve"> but with 3-6 months’ duration.</w:t>
      </w:r>
    </w:p>
    <w:tbl>
      <w:tblPr>
        <w:tblW w:w="11747" w:type="dxa"/>
        <w:jc w:val="center"/>
        <w:tblCellSpacing w:w="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901"/>
        <w:gridCol w:w="968"/>
        <w:gridCol w:w="599"/>
        <w:gridCol w:w="931"/>
        <w:gridCol w:w="930"/>
        <w:gridCol w:w="550"/>
        <w:gridCol w:w="970"/>
        <w:gridCol w:w="954"/>
        <w:gridCol w:w="559"/>
        <w:gridCol w:w="839"/>
        <w:gridCol w:w="761"/>
      </w:tblGrid>
      <w:tr w:rsidR="00FE5E30" w:rsidRPr="000817E1" w14:paraId="758ECB19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A5B5C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0"/>
                <w:szCs w:val="20"/>
                <w:lang w:bidi="ar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0"/>
                <w:lang w:bidi="ar"/>
              </w:rPr>
              <w:t>Age (year)</w:t>
            </w:r>
          </w:p>
        </w:tc>
        <w:tc>
          <w:tcPr>
            <w:tcW w:w="24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3BF17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18-35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AADEA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  <w:t>36-59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2BD17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  <w:t>60 and above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110335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 xml:space="preserve">Within 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  <w:lang w:bidi="ar"/>
              </w:rPr>
              <w:t>Rome IV criteria defined FD</w:t>
            </w:r>
          </w:p>
        </w:tc>
      </w:tr>
      <w:tr w:rsidR="00FE5E30" w:rsidRPr="000817E1" w14:paraId="375BAF20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12824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  <w:t>Symptom duration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1BE15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szCs w:val="20"/>
                <w:lang w:bidi="ar"/>
              </w:rPr>
              <w:t>≥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6 months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A0856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3-6 months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42A6CC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A9BD62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szCs w:val="20"/>
                <w:lang w:bidi="ar"/>
              </w:rPr>
              <w:t>≥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6 months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73510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3-6 months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F9A3D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0E23A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szCs w:val="20"/>
                <w:lang w:bidi="ar"/>
              </w:rPr>
              <w:t>≥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6 months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7B77C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3-6 months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AE84D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2A7EC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 (among groups)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04E4FE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0"/>
              </w:rPr>
              <w:t>Post hoc$</w:t>
            </w:r>
          </w:p>
        </w:tc>
      </w:tr>
      <w:tr w:rsidR="00FE5E30" w:rsidRPr="000817E1" w14:paraId="64C9A673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5A3B8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N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AAD99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139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6AB2D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5B263E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D6C6F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440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99C61D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144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623E75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03081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72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5B12E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29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F0338E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F6A50D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826D51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</w:tr>
      <w:tr w:rsidR="00FE5E30" w:rsidRPr="000817E1" w14:paraId="6901DC76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03747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Dyspepsia symptoms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 (N%)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9838F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CE7B54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5E1B4F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4A7EB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DEC043A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26B056E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BC173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0D3730C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F15393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71FFB6F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FD85C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</w:tr>
      <w:tr w:rsidR="00FE5E30" w:rsidRPr="000817E1" w14:paraId="24BC7960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738B6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Epigastric pain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B80E3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74.8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0724D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78.0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1DD89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0.653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0A524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73.0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031D3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75.0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84ECC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0.629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7D26D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66.7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4748E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72.4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BC41D4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0.574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A5284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0.439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08128C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0E2BFACA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D891CA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Postprandial fullness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1D4F7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34.5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F7F755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24.0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C6031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0.170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70894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36.1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503EE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41.7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8A7F1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0.234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3A2DE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56.9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00F37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51.7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897E5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0.633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AC196F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0.002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C9722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a,a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,b</w:t>
            </w:r>
            <w:proofErr w:type="spellEnd"/>
          </w:p>
        </w:tc>
      </w:tr>
      <w:tr w:rsidR="00FE5E30" w:rsidRPr="000817E1" w14:paraId="19A193D7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840BD9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Early satiation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B6627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15.8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ED08F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12.0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7D9E0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0.514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23880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28.9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25103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26.4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9ECBC6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0.567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043D1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68.1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FA7330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62.1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5C7CF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0.565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31D94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&lt;0.001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696DA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a,b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,c</w:t>
            </w:r>
            <w:proofErr w:type="spellEnd"/>
          </w:p>
        </w:tc>
      </w:tr>
      <w:tr w:rsidR="00FE5E30" w:rsidRPr="000817E1" w14:paraId="7E593FEC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6B15A9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Epigastric burning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ED81F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40.3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E9FA72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52.0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DCC63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0.152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ACB1E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44.5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31ABC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53.5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98E33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0.062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51859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26.4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7F4FD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37.9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27D93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0.251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C48CC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0.014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58EBC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ab,b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,a</w:t>
            </w:r>
            <w:proofErr w:type="spellEnd"/>
          </w:p>
        </w:tc>
      </w:tr>
      <w:tr w:rsidR="00FE5E30" w:rsidRPr="000817E1" w14:paraId="4F6FA072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F647C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Postprandial pain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2B9D3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32.4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3C1D1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40.0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35568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0.330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4511B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49.8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C4AA4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50.0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C59D7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0.962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35D99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11.1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E9FC2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10.3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7C47A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0.911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D4B9F1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EE0CD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5621B1A6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6B176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Postprandial nausea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6E543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A099F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4075F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0.265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5FA9CF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1.6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654CF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2.1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47266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0.714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9A1D8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6ACC0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E21430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/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14C593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EC5912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38B2FB8A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A90A4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Dysmotility-like symptoms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 (N%)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FCA2AF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F9D956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A136FD8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B65C68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D03B854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C35158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148D3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7A2E33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4B55B5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23F246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E12221A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</w:tr>
      <w:tr w:rsidR="00FE5E30" w:rsidRPr="000817E1" w14:paraId="76AAC5B3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68AA8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Any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63159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25.2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40618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22.0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7EA54C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0.653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C437B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53.6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9AEA0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50.7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12153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0.539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BC4E20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62.5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201AD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69.0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9B2339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0.539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73373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1A653E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530E239F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6F5D7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Belching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6248D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23.7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49073E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18.0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BB806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0.402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83978D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35.9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DE656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34.7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1E5770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0.796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13905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44.4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89478A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58.6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E5507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0.197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4DEA0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0.005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218234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a,b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,b</w:t>
            </w:r>
            <w:proofErr w:type="spellEnd"/>
          </w:p>
        </w:tc>
      </w:tr>
      <w:tr w:rsidR="00FE5E30" w:rsidRPr="000817E1" w14:paraId="7C9EBE9D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07979E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Nausea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F4594E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6.5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6DB4B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10.0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BB7C3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0.414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98533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25.5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BD690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27.1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072272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0.698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54CA3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37.5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DDDE7D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24.1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14BAF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0.199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55599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&lt;0.001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5BCB9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a,b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,b</w:t>
            </w:r>
            <w:proofErr w:type="spellEnd"/>
          </w:p>
        </w:tc>
      </w:tr>
      <w:tr w:rsidR="00FE5E30" w:rsidRPr="000817E1" w14:paraId="6E1A8E8B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038DE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Vomiting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680DA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0.7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E133D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8F577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0.460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1C24B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1.4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4B92CD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2.1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EF9FBF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0.827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43EDA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FFE44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E5206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/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18FA7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0.357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04E7CE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07D77D8E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BDB688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Reflux-like symptoms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 (N%)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45CA9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F7A3B54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42E726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4AA6A48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BC1EF4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FC457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001C35F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B0BE86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89D832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37D4E0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EE5FA1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</w:tr>
      <w:tr w:rsidR="00FE5E30" w:rsidRPr="000817E1" w14:paraId="182D6E52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F870C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Any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0C358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18.0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6D3ED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28.0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10F26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0.133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2F747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31.8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94C5E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37.5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797F1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0.209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0C9FF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8.3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460C8A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6.9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FFD876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0.809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41509E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0BE8628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2F00950E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1EE05B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Heartburn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5D699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3.6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1A7825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412DC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0.897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9873A2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11.4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3CE25A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10.4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8883A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0.872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E2FE97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F1CA33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AD7FA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0.287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06A58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&lt;0.001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09C61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a,b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,a</w:t>
            </w:r>
            <w:proofErr w:type="spellEnd"/>
          </w:p>
        </w:tc>
      </w:tr>
      <w:tr w:rsidR="00FE5E30" w:rsidRPr="000817E1" w14:paraId="29CA92ED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462FED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Acid reflux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4D8811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16.5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DDEFA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24.0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40BE4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0.245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CF878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29.8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F8E02D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34.7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6105EB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0.265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D0EF73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6.9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2FA7C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10.3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43E47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0.567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A18AF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&lt;0.001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5D13B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a,b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,a</w:t>
            </w:r>
            <w:proofErr w:type="spellEnd"/>
          </w:p>
        </w:tc>
      </w:tr>
      <w:tr w:rsidR="00FE5E30" w:rsidRPr="000817E1" w14:paraId="6CD8BEC2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B73451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Regurgitation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02E8FF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1.4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57012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D4150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0.394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436870E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5.0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E7E6B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3.5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D8A26D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0.647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801AAD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1.4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3043A5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3.4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4402BC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0.494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CDD106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0.084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CBB482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3F3D9EAA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1B090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Symptoms after meals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 (N%)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35D80F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AEB016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6A6008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0.741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7002C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927792B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60172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0.311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65E7CC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77A5DC4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C6C0E2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0.759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868DCB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&lt;0.001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9E848CC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</w:tr>
      <w:tr w:rsidR="00FE5E30" w:rsidRPr="000817E1" w14:paraId="18E00366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FCB07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Aggravation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0A440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46.0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E0C45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52.0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BD92AD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54DC09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68.0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2E2412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72.2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E9C536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3F9F3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41.7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CC628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44.8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EC31C1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3D7DC0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30DF0E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eastAsia="宋体" w:hAnsi="Times New Roman" w:cs="Times New Roman"/>
                <w:kern w:val="0"/>
                <w:szCs w:val="20"/>
              </w:rPr>
              <w:t>a,b</w:t>
            </w:r>
            <w:proofErr w:type="gramEnd"/>
            <w:r w:rsidRPr="000817E1">
              <w:rPr>
                <w:rFonts w:ascii="Times New Roman" w:eastAsia="宋体" w:hAnsi="Times New Roman" w:cs="Times New Roman"/>
                <w:kern w:val="0"/>
                <w:szCs w:val="20"/>
              </w:rPr>
              <w:t>,a</w:t>
            </w:r>
            <w:proofErr w:type="spellEnd"/>
          </w:p>
        </w:tc>
      </w:tr>
      <w:tr w:rsidR="00FE5E30" w:rsidRPr="000817E1" w14:paraId="3C779435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EF10F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Relief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26B5E7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28.8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C143A6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24.0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F10365D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025E2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18.0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1E4071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12.5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F0EB46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C7EC82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30.6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6D247F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34.5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C2035BB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BA4710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744FBA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eastAsia="宋体" w:hAnsi="Times New Roman" w:cs="Times New Roman"/>
                <w:kern w:val="0"/>
                <w:szCs w:val="20"/>
              </w:rPr>
              <w:t>a,b</w:t>
            </w:r>
            <w:proofErr w:type="gramEnd"/>
            <w:r w:rsidRPr="000817E1">
              <w:rPr>
                <w:rFonts w:ascii="Times New Roman" w:eastAsia="宋体" w:hAnsi="Times New Roman" w:cs="Times New Roman"/>
                <w:kern w:val="0"/>
                <w:szCs w:val="20"/>
              </w:rPr>
              <w:t>,a</w:t>
            </w:r>
            <w:proofErr w:type="spellEnd"/>
          </w:p>
        </w:tc>
      </w:tr>
      <w:tr w:rsidR="00FE5E30" w:rsidRPr="000817E1" w14:paraId="04E3D053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7D7AD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No change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DF404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25.2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9B2F03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24.0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B73053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C5A3A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14.1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F247D7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15.3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EED7E2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DCF137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27.8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51E84F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20.7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EE034EC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A5B343A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7EF5D8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eastAsia="宋体" w:hAnsi="Times New Roman" w:cs="Times New Roman"/>
                <w:kern w:val="0"/>
                <w:szCs w:val="20"/>
              </w:rPr>
              <w:t>a,b</w:t>
            </w:r>
            <w:proofErr w:type="gramEnd"/>
            <w:r w:rsidRPr="000817E1">
              <w:rPr>
                <w:rFonts w:ascii="Times New Roman" w:eastAsia="宋体" w:hAnsi="Times New Roman" w:cs="Times New Roman"/>
                <w:kern w:val="0"/>
                <w:szCs w:val="20"/>
              </w:rPr>
              <w:t>,a</w:t>
            </w:r>
            <w:proofErr w:type="spellEnd"/>
          </w:p>
        </w:tc>
      </w:tr>
      <w:tr w:rsidR="00FE5E30" w:rsidRPr="000817E1" w14:paraId="57C2752C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2BBB02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t>Overall symptom severity</w:t>
            </w: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  <w:lang w:bidi="ar"/>
              </w:rPr>
              <w:t xml:space="preserve"> (N%)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562BF1B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84A6C51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2A1C6A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0.737</w:t>
            </w: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C91092A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197770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307BBB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0.897</w:t>
            </w: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B9F00A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A3A9A2E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539BBF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0.11</w:t>
            </w:r>
            <w:r w:rsidRPr="000817E1">
              <w:rPr>
                <w:rFonts w:ascii="Times New Roman" w:hAnsi="Times New Roman" w:cs="Times New Roman" w:hint="eastAsia"/>
                <w:color w:val="000000"/>
                <w:szCs w:val="20"/>
              </w:rPr>
              <w:t>0</w:t>
            </w: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2EBCF3C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&lt;0.001</w:t>
            </w: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B7A23F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proofErr w:type="gramStart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a,b</w:t>
            </w:r>
            <w:proofErr w:type="gramEnd"/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,b</w:t>
            </w:r>
            <w:proofErr w:type="spellEnd"/>
          </w:p>
        </w:tc>
      </w:tr>
      <w:tr w:rsidR="00FE5E30" w:rsidRPr="000817E1" w14:paraId="0C5BC39E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A160CE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Moderate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AF9AD5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53.2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77AED7D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56.0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F5D84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F77366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83.9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B6DA9C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83.3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917649A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7B4708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73.6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160C4A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89.7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8648D0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4837AB7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307C69F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</w:tr>
      <w:tr w:rsidR="00FE5E30" w:rsidRPr="000817E1" w14:paraId="03FF786F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6C2FA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Severe</w:t>
            </w:r>
          </w:p>
        </w:tc>
        <w:tc>
          <w:tcPr>
            <w:tcW w:w="9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C6C2C4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46.8</w:t>
            </w:r>
          </w:p>
        </w:tc>
        <w:tc>
          <w:tcPr>
            <w:tcW w:w="96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CEB4BC6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44.0</w:t>
            </w:r>
          </w:p>
        </w:tc>
        <w:tc>
          <w:tcPr>
            <w:tcW w:w="59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C6DCAC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3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D0C822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16.1</w:t>
            </w:r>
          </w:p>
        </w:tc>
        <w:tc>
          <w:tcPr>
            <w:tcW w:w="93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3E92F6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16.7</w:t>
            </w:r>
          </w:p>
        </w:tc>
        <w:tc>
          <w:tcPr>
            <w:tcW w:w="54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3CCC011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97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0F0F56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26.4</w:t>
            </w:r>
          </w:p>
        </w:tc>
        <w:tc>
          <w:tcPr>
            <w:tcW w:w="95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02AD0F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10.3</w:t>
            </w:r>
          </w:p>
        </w:tc>
        <w:tc>
          <w:tcPr>
            <w:tcW w:w="55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CB5E6F9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839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96AC615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  <w:tc>
          <w:tcPr>
            <w:tcW w:w="760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03DF57D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</w:tr>
      <w:tr w:rsidR="00FE5E30" w:rsidRPr="000817E1" w14:paraId="178BB9C7" w14:textId="77777777" w:rsidTr="000817E1">
        <w:trPr>
          <w:trHeight w:val="49"/>
          <w:tblCellSpacing w:w="0" w:type="dxa"/>
          <w:jc w:val="center"/>
        </w:trPr>
        <w:tc>
          <w:tcPr>
            <w:tcW w:w="2785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ABBDA64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0"/>
              </w:rPr>
              <w:lastRenderedPageBreak/>
              <w:t>Overall symptom frequency</w:t>
            </w:r>
          </w:p>
          <w:p w14:paraId="13B624A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Mean (SD)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DA87A3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3.45(2.008)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5365C3F5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3.04(1.895)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21B7363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0.215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2264739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3.36(1.713)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18740A2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3.59(1.703)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CC7590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0.163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06B0052B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3.86(1.739)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9C2F40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3.52(1.573)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37177260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0.358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98BA691" w14:textId="77777777" w:rsidR="00FE5E30" w:rsidRPr="000817E1" w:rsidRDefault="00000000">
            <w:pPr>
              <w:pStyle w:val="a3"/>
              <w:widowControl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0817E1">
              <w:rPr>
                <w:rFonts w:ascii="Times New Roman" w:hAnsi="Times New Roman" w:cs="Times New Roman"/>
                <w:color w:val="000000"/>
                <w:szCs w:val="20"/>
              </w:rPr>
              <w:t>0.088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D81CC6A" w14:textId="77777777" w:rsidR="00FE5E30" w:rsidRPr="000817E1" w:rsidRDefault="00FE5E30">
            <w:pPr>
              <w:pStyle w:val="a3"/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0"/>
              </w:rPr>
            </w:pPr>
          </w:p>
        </w:tc>
      </w:tr>
    </w:tbl>
    <w:p w14:paraId="78895C5C" w14:textId="3458B1F5" w:rsidR="00FE5E30" w:rsidRPr="000817E1" w:rsidRDefault="000817E1" w:rsidP="000817E1">
      <w:pPr>
        <w:widowControl/>
        <w:ind w:firstLineChars="100" w:firstLine="210"/>
        <w:jc w:val="left"/>
        <w:rPr>
          <w:rFonts w:ascii="Times New Roman" w:hAnsi="Times New Roman" w:cs="Times New Roman"/>
        </w:rPr>
      </w:pPr>
      <w:r w:rsidRPr="000817E1">
        <w:rPr>
          <w:rFonts w:ascii="Times New Roman" w:hAnsi="Times New Roman" w:cs="Times New Roman"/>
        </w:rPr>
        <w:t xml:space="preserve">The results of categorical variables were expressed as N%, Pearson’s chi-square test or the Fisher exact test was used according to the analysis requirements. The results of continuous variables were expressed as the mean (standard deviation), and the independent-samples T test or one-way analysis of variance (ANOVA) test was used according to the analysis requirements. </w:t>
      </w:r>
      <w:r w:rsidRPr="000817E1">
        <w:rPr>
          <w:rFonts w:ascii="Times New Roman" w:hAnsi="Times New Roman" w:cs="Times New Roman"/>
          <w:i/>
          <w:iCs/>
        </w:rPr>
        <w:t>P</w:t>
      </w:r>
      <w:r w:rsidRPr="000817E1">
        <w:rPr>
          <w:rFonts w:ascii="Times New Roman" w:hAnsi="Times New Roman" w:cs="Times New Roman"/>
        </w:rPr>
        <w:t>&lt;0.05 indicates a statistical difference.</w:t>
      </w:r>
      <w:r w:rsidR="00000000"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</w:t>
      </w:r>
    </w:p>
    <w:p w14:paraId="1F37F993" w14:textId="772703F2" w:rsidR="00FE5E30" w:rsidRPr="000817E1" w:rsidRDefault="00000000" w:rsidP="000817E1">
      <w:pPr>
        <w:widowControl/>
        <w:ind w:firstLineChars="100" w:firstLine="210"/>
        <w:jc w:val="left"/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:lang w:bidi="ar"/>
        </w:rPr>
        <w:t>$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 xml:space="preserve"> Post hoc analyses were using Bonferroni method. Three sets of comma-separated letters represent </w:t>
      </w:r>
      <w:r>
        <w:rPr>
          <w:rFonts w:ascii="Times New Roman" w:hAnsi="Times New Roman" w:cs="Times New Roman"/>
          <w:szCs w:val="21"/>
        </w:rPr>
        <w:t>Rome IV criteria defined FD aged 18-35 years, 36-59 years and over 60 years</w:t>
      </w:r>
      <w:r>
        <w:rPr>
          <w:rFonts w:ascii="Times New Roman" w:eastAsia="宋体" w:hAnsi="Times New Roman" w:cs="Times New Roman"/>
          <w:color w:val="000000"/>
          <w:kern w:val="0"/>
          <w:szCs w:val="21"/>
          <w:lang w:bidi="ar"/>
        </w:rPr>
        <w:t>, respectively. And if the same letter is not present in the two groups, it indicates a statistical difference between the two groups.</w:t>
      </w:r>
    </w:p>
    <w:sectPr w:rsidR="00FE5E30" w:rsidRPr="00081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645FD" w14:textId="77777777" w:rsidR="00CF019A" w:rsidRDefault="00CF019A" w:rsidP="000817E1">
      <w:r>
        <w:separator/>
      </w:r>
    </w:p>
  </w:endnote>
  <w:endnote w:type="continuationSeparator" w:id="0">
    <w:p w14:paraId="22EF49A0" w14:textId="77777777" w:rsidR="00CF019A" w:rsidRDefault="00CF019A" w:rsidP="00081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0618" w14:textId="77777777" w:rsidR="00CF019A" w:rsidRDefault="00CF019A" w:rsidP="000817E1">
      <w:r>
        <w:separator/>
      </w:r>
    </w:p>
  </w:footnote>
  <w:footnote w:type="continuationSeparator" w:id="0">
    <w:p w14:paraId="23EE5EA7" w14:textId="77777777" w:rsidR="00CF019A" w:rsidRDefault="00CF019A" w:rsidP="00081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dkYjc0YTEzNzQ3ZWEyNTM4ZDdmZDc2ZWE4MTIwYTEifQ=="/>
  </w:docVars>
  <w:rsids>
    <w:rsidRoot w:val="00627BB4"/>
    <w:rsid w:val="000817E1"/>
    <w:rsid w:val="00541361"/>
    <w:rsid w:val="005A6E62"/>
    <w:rsid w:val="00627BB4"/>
    <w:rsid w:val="006E5B3A"/>
    <w:rsid w:val="00894F63"/>
    <w:rsid w:val="00CF019A"/>
    <w:rsid w:val="00FE5E30"/>
    <w:rsid w:val="198C7FDB"/>
    <w:rsid w:val="21124446"/>
    <w:rsid w:val="2DE1436C"/>
    <w:rsid w:val="577C7395"/>
    <w:rsid w:val="5CEB1EEF"/>
    <w:rsid w:val="614918DA"/>
    <w:rsid w:val="7B943A00"/>
    <w:rsid w:val="7D2C0824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8328A"/>
  <w15:docId w15:val="{638F306A-61E9-4731-8717-B3939980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页眉 字符"/>
    <w:basedOn w:val="a0"/>
    <w:link w:val="a6"/>
    <w:autoRedefine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</dc:creator>
  <cp:lastModifiedBy>35</cp:lastModifiedBy>
  <cp:revision>2</cp:revision>
  <dcterms:created xsi:type="dcterms:W3CDTF">2023-10-21T17:29:00Z</dcterms:created>
  <dcterms:modified xsi:type="dcterms:W3CDTF">2024-03-26T13:27:00Z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DC65CA13E47C45119488F5AE02C082D5_13</vt:lpwstr>
  </property>
</Properties>
</file>