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734FF" w14:textId="77777777" w:rsidR="00F80E24" w:rsidRDefault="00F80E24" w:rsidP="00F80E24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B491897" w14:textId="77777777" w:rsidR="00F80E24" w:rsidRDefault="00F80E24" w:rsidP="00F80E24">
      <w:pPr>
        <w:contextualSpacing/>
      </w:pPr>
      <w:r>
        <w:object w:dxaOrig="15379" w:dyaOrig="12298" w14:anchorId="1C2EF9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8.05pt;height:406.65pt" o:ole="">
            <v:imagedata r:id="rId4" o:title=""/>
          </v:shape>
          <o:OLEObject Type="Embed" ProgID="Prism10.Document" ShapeID="_x0000_i1025" DrawAspect="Content" ObjectID="_1775306459" r:id="rId5"/>
        </w:object>
      </w:r>
    </w:p>
    <w:p w14:paraId="7E413FBB" w14:textId="77777777" w:rsidR="00F80E24" w:rsidRDefault="00F80E24" w:rsidP="00F80E24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0C9A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1: </w:t>
      </w:r>
      <w:r w:rsidRPr="00FC0C9A">
        <w:rPr>
          <w:rFonts w:ascii="Times New Roman" w:hAnsi="Times New Roman" w:cs="Times New Roman"/>
          <w:sz w:val="24"/>
          <w:szCs w:val="24"/>
        </w:rPr>
        <w:t xml:space="preserve">Optical density curves of VRC01 human monoclonal antibody used to demonstrate consistency for ELISA assays. VRC01 curves were run on the same assay plates as data displayed in </w:t>
      </w:r>
      <w:r w:rsidRPr="00FC0C9A">
        <w:rPr>
          <w:rFonts w:ascii="Times New Roman" w:hAnsi="Times New Roman" w:cs="Times New Roman"/>
          <w:b/>
          <w:bCs/>
          <w:sz w:val="24"/>
          <w:szCs w:val="24"/>
        </w:rPr>
        <w:t>Figure 1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C0C9A">
        <w:rPr>
          <w:rFonts w:ascii="Times New Roman" w:hAnsi="Times New Roman" w:cs="Times New Roman"/>
          <w:sz w:val="24"/>
          <w:szCs w:val="24"/>
        </w:rPr>
        <w:t xml:space="preserve"> </w:t>
      </w:r>
      <w:r w:rsidRPr="00FC0C9A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a-b</w:t>
      </w:r>
      <w:r w:rsidRPr="00FC0C9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FC0C9A">
        <w:rPr>
          <w:rFonts w:ascii="Times New Roman" w:hAnsi="Times New Roman" w:cs="Times New Roman"/>
          <w:sz w:val="24"/>
          <w:szCs w:val="24"/>
        </w:rPr>
        <w:t>.</w:t>
      </w:r>
      <w:r w:rsidRPr="00FC0C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C0C9A">
        <w:rPr>
          <w:rFonts w:ascii="Times New Roman" w:hAnsi="Times New Roman" w:cs="Times New Roman"/>
          <w:sz w:val="24"/>
          <w:szCs w:val="24"/>
        </w:rPr>
        <w:t xml:space="preserve">SOSIP specific IgA measured via ELISA for animal experiments outlined in </w:t>
      </w:r>
      <w:r w:rsidRPr="00FC0C9A">
        <w:rPr>
          <w:rFonts w:ascii="Times New Roman" w:hAnsi="Times New Roman" w:cs="Times New Roman"/>
          <w:b/>
          <w:bCs/>
          <w:sz w:val="24"/>
          <w:szCs w:val="24"/>
        </w:rPr>
        <w:t>Figure 3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C0C9A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C0C9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FC0C9A">
        <w:rPr>
          <w:rFonts w:ascii="Times New Roman" w:hAnsi="Times New Roman" w:cs="Times New Roman"/>
          <w:sz w:val="24"/>
          <w:szCs w:val="24"/>
        </w:rPr>
        <w:t>. Serum neutralization ID</w:t>
      </w:r>
      <w:r w:rsidRPr="006A775D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FC0C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values </w:t>
      </w:r>
      <w:r w:rsidRPr="00FC0C9A">
        <w:rPr>
          <w:rFonts w:ascii="Times New Roman" w:hAnsi="Times New Roman" w:cs="Times New Roman"/>
          <w:sz w:val="24"/>
          <w:szCs w:val="24"/>
        </w:rPr>
        <w:t xml:space="preserve">and Pearson correlation of SOSIP specific IgG and neutralization for animal experiments outlined in </w:t>
      </w:r>
      <w:r w:rsidRPr="00FC0C9A">
        <w:rPr>
          <w:rFonts w:ascii="Times New Roman" w:hAnsi="Times New Roman" w:cs="Times New Roman"/>
          <w:b/>
          <w:bCs/>
          <w:sz w:val="24"/>
          <w:szCs w:val="24"/>
        </w:rPr>
        <w:t>Figure 1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C0C9A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FC0C9A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FC0C9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FC0C9A">
        <w:rPr>
          <w:rFonts w:ascii="Times New Roman" w:hAnsi="Times New Roman" w:cs="Times New Roman"/>
          <w:sz w:val="24"/>
          <w:szCs w:val="24"/>
        </w:rPr>
        <w:t>. Symbols represent individual animals, bars represent the mean, error bars represent the standard deviations. *p&lt;0.05, **p&lt;0.01, ***p&lt;0.001, and ****p&lt;0.0001 by Mann-Whitney-U test (</w:t>
      </w:r>
      <w:r>
        <w:rPr>
          <w:rFonts w:ascii="Times New Roman" w:hAnsi="Times New Roman" w:cs="Times New Roman"/>
          <w:b/>
          <w:bCs/>
          <w:sz w:val="24"/>
          <w:szCs w:val="24"/>
        </w:rPr>
        <w:t>d-e</w:t>
      </w:r>
      <w:r w:rsidRPr="00FC0C9A">
        <w:rPr>
          <w:rFonts w:ascii="Times New Roman" w:hAnsi="Times New Roman" w:cs="Times New Roman"/>
          <w:sz w:val="24"/>
          <w:szCs w:val="24"/>
        </w:rPr>
        <w:t>) or Kruskal-Wallis Anova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C0C9A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836D1D6" w14:textId="77777777" w:rsidR="00F80E24" w:rsidRDefault="00F80E24" w:rsidP="00F80E24">
      <w:pPr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1" locked="0" layoutInCell="1" allowOverlap="1" wp14:anchorId="71F735FD" wp14:editId="1BD9549E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7951622" cy="4500188"/>
            <wp:effectExtent l="0" t="0" r="0" b="0"/>
            <wp:wrapTight wrapText="bothSides">
              <wp:wrapPolygon edited="0">
                <wp:start x="6055" y="183"/>
                <wp:lineTo x="621" y="366"/>
                <wp:lineTo x="207" y="1189"/>
                <wp:lineTo x="569" y="1829"/>
                <wp:lineTo x="310" y="2103"/>
                <wp:lineTo x="0" y="2926"/>
                <wp:lineTo x="0" y="3932"/>
                <wp:lineTo x="310" y="4755"/>
                <wp:lineTo x="569" y="4755"/>
                <wp:lineTo x="310" y="5395"/>
                <wp:lineTo x="310" y="5761"/>
                <wp:lineTo x="569" y="6218"/>
                <wp:lineTo x="362" y="6493"/>
                <wp:lineTo x="931" y="7499"/>
                <wp:lineTo x="4502" y="7956"/>
                <wp:lineTo x="569" y="8322"/>
                <wp:lineTo x="414" y="9236"/>
                <wp:lineTo x="52" y="10334"/>
                <wp:lineTo x="52" y="12437"/>
                <wp:lineTo x="466" y="13534"/>
                <wp:lineTo x="259" y="14083"/>
                <wp:lineTo x="310" y="14266"/>
                <wp:lineTo x="880" y="14997"/>
                <wp:lineTo x="3208" y="16461"/>
                <wp:lineTo x="3622" y="17924"/>
                <wp:lineTo x="3622" y="18381"/>
                <wp:lineTo x="3985" y="19387"/>
                <wp:lineTo x="4036" y="20119"/>
                <wp:lineTo x="4450" y="20759"/>
                <wp:lineTo x="5175" y="21124"/>
                <wp:lineTo x="6158" y="21216"/>
                <wp:lineTo x="8797" y="21399"/>
                <wp:lineTo x="9936" y="21399"/>
                <wp:lineTo x="14076" y="21216"/>
                <wp:lineTo x="13972" y="20850"/>
                <wp:lineTo x="14593" y="20850"/>
                <wp:lineTo x="14955" y="20301"/>
                <wp:lineTo x="14904" y="14997"/>
                <wp:lineTo x="17543" y="14997"/>
                <wp:lineTo x="19768" y="14357"/>
                <wp:lineTo x="19768" y="7682"/>
                <wp:lineTo x="20130" y="7682"/>
                <wp:lineTo x="20751" y="6767"/>
                <wp:lineTo x="20803" y="640"/>
                <wp:lineTo x="19044" y="366"/>
                <wp:lineTo x="10971" y="183"/>
                <wp:lineTo x="6055" y="183"/>
              </wp:wrapPolygon>
            </wp:wrapTight>
            <wp:docPr id="11939239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41"/>
                    <a:stretch/>
                  </pic:blipFill>
                  <pic:spPr bwMode="auto">
                    <a:xfrm>
                      <a:off x="0" y="0"/>
                      <a:ext cx="7951622" cy="4500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1CBD9B" w14:textId="77777777" w:rsidR="00F80E24" w:rsidRDefault="00F80E24" w:rsidP="00F80E24">
      <w:pPr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BA2CC5C" w14:textId="77777777" w:rsidR="00F80E24" w:rsidRDefault="00F80E24" w:rsidP="00F80E24">
      <w:pPr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4F86B239" w14:textId="77777777" w:rsidR="00F80E24" w:rsidRDefault="00F80E24" w:rsidP="00F80E24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D701583" w14:textId="77777777" w:rsidR="00F80E24" w:rsidRDefault="00F80E24" w:rsidP="00F80E24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F63681" w14:textId="77777777" w:rsidR="00F80E24" w:rsidRDefault="00F80E24" w:rsidP="00F80E24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95CCB4" w14:textId="77777777" w:rsidR="00F80E24" w:rsidRDefault="00F80E24" w:rsidP="00F80E24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DAE711" w14:textId="77777777" w:rsidR="00F80E24" w:rsidRDefault="00F80E24" w:rsidP="00F80E24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DF2A34" w14:textId="77777777" w:rsidR="00F80E24" w:rsidRDefault="00F80E24" w:rsidP="00F80E24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0C9A">
        <w:rPr>
          <w:rFonts w:ascii="Times New Roman" w:hAnsi="Times New Roman" w:cs="Times New Roman"/>
          <w:b/>
          <w:bCs/>
          <w:sz w:val="24"/>
          <w:szCs w:val="24"/>
        </w:rPr>
        <w:t>Supplemental Figure 2: Gating strategy for intracellular cytokine staining and CD107a expression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Gating is representative of peptide stimulation alone. Analyzed data (</w:t>
      </w:r>
      <w:r w:rsidRPr="00801166">
        <w:rPr>
          <w:rFonts w:ascii="Times New Roman" w:hAnsi="Times New Roman" w:cs="Times New Roman"/>
          <w:b/>
          <w:bCs/>
          <w:sz w:val="24"/>
          <w:szCs w:val="24"/>
        </w:rPr>
        <w:t>Supplemental Figure 3 and Figure 4</w:t>
      </w:r>
      <w:r>
        <w:rPr>
          <w:rFonts w:ascii="Times New Roman" w:hAnsi="Times New Roman" w:cs="Times New Roman"/>
          <w:sz w:val="24"/>
          <w:szCs w:val="24"/>
        </w:rPr>
        <w:t xml:space="preserve">) is represented as peptide stimulation frequencies with DMSO frequencies subtracted out to account for background activation from DMSO alone. </w:t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862DB1F" w14:textId="77777777" w:rsidR="00F80E24" w:rsidRDefault="00F80E24" w:rsidP="00F80E24">
      <w:pPr>
        <w:contextualSpacing/>
        <w:rPr>
          <w:rFonts w:ascii="Times New Roman" w:hAnsi="Times New Roman" w:cs="Times New Roman"/>
          <w:sz w:val="24"/>
          <w:szCs w:val="24"/>
        </w:rPr>
      </w:pPr>
      <w:r>
        <w:object w:dxaOrig="14174" w:dyaOrig="12480" w14:anchorId="51277C65">
          <v:shape id="_x0000_i1026" type="#_x0000_t75" style="width:467.7pt;height:411.85pt" o:ole="">
            <v:imagedata r:id="rId7" o:title=""/>
          </v:shape>
          <o:OLEObject Type="Embed" ProgID="Prism10.Document" ShapeID="_x0000_i1026" DrawAspect="Content" ObjectID="_1775306460" r:id="rId8"/>
        </w:object>
      </w:r>
    </w:p>
    <w:p w14:paraId="537CD9A6" w14:textId="77777777" w:rsidR="00F80E24" w:rsidRDefault="00F80E24" w:rsidP="00F80E24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7AEA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3: </w:t>
      </w:r>
      <w:r w:rsidRPr="00867AEA">
        <w:rPr>
          <w:rFonts w:ascii="Times New Roman" w:hAnsi="Times New Roman" w:cs="Times New Roman"/>
          <w:sz w:val="24"/>
          <w:szCs w:val="24"/>
        </w:rPr>
        <w:t xml:space="preserve">Single cytokine expression for animal experiments outlined in </w:t>
      </w:r>
      <w:r w:rsidRPr="00867AEA">
        <w:rPr>
          <w:rFonts w:ascii="Times New Roman" w:hAnsi="Times New Roman" w:cs="Times New Roman"/>
          <w:b/>
          <w:bCs/>
          <w:sz w:val="24"/>
          <w:szCs w:val="24"/>
        </w:rPr>
        <w:t>Figure 1a</w:t>
      </w:r>
      <w:r w:rsidRPr="00867AEA">
        <w:rPr>
          <w:rFonts w:ascii="Times New Roman" w:hAnsi="Times New Roman" w:cs="Times New Roman"/>
          <w:sz w:val="24"/>
          <w:szCs w:val="24"/>
        </w:rPr>
        <w:t xml:space="preserve">. Gating strategy is displayed in </w:t>
      </w:r>
      <w:r w:rsidRPr="00867AEA">
        <w:rPr>
          <w:rFonts w:ascii="Times New Roman" w:hAnsi="Times New Roman" w:cs="Times New Roman"/>
          <w:b/>
          <w:bCs/>
          <w:sz w:val="24"/>
          <w:szCs w:val="24"/>
        </w:rPr>
        <w:t>Supplemental</w:t>
      </w:r>
      <w:r w:rsidRPr="00867AEA">
        <w:rPr>
          <w:rFonts w:ascii="Times New Roman" w:hAnsi="Times New Roman" w:cs="Times New Roman"/>
          <w:sz w:val="24"/>
          <w:szCs w:val="24"/>
        </w:rPr>
        <w:t xml:space="preserve"> </w:t>
      </w:r>
      <w:r w:rsidRPr="00867AEA">
        <w:rPr>
          <w:rFonts w:ascii="Times New Roman" w:hAnsi="Times New Roman" w:cs="Times New Roman"/>
          <w:b/>
          <w:bCs/>
          <w:sz w:val="24"/>
          <w:szCs w:val="24"/>
        </w:rPr>
        <w:t>Figure 2</w:t>
      </w:r>
      <w:r w:rsidRPr="00867AEA">
        <w:rPr>
          <w:rFonts w:ascii="Times New Roman" w:hAnsi="Times New Roman" w:cs="Times New Roman"/>
          <w:sz w:val="24"/>
          <w:szCs w:val="24"/>
        </w:rPr>
        <w:t>. IFN</w:t>
      </w:r>
      <w:r w:rsidRPr="00867AEA">
        <w:rPr>
          <w:rFonts w:ascii="Times New Roman" w:hAnsi="Times New Roman" w:cs="Times New Roman"/>
          <w:sz w:val="24"/>
          <w:szCs w:val="24"/>
          <w:lang w:val="el-GR"/>
        </w:rPr>
        <w:t>γ</w:t>
      </w:r>
      <w:r w:rsidRPr="00867AEA">
        <w:rPr>
          <w:rFonts w:ascii="Times New Roman" w:hAnsi="Times New Roman" w:cs="Times New Roman"/>
          <w:sz w:val="24"/>
          <w:szCs w:val="24"/>
        </w:rPr>
        <w:t>, TNF</w:t>
      </w:r>
      <w:r w:rsidRPr="00867AEA">
        <w:rPr>
          <w:rFonts w:ascii="Times New Roman" w:hAnsi="Times New Roman" w:cs="Times New Roman"/>
          <w:sz w:val="24"/>
          <w:szCs w:val="24"/>
          <w:lang w:val="el-GR"/>
        </w:rPr>
        <w:t>α</w:t>
      </w:r>
      <w:r w:rsidRPr="00867AEA">
        <w:rPr>
          <w:rFonts w:ascii="Times New Roman" w:hAnsi="Times New Roman" w:cs="Times New Roman"/>
          <w:sz w:val="24"/>
          <w:szCs w:val="24"/>
        </w:rPr>
        <w:t xml:space="preserve"> and IL2 expression in CD4</w:t>
      </w:r>
      <w:r w:rsidRPr="00867AE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867AEA">
        <w:rPr>
          <w:rFonts w:ascii="Times New Roman" w:hAnsi="Times New Roman" w:cs="Times New Roman"/>
          <w:sz w:val="24"/>
          <w:szCs w:val="24"/>
        </w:rPr>
        <w:t xml:space="preserve"> T cells </w:t>
      </w:r>
      <w:r w:rsidRPr="00867AEA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867AEA">
        <w:rPr>
          <w:rFonts w:ascii="Times New Roman" w:hAnsi="Times New Roman" w:cs="Times New Roman"/>
          <w:sz w:val="24"/>
          <w:szCs w:val="24"/>
        </w:rPr>
        <w:t>and CD8</w:t>
      </w:r>
      <w:r w:rsidRPr="00867AE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867AEA">
        <w:rPr>
          <w:rFonts w:ascii="Times New Roman" w:hAnsi="Times New Roman" w:cs="Times New Roman"/>
          <w:sz w:val="24"/>
          <w:szCs w:val="24"/>
        </w:rPr>
        <w:t xml:space="preserve"> T cells </w:t>
      </w:r>
      <w:r w:rsidRPr="00867AEA">
        <w:rPr>
          <w:rFonts w:ascii="Times New Roman" w:hAnsi="Times New Roman" w:cs="Times New Roman"/>
          <w:b/>
          <w:bCs/>
          <w:sz w:val="24"/>
          <w:szCs w:val="24"/>
        </w:rPr>
        <w:t xml:space="preserve">(b). </w:t>
      </w:r>
      <w:r w:rsidRPr="00867AEA">
        <w:rPr>
          <w:rFonts w:ascii="Times New Roman" w:hAnsi="Times New Roman" w:cs="Times New Roman"/>
          <w:sz w:val="24"/>
          <w:szCs w:val="24"/>
        </w:rPr>
        <w:t>Symbols represent individual animals (n=8 per group). White bars with closed circles represent mice immunized with Pvax. Gray bars with open circles represent animals immunized with bars 1 µg or 5 µg of pBG505-TTT</w:t>
      </w:r>
      <w:r>
        <w:rPr>
          <w:rFonts w:ascii="Times New Roman" w:hAnsi="Times New Roman" w:cs="Times New Roman"/>
          <w:sz w:val="24"/>
          <w:szCs w:val="24"/>
        </w:rPr>
        <w:t xml:space="preserve">. Purple bars with closed circles represent animals that were immunized with </w:t>
      </w:r>
      <w:r w:rsidRPr="0090105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054">
        <w:rPr>
          <w:rFonts w:ascii="Times New Roman" w:hAnsi="Times New Roman" w:cs="Times New Roman"/>
          <w:sz w:val="24"/>
          <w:szCs w:val="24"/>
        </w:rPr>
        <w:t>µg or 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054">
        <w:rPr>
          <w:rFonts w:ascii="Times New Roman" w:hAnsi="Times New Roman" w:cs="Times New Roman"/>
          <w:sz w:val="24"/>
          <w:szCs w:val="24"/>
        </w:rPr>
        <w:t xml:space="preserve">µg of pBG505-TTT </w:t>
      </w:r>
      <w:r>
        <w:rPr>
          <w:rFonts w:ascii="Times New Roman" w:hAnsi="Times New Roman" w:cs="Times New Roman"/>
          <w:sz w:val="24"/>
          <w:szCs w:val="24"/>
        </w:rPr>
        <w:t>+ pADA.</w:t>
      </w:r>
      <w:r w:rsidRPr="00C24D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C24D76">
        <w:rPr>
          <w:rFonts w:ascii="Times New Roman" w:hAnsi="Times New Roman" w:cs="Times New Roman"/>
          <w:sz w:val="24"/>
          <w:szCs w:val="24"/>
        </w:rPr>
        <w:t>ars represent the mean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C24D76">
        <w:rPr>
          <w:rFonts w:ascii="Times New Roman" w:hAnsi="Times New Roman" w:cs="Times New Roman"/>
          <w:sz w:val="24"/>
          <w:szCs w:val="24"/>
        </w:rPr>
        <w:t>error bars represent the standard deviations. *p&lt;0.05, **p&lt;0.01, ***p&lt;0.001, and ****p&lt;0.0001 by Mann-Whitney-U test.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7B6A7A4" w14:textId="77777777" w:rsidR="00F80E24" w:rsidRDefault="00F80E24" w:rsidP="00F80E24">
      <w:pPr>
        <w:contextualSpacing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 wp14:anchorId="1454BFF9" wp14:editId="394EB743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409815" cy="3745230"/>
            <wp:effectExtent l="0" t="0" r="635" b="0"/>
            <wp:wrapTight wrapText="bothSides">
              <wp:wrapPolygon edited="0">
                <wp:start x="1944" y="0"/>
                <wp:lineTo x="555" y="220"/>
                <wp:lineTo x="333" y="439"/>
                <wp:lineTo x="333" y="1868"/>
                <wp:lineTo x="0" y="3516"/>
                <wp:lineTo x="0" y="3736"/>
                <wp:lineTo x="333" y="5384"/>
                <wp:lineTo x="333" y="9339"/>
                <wp:lineTo x="8441" y="10657"/>
                <wp:lineTo x="10773" y="10657"/>
                <wp:lineTo x="2554" y="11316"/>
                <wp:lineTo x="389" y="11646"/>
                <wp:lineTo x="389" y="13733"/>
                <wp:lineTo x="500" y="14173"/>
                <wp:lineTo x="833" y="14173"/>
                <wp:lineTo x="222" y="15821"/>
                <wp:lineTo x="111" y="16260"/>
                <wp:lineTo x="167" y="17139"/>
                <wp:lineTo x="833" y="17689"/>
                <wp:lineTo x="500" y="18018"/>
                <wp:lineTo x="666" y="20875"/>
                <wp:lineTo x="3443" y="21204"/>
                <wp:lineTo x="13494" y="21424"/>
                <wp:lineTo x="14883" y="21424"/>
                <wp:lineTo x="19769" y="21204"/>
                <wp:lineTo x="21491" y="20765"/>
                <wp:lineTo x="21546" y="11316"/>
                <wp:lineTo x="20102" y="11097"/>
                <wp:lineTo x="10773" y="10657"/>
                <wp:lineTo x="13105" y="10657"/>
                <wp:lineTo x="18992" y="9449"/>
                <wp:lineTo x="19103" y="7141"/>
                <wp:lineTo x="19214" y="879"/>
                <wp:lineTo x="18992" y="659"/>
                <wp:lineTo x="17437" y="0"/>
                <wp:lineTo x="1944" y="0"/>
              </wp:wrapPolygon>
            </wp:wrapTight>
            <wp:docPr id="160639977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74"/>
                    <a:stretch/>
                  </pic:blipFill>
                  <pic:spPr bwMode="auto">
                    <a:xfrm>
                      <a:off x="0" y="0"/>
                      <a:ext cx="7409815" cy="374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24D76">
        <w:rPr>
          <w:rFonts w:ascii="Times New Roman" w:hAnsi="Times New Roman" w:cs="Times New Roman"/>
          <w:b/>
          <w:bCs/>
          <w:sz w:val="24"/>
          <w:szCs w:val="24"/>
        </w:rPr>
        <w:t>upplemental Figure 4: Gating strategy for activation induced marker (AIM) assay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54A45D3" w14:textId="77777777" w:rsidR="00F80E24" w:rsidRDefault="00F80E24" w:rsidP="00F80E24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73DBB3A7" wp14:editId="4E880F25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7607300" cy="3991610"/>
            <wp:effectExtent l="0" t="0" r="0" b="8890"/>
            <wp:wrapTight wrapText="bothSides">
              <wp:wrapPolygon edited="0">
                <wp:start x="1515" y="309"/>
                <wp:lineTo x="270" y="1443"/>
                <wp:lineTo x="216" y="1649"/>
                <wp:lineTo x="703" y="2165"/>
                <wp:lineTo x="379" y="2577"/>
                <wp:lineTo x="108" y="3505"/>
                <wp:lineTo x="108" y="4227"/>
                <wp:lineTo x="270" y="6494"/>
                <wp:lineTo x="433" y="7113"/>
                <wp:lineTo x="703" y="7113"/>
                <wp:lineTo x="541" y="7938"/>
                <wp:lineTo x="541" y="8453"/>
                <wp:lineTo x="703" y="9278"/>
                <wp:lineTo x="7356" y="10412"/>
                <wp:lineTo x="10764" y="10412"/>
                <wp:lineTo x="3245" y="11236"/>
                <wp:lineTo x="757" y="11546"/>
                <wp:lineTo x="757" y="12061"/>
                <wp:lineTo x="325" y="12370"/>
                <wp:lineTo x="270" y="13710"/>
                <wp:lineTo x="54" y="15360"/>
                <wp:lineTo x="0" y="16288"/>
                <wp:lineTo x="325" y="17009"/>
                <wp:lineTo x="703" y="17009"/>
                <wp:lineTo x="379" y="17937"/>
                <wp:lineTo x="379" y="18246"/>
                <wp:lineTo x="703" y="18659"/>
                <wp:lineTo x="487" y="19483"/>
                <wp:lineTo x="1082" y="20308"/>
                <wp:lineTo x="1893" y="20411"/>
                <wp:lineTo x="1947" y="21030"/>
                <wp:lineTo x="12062" y="21545"/>
                <wp:lineTo x="12333" y="21545"/>
                <wp:lineTo x="18932" y="21339"/>
                <wp:lineTo x="20771" y="21133"/>
                <wp:lineTo x="20933" y="11339"/>
                <wp:lineTo x="19148" y="11133"/>
                <wp:lineTo x="10764" y="10412"/>
                <wp:lineTo x="14334" y="10412"/>
                <wp:lineTo x="18986" y="9484"/>
                <wp:lineTo x="19094" y="7113"/>
                <wp:lineTo x="19202" y="1237"/>
                <wp:lineTo x="18932" y="1031"/>
                <wp:lineTo x="17363" y="309"/>
                <wp:lineTo x="1515" y="309"/>
              </wp:wrapPolygon>
            </wp:wrapTight>
            <wp:docPr id="137984580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62"/>
                    <a:stretch/>
                  </pic:blipFill>
                  <pic:spPr bwMode="auto">
                    <a:xfrm>
                      <a:off x="0" y="0"/>
                      <a:ext cx="7607300" cy="399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4D76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5: </w:t>
      </w:r>
      <w:r w:rsidRPr="00C24D76">
        <w:rPr>
          <w:rFonts w:ascii="Times New Roman" w:hAnsi="Times New Roman" w:cs="Times New Roman"/>
          <w:sz w:val="24"/>
          <w:szCs w:val="24"/>
        </w:rPr>
        <w:t xml:space="preserve">Gating strategy for SOSIP specific memory B cell analysis as displayed in </w:t>
      </w:r>
      <w:r w:rsidRPr="00C24D76">
        <w:rPr>
          <w:rFonts w:ascii="Times New Roman" w:hAnsi="Times New Roman" w:cs="Times New Roman"/>
          <w:b/>
          <w:bCs/>
          <w:sz w:val="24"/>
          <w:szCs w:val="24"/>
        </w:rPr>
        <w:t>Figure 5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C24D7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D65843E" w14:textId="77777777" w:rsidR="00F80E24" w:rsidRDefault="00F80E24" w:rsidP="00F80E24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4B9D37C" wp14:editId="77F31C1A">
            <wp:extent cx="6770702" cy="4827448"/>
            <wp:effectExtent l="0" t="0" r="0" b="0"/>
            <wp:docPr id="39138759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12"/>
                    <a:stretch/>
                  </pic:blipFill>
                  <pic:spPr bwMode="auto">
                    <a:xfrm>
                      <a:off x="0" y="0"/>
                      <a:ext cx="6794012" cy="4844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8F4180" w14:textId="77777777" w:rsidR="00F80E24" w:rsidRDefault="00F80E24" w:rsidP="00F80E24">
      <w:pPr>
        <w:contextualSpacing/>
        <w:rPr>
          <w:rFonts w:ascii="Times New Roman" w:hAnsi="Times New Roman" w:cs="Times New Roman"/>
          <w:sz w:val="24"/>
          <w:szCs w:val="24"/>
        </w:rPr>
      </w:pPr>
      <w:r w:rsidRPr="00C24D76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6: </w:t>
      </w:r>
      <w:r w:rsidRPr="00C24D76">
        <w:rPr>
          <w:rFonts w:ascii="Times New Roman" w:hAnsi="Times New Roman" w:cs="Times New Roman"/>
          <w:sz w:val="24"/>
          <w:szCs w:val="24"/>
        </w:rPr>
        <w:t>Gating strategy for total T central memory (CD62L</w:t>
      </w:r>
      <w:r w:rsidRPr="00C24D7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C24D76">
        <w:rPr>
          <w:rFonts w:ascii="Times New Roman" w:hAnsi="Times New Roman" w:cs="Times New Roman"/>
          <w:sz w:val="24"/>
          <w:szCs w:val="24"/>
        </w:rPr>
        <w:t>, CD44</w:t>
      </w:r>
      <w:r w:rsidRPr="00C24D7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C24D76">
        <w:rPr>
          <w:rFonts w:ascii="Times New Roman" w:hAnsi="Times New Roman" w:cs="Times New Roman"/>
          <w:sz w:val="24"/>
          <w:szCs w:val="24"/>
        </w:rPr>
        <w:t>) and T effector memory (CD62L</w:t>
      </w:r>
      <w:r w:rsidRPr="00C24D76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C24D76">
        <w:rPr>
          <w:rFonts w:ascii="Times New Roman" w:hAnsi="Times New Roman" w:cs="Times New Roman"/>
          <w:sz w:val="24"/>
          <w:szCs w:val="24"/>
        </w:rPr>
        <w:t>, CD44</w:t>
      </w:r>
      <w:r w:rsidRPr="00C24D7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C24D76">
        <w:rPr>
          <w:rFonts w:ascii="Times New Roman" w:hAnsi="Times New Roman" w:cs="Times New Roman"/>
          <w:sz w:val="24"/>
          <w:szCs w:val="24"/>
        </w:rPr>
        <w:t xml:space="preserve">) for the animal experiment outlined in </w:t>
      </w:r>
      <w:r w:rsidRPr="00C24D76">
        <w:rPr>
          <w:rFonts w:ascii="Times New Roman" w:hAnsi="Times New Roman" w:cs="Times New Roman"/>
          <w:b/>
          <w:bCs/>
          <w:sz w:val="24"/>
          <w:szCs w:val="24"/>
        </w:rPr>
        <w:t>Figure 1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24D7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24D76">
        <w:rPr>
          <w:rFonts w:ascii="Times New Roman" w:hAnsi="Times New Roman" w:cs="Times New Roman"/>
          <w:sz w:val="24"/>
          <w:szCs w:val="24"/>
        </w:rPr>
        <w:t xml:space="preserve">See </w:t>
      </w:r>
      <w:r w:rsidRPr="00C24D76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7 </w:t>
      </w:r>
      <w:r w:rsidRPr="00C24D76">
        <w:rPr>
          <w:rFonts w:ascii="Times New Roman" w:hAnsi="Times New Roman" w:cs="Times New Roman"/>
          <w:sz w:val="24"/>
          <w:szCs w:val="24"/>
        </w:rPr>
        <w:t>for corresponding data</w:t>
      </w:r>
    </w:p>
    <w:p w14:paraId="24D09276" w14:textId="77777777" w:rsidR="00F80E24" w:rsidRDefault="00F80E24" w:rsidP="00F80E24">
      <w:pPr>
        <w:contextualSpacing/>
        <w:rPr>
          <w:rFonts w:ascii="Times New Roman" w:hAnsi="Times New Roman" w:cs="Times New Roman"/>
          <w:sz w:val="24"/>
          <w:szCs w:val="24"/>
        </w:rPr>
      </w:pPr>
      <w:r>
        <w:object w:dxaOrig="11753" w:dyaOrig="12516" w14:anchorId="72DC0C0D">
          <v:shape id="_x0000_i1027" type="#_x0000_t75" style="width:467.7pt;height:498.25pt" o:ole="">
            <v:imagedata r:id="rId12" o:title=""/>
          </v:shape>
          <o:OLEObject Type="Embed" ProgID="Prism10.Document" ShapeID="_x0000_i1027" DrawAspect="Content" ObjectID="_1775306461" r:id="rId13"/>
        </w:object>
      </w:r>
    </w:p>
    <w:p w14:paraId="708F6CDD" w14:textId="77777777" w:rsidR="00F80E24" w:rsidRDefault="00F80E24" w:rsidP="00F80E24">
      <w:pPr>
        <w:contextualSpacing/>
        <w:rPr>
          <w:rFonts w:ascii="Times New Roman" w:hAnsi="Times New Roman" w:cs="Times New Roman"/>
          <w:sz w:val="24"/>
          <w:szCs w:val="24"/>
        </w:rPr>
      </w:pPr>
      <w:r w:rsidRPr="00867AEA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7: </w:t>
      </w:r>
      <w:r w:rsidRPr="00867AEA">
        <w:rPr>
          <w:rFonts w:ascii="Times New Roman" w:hAnsi="Times New Roman" w:cs="Times New Roman"/>
          <w:sz w:val="24"/>
          <w:szCs w:val="24"/>
        </w:rPr>
        <w:t>Frequency of total T central memory (CD62L</w:t>
      </w:r>
      <w:r w:rsidRPr="00867AE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867AEA">
        <w:rPr>
          <w:rFonts w:ascii="Times New Roman" w:hAnsi="Times New Roman" w:cs="Times New Roman"/>
          <w:sz w:val="24"/>
          <w:szCs w:val="24"/>
        </w:rPr>
        <w:t>, CD44</w:t>
      </w:r>
      <w:r w:rsidRPr="00867AE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867AEA">
        <w:rPr>
          <w:rFonts w:ascii="Times New Roman" w:hAnsi="Times New Roman" w:cs="Times New Roman"/>
          <w:sz w:val="24"/>
          <w:szCs w:val="24"/>
        </w:rPr>
        <w:t>) and T effector memory (CD62L</w:t>
      </w:r>
      <w:r w:rsidRPr="00867AE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867AEA">
        <w:rPr>
          <w:rFonts w:ascii="Times New Roman" w:hAnsi="Times New Roman" w:cs="Times New Roman"/>
          <w:sz w:val="24"/>
          <w:szCs w:val="24"/>
        </w:rPr>
        <w:t>, CD44</w:t>
      </w:r>
      <w:r w:rsidRPr="00867AE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867AEA">
        <w:rPr>
          <w:rFonts w:ascii="Times New Roman" w:hAnsi="Times New Roman" w:cs="Times New Roman"/>
          <w:sz w:val="24"/>
          <w:szCs w:val="24"/>
        </w:rPr>
        <w:t xml:space="preserve">) for the animal experiment outlined in </w:t>
      </w:r>
      <w:r w:rsidRPr="00867AEA">
        <w:rPr>
          <w:rFonts w:ascii="Times New Roman" w:hAnsi="Times New Roman" w:cs="Times New Roman"/>
          <w:b/>
          <w:bCs/>
          <w:sz w:val="24"/>
          <w:szCs w:val="24"/>
        </w:rPr>
        <w:t>Figure 1a</w:t>
      </w:r>
      <w:r w:rsidRPr="00867AEA">
        <w:rPr>
          <w:rFonts w:ascii="Times New Roman" w:hAnsi="Times New Roman" w:cs="Times New Roman"/>
          <w:sz w:val="24"/>
          <w:szCs w:val="24"/>
        </w:rPr>
        <w:t>. Frequencies were determined from splenocytes that were not stimulated with BG505 peptides. CD4</w:t>
      </w:r>
      <w:r w:rsidRPr="00867AE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867AEA">
        <w:rPr>
          <w:rFonts w:ascii="Times New Roman" w:hAnsi="Times New Roman" w:cs="Times New Roman"/>
          <w:sz w:val="24"/>
          <w:szCs w:val="24"/>
        </w:rPr>
        <w:t xml:space="preserve"> T central memory </w:t>
      </w:r>
      <w:r w:rsidRPr="00867AEA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867AEA">
        <w:rPr>
          <w:rFonts w:ascii="Times New Roman" w:hAnsi="Times New Roman" w:cs="Times New Roman"/>
          <w:sz w:val="24"/>
          <w:szCs w:val="24"/>
        </w:rPr>
        <w:t xml:space="preserve">and effector memory </w:t>
      </w:r>
      <w:r w:rsidRPr="00867AEA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867AEA">
        <w:rPr>
          <w:rFonts w:ascii="Times New Roman" w:hAnsi="Times New Roman" w:cs="Times New Roman"/>
          <w:sz w:val="24"/>
          <w:szCs w:val="24"/>
        </w:rPr>
        <w:t>. CD8</w:t>
      </w:r>
      <w:r w:rsidRPr="00867AE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867AEA">
        <w:rPr>
          <w:rFonts w:ascii="Times New Roman" w:hAnsi="Times New Roman" w:cs="Times New Roman"/>
          <w:sz w:val="24"/>
          <w:szCs w:val="24"/>
        </w:rPr>
        <w:t xml:space="preserve"> T central memory</w:t>
      </w:r>
      <w:r w:rsidRPr="00867AEA">
        <w:rPr>
          <w:rFonts w:ascii="Times New Roman" w:hAnsi="Times New Roman" w:cs="Times New Roman"/>
          <w:b/>
          <w:bCs/>
          <w:sz w:val="24"/>
          <w:szCs w:val="24"/>
        </w:rPr>
        <w:t xml:space="preserve"> (c) </w:t>
      </w:r>
      <w:r w:rsidRPr="00867AEA">
        <w:rPr>
          <w:rFonts w:ascii="Times New Roman" w:hAnsi="Times New Roman" w:cs="Times New Roman"/>
          <w:sz w:val="24"/>
          <w:szCs w:val="24"/>
        </w:rPr>
        <w:t xml:space="preserve">and effector memory </w:t>
      </w:r>
      <w:r w:rsidRPr="00867AEA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867AEA">
        <w:rPr>
          <w:rFonts w:ascii="Times New Roman" w:hAnsi="Times New Roman" w:cs="Times New Roman"/>
          <w:sz w:val="24"/>
          <w:szCs w:val="24"/>
        </w:rPr>
        <w:t>. Symbols represent individual animals (n=8 per group), bars represent the mean, error bars represent the standard deviations. *</w:t>
      </w:r>
      <w:r w:rsidRPr="00C24D76">
        <w:rPr>
          <w:rFonts w:ascii="Times New Roman" w:hAnsi="Times New Roman" w:cs="Times New Roman"/>
          <w:sz w:val="24"/>
          <w:szCs w:val="24"/>
        </w:rPr>
        <w:t>p&lt;0.05, **p&lt;0.01, ***p&lt;0.001, and ****p&lt;0.0001 by Mann-Whitney-U test.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9505CBC" w14:textId="77777777" w:rsidR="00F80E24" w:rsidRPr="009E6C78" w:rsidRDefault="00F80E24" w:rsidP="00F80E24">
      <w:pPr>
        <w:contextualSpacing/>
        <w:rPr>
          <w:rFonts w:ascii="Times New Roman" w:hAnsi="Times New Roman" w:cs="Times New Roman"/>
          <w:sz w:val="24"/>
          <w:szCs w:val="24"/>
        </w:rPr>
      </w:pPr>
      <w:r w:rsidRPr="00B9091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1: Neutralization assays against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Tier 1B </w:t>
      </w:r>
      <w:r w:rsidRPr="00B90913">
        <w:rPr>
          <w:rFonts w:ascii="Times New Roman" w:hAnsi="Times New Roman" w:cs="Times New Roman"/>
          <w:b/>
          <w:bCs/>
          <w:sz w:val="24"/>
          <w:szCs w:val="24"/>
        </w:rPr>
        <w:t xml:space="preserve">Q23env17 and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autologous </w:t>
      </w:r>
      <w:r w:rsidRPr="00B90913">
        <w:rPr>
          <w:rFonts w:ascii="Times New Roman" w:hAnsi="Times New Roman" w:cs="Times New Roman"/>
          <w:b/>
          <w:bCs/>
          <w:sz w:val="24"/>
          <w:szCs w:val="24"/>
        </w:rPr>
        <w:t>BG505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pseudovirus</w:t>
      </w:r>
      <w:r w:rsidRPr="00B90913">
        <w:rPr>
          <w:rFonts w:ascii="Times New Roman" w:hAnsi="Times New Roman" w:cs="Times New Roman"/>
          <w:b/>
          <w:bCs/>
          <w:sz w:val="24"/>
          <w:szCs w:val="24"/>
        </w:rPr>
        <w:t xml:space="preserve"> using sera from DNA and protein co-immunized mice. </w:t>
      </w:r>
      <w:r>
        <w:rPr>
          <w:rFonts w:ascii="Times New Roman" w:hAnsi="Times New Roman" w:cs="Times New Roman"/>
          <w:sz w:val="24"/>
          <w:szCs w:val="24"/>
        </w:rPr>
        <w:t>Each row represents an individual mouse.</w:t>
      </w:r>
    </w:p>
    <w:p w14:paraId="2B027B47" w14:textId="77777777" w:rsidR="00F80E24" w:rsidRDefault="00F80E24" w:rsidP="00F80E24">
      <w:pPr>
        <w:contextualSpacing/>
      </w:pPr>
    </w:p>
    <w:p w14:paraId="19402A9D" w14:textId="77777777" w:rsidR="00F80E24" w:rsidRDefault="00F80E24" w:rsidP="00F80E24">
      <w:pPr>
        <w:contextualSpacing/>
        <w:rPr>
          <w:rFonts w:ascii="Times New Roman" w:hAnsi="Times New Roman" w:cs="Times New Roman"/>
          <w:sz w:val="24"/>
          <w:szCs w:val="24"/>
        </w:rPr>
      </w:pPr>
      <w:r w:rsidRPr="00B90913">
        <w:rPr>
          <w:noProof/>
        </w:rPr>
        <w:drawing>
          <wp:inline distT="0" distB="0" distL="0" distR="0" wp14:anchorId="448A0C67" wp14:editId="7F0AA81A">
            <wp:extent cx="4502150" cy="4542790"/>
            <wp:effectExtent l="0" t="0" r="0" b="0"/>
            <wp:docPr id="184547429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0" cy="454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DAF7804" w14:textId="77777777" w:rsidR="00F80E24" w:rsidRDefault="00F80E24" w:rsidP="00F80E24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9091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90913">
        <w:rPr>
          <w:rFonts w:ascii="Times New Roman" w:hAnsi="Times New Roman" w:cs="Times New Roman"/>
          <w:b/>
          <w:bCs/>
          <w:sz w:val="24"/>
          <w:szCs w:val="24"/>
        </w:rPr>
        <w:t xml:space="preserve">: Neutralization assays against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Tier 1B </w:t>
      </w:r>
      <w:r w:rsidRPr="00B90913">
        <w:rPr>
          <w:rFonts w:ascii="Times New Roman" w:hAnsi="Times New Roman" w:cs="Times New Roman"/>
          <w:b/>
          <w:bCs/>
          <w:sz w:val="24"/>
          <w:szCs w:val="24"/>
        </w:rPr>
        <w:t xml:space="preserve">Q23env17 and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autologous </w:t>
      </w:r>
      <w:r w:rsidRPr="00B90913">
        <w:rPr>
          <w:rFonts w:ascii="Times New Roman" w:hAnsi="Times New Roman" w:cs="Times New Roman"/>
          <w:b/>
          <w:bCs/>
          <w:sz w:val="24"/>
          <w:szCs w:val="24"/>
        </w:rPr>
        <w:t>BG505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pseudovirus</w:t>
      </w:r>
      <w:r w:rsidRPr="00B90913">
        <w:rPr>
          <w:rFonts w:ascii="Times New Roman" w:hAnsi="Times New Roman" w:cs="Times New Roman"/>
          <w:b/>
          <w:bCs/>
          <w:sz w:val="24"/>
          <w:szCs w:val="24"/>
        </w:rPr>
        <w:t xml:space="preserve"> using sera from DNA </w:t>
      </w:r>
      <w:r>
        <w:rPr>
          <w:rFonts w:ascii="Times New Roman" w:hAnsi="Times New Roman" w:cs="Times New Roman"/>
          <w:b/>
          <w:bCs/>
          <w:sz w:val="24"/>
          <w:szCs w:val="24"/>
        </w:rPr>
        <w:t>immunized</w:t>
      </w:r>
      <w:r w:rsidRPr="00B90913">
        <w:rPr>
          <w:rFonts w:ascii="Times New Roman" w:hAnsi="Times New Roman" w:cs="Times New Roman"/>
          <w:b/>
          <w:bCs/>
          <w:sz w:val="24"/>
          <w:szCs w:val="24"/>
        </w:rPr>
        <w:t xml:space="preserve"> mice. </w:t>
      </w:r>
      <w:r>
        <w:rPr>
          <w:rFonts w:ascii="Times New Roman" w:hAnsi="Times New Roman" w:cs="Times New Roman"/>
          <w:sz w:val="24"/>
          <w:szCs w:val="24"/>
        </w:rPr>
        <w:t>Each row represents an individual mouse.</w:t>
      </w:r>
    </w:p>
    <w:p w14:paraId="5F9C0705" w14:textId="77777777" w:rsidR="00F80E24" w:rsidRPr="009E6C78" w:rsidRDefault="00F80E24" w:rsidP="00F80E24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7FC63549" w14:textId="77777777" w:rsidR="00F80E24" w:rsidRPr="00FB121D" w:rsidRDefault="00F80E24" w:rsidP="00F80E24">
      <w:pPr>
        <w:contextualSpacing/>
        <w:rPr>
          <w:rFonts w:ascii="Times New Roman" w:hAnsi="Times New Roman" w:cs="Times New Roman"/>
          <w:sz w:val="24"/>
          <w:szCs w:val="24"/>
        </w:rPr>
      </w:pPr>
      <w:r w:rsidRPr="0016509B">
        <w:rPr>
          <w:noProof/>
        </w:rPr>
        <w:drawing>
          <wp:inline distT="0" distB="0" distL="0" distR="0" wp14:anchorId="56DFE1BC" wp14:editId="65E3BF8A">
            <wp:extent cx="3133725" cy="7501890"/>
            <wp:effectExtent l="0" t="0" r="9525" b="3810"/>
            <wp:docPr id="112835200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750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AFE64" w14:textId="77777777" w:rsidR="00F35240" w:rsidRDefault="00F35240"/>
    <w:sectPr w:rsidR="00F35240" w:rsidSect="003E466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E24"/>
    <w:rsid w:val="00342DA6"/>
    <w:rsid w:val="003E466F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  <w:rsid w:val="00F8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64EDE"/>
  <w15:chartTrackingRefBased/>
  <w15:docId w15:val="{6D470097-3340-4867-864D-D759C866D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E2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80E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image" Target="media/image7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oleObject" Target="embeddings/oleObject1.bin"/><Relationship Id="rId15" Type="http://schemas.openxmlformats.org/officeDocument/2006/relationships/image" Target="media/image9.emf"/><Relationship Id="rId10" Type="http://schemas.openxmlformats.org/officeDocument/2006/relationships/image" Target="media/image5.png"/><Relationship Id="rId4" Type="http://schemas.openxmlformats.org/officeDocument/2006/relationships/image" Target="media/image1.emf"/><Relationship Id="rId9" Type="http://schemas.openxmlformats.org/officeDocument/2006/relationships/image" Target="media/image4.pn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471</Words>
  <Characters>2687</Characters>
  <Application>Microsoft Office Word</Application>
  <DocSecurity>0</DocSecurity>
  <Lines>22</Lines>
  <Paragraphs>6</Paragraphs>
  <ScaleCrop>false</ScaleCrop>
  <Company>Springer Nature</Company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2024-04-22T10:24:00Z</dcterms:created>
  <dcterms:modified xsi:type="dcterms:W3CDTF">2024-04-22T10:24:00Z</dcterms:modified>
</cp:coreProperties>
</file>