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5A8D4B" w14:textId="77777777" w:rsidR="00056843" w:rsidRPr="004A2FAA" w:rsidRDefault="00056843" w:rsidP="00056843">
      <w:pPr>
        <w:spacing w:line="480" w:lineRule="auto"/>
        <w:jc w:val="both"/>
        <w:rPr>
          <w:rFonts w:ascii="Times New Roman" w:eastAsia="Times New Roman" w:hAnsi="Times New Roman" w:cs="Times New Roman"/>
          <w:b/>
          <w:color w:val="000000" w:themeColor="text1"/>
          <w:sz w:val="20"/>
          <w:szCs w:val="20"/>
        </w:rPr>
      </w:pPr>
      <w:r w:rsidRPr="004A2FAA">
        <w:rPr>
          <w:rFonts w:ascii="Times New Roman" w:eastAsia="Times New Roman" w:hAnsi="Times New Roman" w:cs="Times New Roman"/>
          <w:b/>
          <w:color w:val="000000" w:themeColor="text1"/>
          <w:sz w:val="20"/>
          <w:szCs w:val="20"/>
        </w:rPr>
        <w:t>Appendix 1: Survey Questions</w:t>
      </w:r>
    </w:p>
    <w:p w14:paraId="24EB5136"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What is your full name?</w:t>
      </w:r>
    </w:p>
    <w:p w14:paraId="72974BB9"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What is your email address?</w:t>
      </w:r>
    </w:p>
    <w:p w14:paraId="3140E082"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 xml:space="preserve">What is your primary specialty? </w:t>
      </w:r>
    </w:p>
    <w:p w14:paraId="20F1AF13"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Medical Oncology</w:t>
      </w:r>
    </w:p>
    <w:p w14:paraId="72D62931"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Radiation Oncology</w:t>
      </w:r>
    </w:p>
    <w:p w14:paraId="1CF72CF9"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Head and Neck Surgery</w:t>
      </w:r>
    </w:p>
    <w:p w14:paraId="5184FCC9"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Pathology</w:t>
      </w:r>
    </w:p>
    <w:p w14:paraId="75E28AED"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Other (please specify)</w:t>
      </w:r>
    </w:p>
    <w:p w14:paraId="0EF8931F"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What is your primary practice setting?</w:t>
      </w:r>
    </w:p>
    <w:p w14:paraId="7130CAD3"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Academic practice</w:t>
      </w:r>
    </w:p>
    <w:p w14:paraId="77E1F430"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Community hospital</w:t>
      </w:r>
    </w:p>
    <w:p w14:paraId="3261D93D"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Private practice</w:t>
      </w:r>
    </w:p>
    <w:p w14:paraId="6ED7C01D"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Other (please specify)</w:t>
      </w:r>
    </w:p>
    <w:p w14:paraId="65F21943"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How many years post-residency/fellowship have you been in practice?</w:t>
      </w:r>
    </w:p>
    <w:p w14:paraId="13BFFB94"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Less than 5 years</w:t>
      </w:r>
    </w:p>
    <w:p w14:paraId="4723273F"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5-10 years</w:t>
      </w:r>
    </w:p>
    <w:p w14:paraId="2AA5647E"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11-20 years</w:t>
      </w:r>
    </w:p>
    <w:p w14:paraId="260D0FFD"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21-30 years</w:t>
      </w:r>
    </w:p>
    <w:p w14:paraId="5E2B2B0F"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More than 30 years</w:t>
      </w:r>
    </w:p>
    <w:p w14:paraId="391FC999"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 xml:space="preserve">What gaps, if any, do you find regarding understanding margin status in the surgical pathology report? Check all that apply. </w:t>
      </w:r>
    </w:p>
    <w:p w14:paraId="1385C2AF"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Location of supplemental margins harvested intraoperatively</w:t>
      </w:r>
    </w:p>
    <w:p w14:paraId="0D8A6DB9"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Extent of supplemental margins harvested intraoperatively</w:t>
      </w:r>
    </w:p>
    <w:p w14:paraId="12A003E3"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lastRenderedPageBreak/>
        <w:t>Initial specimen margins</w:t>
      </w:r>
    </w:p>
    <w:p w14:paraId="1FC1DF5A"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Final margin status</w:t>
      </w:r>
    </w:p>
    <w:p w14:paraId="6BA248E6"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Lack of documentation regarding whether supplemental margins harvested reflect clear margins for the entire specimen</w:t>
      </w:r>
    </w:p>
    <w:p w14:paraId="4BD38B27"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None</w:t>
      </w:r>
    </w:p>
    <w:p w14:paraId="0D8E2AB7"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Other (please specify)</w:t>
      </w:r>
    </w:p>
    <w:p w14:paraId="22097644"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 xml:space="preserve">How do you typically resolve gaps in your understanding after reading the surgical pathology report? Check all that apply. </w:t>
      </w:r>
    </w:p>
    <w:p w14:paraId="600AC2A0"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Tumor board discussion</w:t>
      </w:r>
    </w:p>
    <w:p w14:paraId="17D96F9C"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In-person discussion with pathologist or surgeon</w:t>
      </w:r>
    </w:p>
    <w:p w14:paraId="0B9B7457"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Phone call or virtual discussion with pathologist or surgeon</w:t>
      </w:r>
    </w:p>
    <w:p w14:paraId="65CAD7B7"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Other (please specify)</w:t>
      </w:r>
    </w:p>
    <w:p w14:paraId="31C26478"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If you are a surgeon or pathologist, do you feel that intraoperative communication is effective for obtaining clear margins and delivering precise details regarding frozen section analysis?</w:t>
      </w:r>
    </w:p>
    <w:p w14:paraId="09951308"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Yes</w:t>
      </w:r>
    </w:p>
    <w:p w14:paraId="3707DFAA"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No</w:t>
      </w:r>
    </w:p>
    <w:p w14:paraId="441C5AB8" w14:textId="77777777" w:rsidR="00056843" w:rsidRPr="004A2FAA" w:rsidRDefault="00056843" w:rsidP="00056843">
      <w:pPr>
        <w:numPr>
          <w:ilvl w:val="1"/>
          <w:numId w:val="1"/>
        </w:numPr>
        <w:spacing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Not applicable</w:t>
      </w:r>
    </w:p>
    <w:p w14:paraId="0ED11625" w14:textId="77777777" w:rsidR="00056843" w:rsidRPr="004A2FAA" w:rsidRDefault="00056843" w:rsidP="00056843">
      <w:pPr>
        <w:numPr>
          <w:ilvl w:val="0"/>
          <w:numId w:val="1"/>
        </w:numPr>
        <w:spacing w:before="200" w:after="200" w:line="480" w:lineRule="auto"/>
        <w:jc w:val="both"/>
        <w:rPr>
          <w:rFonts w:ascii="Times New Roman" w:eastAsia="Times New Roman" w:hAnsi="Times New Roman" w:cs="Times New Roman"/>
          <w:color w:val="000000" w:themeColor="text1"/>
          <w:sz w:val="20"/>
          <w:szCs w:val="20"/>
        </w:rPr>
      </w:pPr>
      <w:r w:rsidRPr="004A2FAA">
        <w:rPr>
          <w:rFonts w:ascii="Times New Roman" w:eastAsia="Times New Roman" w:hAnsi="Times New Roman" w:cs="Times New Roman"/>
          <w:color w:val="000000" w:themeColor="text1"/>
          <w:sz w:val="20"/>
          <w:szCs w:val="20"/>
        </w:rPr>
        <w:t>In a perfect world with unlimited resources, what would be included in the surgical pathology report? (Think big. Fantastic and impossible ideas are encouraged.)</w:t>
      </w:r>
    </w:p>
    <w:p w14:paraId="064B3FFE" w14:textId="77777777" w:rsidR="00056843" w:rsidRPr="004A2FAA" w:rsidRDefault="00056843" w:rsidP="00056843">
      <w:pPr>
        <w:spacing w:before="200" w:after="200" w:line="480" w:lineRule="auto"/>
        <w:jc w:val="both"/>
        <w:rPr>
          <w:rFonts w:ascii="Times New Roman" w:eastAsia="Times New Roman" w:hAnsi="Times New Roman" w:cs="Times New Roman"/>
          <w:color w:val="000000" w:themeColor="text1"/>
          <w:sz w:val="20"/>
          <w:szCs w:val="20"/>
        </w:rPr>
      </w:pPr>
    </w:p>
    <w:p w14:paraId="0FE2AFBE" w14:textId="77777777" w:rsidR="00056843" w:rsidRPr="004A2FAA" w:rsidRDefault="00056843" w:rsidP="00056843">
      <w:pPr>
        <w:spacing w:before="200" w:after="200" w:line="480" w:lineRule="auto"/>
        <w:jc w:val="both"/>
        <w:rPr>
          <w:rFonts w:ascii="Times New Roman" w:eastAsia="Times New Roman" w:hAnsi="Times New Roman" w:cs="Times New Roman"/>
          <w:color w:val="000000" w:themeColor="text1"/>
          <w:sz w:val="20"/>
          <w:szCs w:val="20"/>
        </w:rPr>
      </w:pPr>
    </w:p>
    <w:p w14:paraId="067CD5E8" w14:textId="77777777" w:rsidR="00056843" w:rsidRPr="004A2FAA" w:rsidRDefault="00056843" w:rsidP="00056843">
      <w:pPr>
        <w:spacing w:before="200" w:after="200" w:line="480" w:lineRule="auto"/>
        <w:jc w:val="both"/>
        <w:rPr>
          <w:rFonts w:ascii="Times New Roman" w:eastAsia="Times New Roman" w:hAnsi="Times New Roman" w:cs="Times New Roman"/>
          <w:color w:val="000000" w:themeColor="text1"/>
          <w:sz w:val="20"/>
          <w:szCs w:val="20"/>
        </w:rPr>
      </w:pPr>
    </w:p>
    <w:p w14:paraId="7E26DC80" w14:textId="77777777" w:rsidR="00056843" w:rsidRPr="004A2FAA" w:rsidRDefault="00056843" w:rsidP="00056843">
      <w:pPr>
        <w:spacing w:before="200" w:after="200" w:line="480" w:lineRule="auto"/>
        <w:jc w:val="both"/>
        <w:rPr>
          <w:rFonts w:ascii="Times New Roman" w:eastAsia="Times New Roman" w:hAnsi="Times New Roman" w:cs="Times New Roman"/>
          <w:color w:val="000000" w:themeColor="text1"/>
          <w:sz w:val="20"/>
          <w:szCs w:val="20"/>
        </w:rPr>
      </w:pPr>
    </w:p>
    <w:p w14:paraId="33E615AF" w14:textId="77777777" w:rsidR="00056843" w:rsidRPr="004A2FAA" w:rsidRDefault="00056843" w:rsidP="00056843">
      <w:pPr>
        <w:spacing w:before="200" w:after="200" w:line="480" w:lineRule="auto"/>
        <w:jc w:val="both"/>
        <w:rPr>
          <w:rFonts w:ascii="Times New Roman" w:eastAsia="Times New Roman" w:hAnsi="Times New Roman" w:cs="Times New Roman"/>
          <w:color w:val="000000" w:themeColor="text1"/>
          <w:sz w:val="20"/>
          <w:szCs w:val="20"/>
        </w:rPr>
      </w:pPr>
    </w:p>
    <w:p w14:paraId="1CDAA5BB" w14:textId="77777777" w:rsidR="00056843" w:rsidRPr="004A2FAA" w:rsidRDefault="00056843" w:rsidP="00056843">
      <w:pPr>
        <w:spacing w:line="240" w:lineRule="auto"/>
        <w:ind w:left="360"/>
        <w:jc w:val="both"/>
        <w:rPr>
          <w:rFonts w:ascii="Times New Roman" w:eastAsia="Times New Roman" w:hAnsi="Times New Roman" w:cs="Times New Roman"/>
          <w:b/>
          <w:i/>
          <w:sz w:val="20"/>
          <w:szCs w:val="20"/>
        </w:rPr>
      </w:pPr>
      <w:r w:rsidRPr="004A2FAA">
        <w:rPr>
          <w:rFonts w:ascii="Times New Roman" w:eastAsia="Times New Roman" w:hAnsi="Times New Roman" w:cs="Times New Roman"/>
          <w:b/>
          <w:sz w:val="20"/>
          <w:szCs w:val="20"/>
        </w:rPr>
        <w:lastRenderedPageBreak/>
        <w:t>Appendix 2: A sampling of text responses to the “ideation” survey question which read: “</w:t>
      </w:r>
      <w:r w:rsidRPr="004A2FAA">
        <w:rPr>
          <w:rFonts w:ascii="Times New Roman" w:eastAsia="Times New Roman" w:hAnsi="Times New Roman" w:cs="Times New Roman"/>
          <w:b/>
          <w:i/>
          <w:sz w:val="20"/>
          <w:szCs w:val="20"/>
        </w:rPr>
        <w:t>In a perfect world with unlimited resources, what would be included in the surgical pathology report? (Think big. Fantastic and impossible ideas are encouraged.)”</w:t>
      </w:r>
    </w:p>
    <w:p w14:paraId="0B14B188" w14:textId="77777777" w:rsidR="00056843" w:rsidRPr="004A2FAA" w:rsidRDefault="00056843" w:rsidP="00056843">
      <w:pPr>
        <w:spacing w:line="240" w:lineRule="auto"/>
        <w:jc w:val="both"/>
        <w:rPr>
          <w:rFonts w:ascii="Times New Roman" w:eastAsia="Times New Roman" w:hAnsi="Times New Roman" w:cs="Times New Roman"/>
          <w:sz w:val="20"/>
          <w:szCs w:val="20"/>
        </w:rPr>
      </w:pPr>
    </w:p>
    <w:tbl>
      <w:tblPr>
        <w:tblW w:w="95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5"/>
        <w:gridCol w:w="7485"/>
      </w:tblGrid>
      <w:tr w:rsidR="00056843" w:rsidRPr="004A2FAA" w14:paraId="4C935AEA" w14:textId="77777777" w:rsidTr="0010765C">
        <w:tc>
          <w:tcPr>
            <w:tcW w:w="2085" w:type="dxa"/>
            <w:shd w:val="clear" w:color="auto" w:fill="auto"/>
            <w:tcMar>
              <w:top w:w="100" w:type="dxa"/>
              <w:left w:w="100" w:type="dxa"/>
              <w:bottom w:w="100" w:type="dxa"/>
              <w:right w:w="100" w:type="dxa"/>
            </w:tcMar>
          </w:tcPr>
          <w:p w14:paraId="33EB6388" w14:textId="77777777" w:rsidR="00056843" w:rsidRPr="004A2FAA" w:rsidRDefault="00056843" w:rsidP="0010765C">
            <w:pPr>
              <w:widowControl w:val="0"/>
              <w:spacing w:line="240" w:lineRule="auto"/>
              <w:rPr>
                <w:rFonts w:ascii="Times New Roman" w:eastAsia="Times New Roman" w:hAnsi="Times New Roman" w:cs="Times New Roman"/>
                <w:b/>
                <w:sz w:val="20"/>
                <w:szCs w:val="20"/>
              </w:rPr>
            </w:pPr>
            <w:r w:rsidRPr="004A2FAA">
              <w:rPr>
                <w:rFonts w:ascii="Times New Roman" w:eastAsia="Times New Roman" w:hAnsi="Times New Roman" w:cs="Times New Roman"/>
                <w:b/>
                <w:sz w:val="20"/>
                <w:szCs w:val="20"/>
              </w:rPr>
              <w:t>Key Themes</w:t>
            </w:r>
          </w:p>
        </w:tc>
        <w:tc>
          <w:tcPr>
            <w:tcW w:w="7485" w:type="dxa"/>
            <w:shd w:val="clear" w:color="auto" w:fill="auto"/>
            <w:tcMar>
              <w:top w:w="100" w:type="dxa"/>
              <w:left w:w="100" w:type="dxa"/>
              <w:bottom w:w="100" w:type="dxa"/>
              <w:right w:w="100" w:type="dxa"/>
            </w:tcMar>
          </w:tcPr>
          <w:p w14:paraId="685629ED" w14:textId="77777777" w:rsidR="00056843" w:rsidRPr="004A2FAA" w:rsidRDefault="00056843" w:rsidP="0010765C">
            <w:pPr>
              <w:widowControl w:val="0"/>
              <w:spacing w:line="240" w:lineRule="auto"/>
              <w:rPr>
                <w:rFonts w:ascii="Times New Roman" w:eastAsia="Times New Roman" w:hAnsi="Times New Roman" w:cs="Times New Roman"/>
                <w:b/>
                <w:sz w:val="20"/>
                <w:szCs w:val="20"/>
              </w:rPr>
            </w:pPr>
            <w:r w:rsidRPr="004A2FAA">
              <w:rPr>
                <w:rFonts w:ascii="Times New Roman" w:eastAsia="Times New Roman" w:hAnsi="Times New Roman" w:cs="Times New Roman"/>
                <w:b/>
                <w:sz w:val="20"/>
                <w:szCs w:val="20"/>
              </w:rPr>
              <w:t>Demonstrative survey responses</w:t>
            </w:r>
          </w:p>
        </w:tc>
      </w:tr>
      <w:tr w:rsidR="00056843" w:rsidRPr="004A2FAA" w14:paraId="6C8D4B2C" w14:textId="77777777" w:rsidTr="0010765C">
        <w:trPr>
          <w:trHeight w:val="440"/>
        </w:trPr>
        <w:tc>
          <w:tcPr>
            <w:tcW w:w="2085" w:type="dxa"/>
            <w:vMerge w:val="restart"/>
            <w:shd w:val="clear" w:color="auto" w:fill="auto"/>
            <w:tcMar>
              <w:top w:w="100" w:type="dxa"/>
              <w:left w:w="100" w:type="dxa"/>
              <w:bottom w:w="100" w:type="dxa"/>
              <w:right w:w="100" w:type="dxa"/>
            </w:tcMar>
          </w:tcPr>
          <w:p w14:paraId="4C13997A" w14:textId="77777777" w:rsidR="00056843" w:rsidRPr="004A2FAA" w:rsidRDefault="00056843" w:rsidP="0010765C">
            <w:pPr>
              <w:widowControl w:val="0"/>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Visualizations</w:t>
            </w:r>
          </w:p>
        </w:tc>
        <w:tc>
          <w:tcPr>
            <w:tcW w:w="7485" w:type="dxa"/>
            <w:shd w:val="clear" w:color="auto" w:fill="auto"/>
            <w:tcMar>
              <w:top w:w="100" w:type="dxa"/>
              <w:left w:w="100" w:type="dxa"/>
              <w:bottom w:w="100" w:type="dxa"/>
              <w:right w:w="100" w:type="dxa"/>
            </w:tcMar>
          </w:tcPr>
          <w:p w14:paraId="26F3A853" w14:textId="77777777" w:rsidR="00056843" w:rsidRPr="004A2FAA" w:rsidRDefault="00056843" w:rsidP="0010765C">
            <w:pPr>
              <w:widowControl w:val="0"/>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A photo of the main resection specimen with the separately submitted margin locations for clarity.</w:t>
            </w:r>
          </w:p>
        </w:tc>
      </w:tr>
      <w:tr w:rsidR="00056843" w:rsidRPr="004A2FAA" w14:paraId="2D3AA2FB" w14:textId="77777777" w:rsidTr="0010765C">
        <w:trPr>
          <w:trHeight w:val="440"/>
        </w:trPr>
        <w:tc>
          <w:tcPr>
            <w:tcW w:w="2085" w:type="dxa"/>
            <w:vMerge/>
            <w:shd w:val="clear" w:color="auto" w:fill="auto"/>
            <w:tcMar>
              <w:top w:w="100" w:type="dxa"/>
              <w:left w:w="100" w:type="dxa"/>
              <w:bottom w:w="100" w:type="dxa"/>
              <w:right w:w="100" w:type="dxa"/>
            </w:tcMar>
          </w:tcPr>
          <w:p w14:paraId="0389BAB8" w14:textId="77777777" w:rsidR="00056843" w:rsidRPr="004A2FAA" w:rsidRDefault="00056843" w:rsidP="0010765C">
            <w:pPr>
              <w:widowControl w:val="0"/>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55CCCF54" w14:textId="77777777" w:rsidR="00056843" w:rsidRPr="004A2FAA" w:rsidRDefault="00056843" w:rsidP="0010765C">
            <w:pPr>
              <w:widowControl w:val="0"/>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Pathology would have the capability of obtaining true 360 degree margins from the submitted specimen and be able to communicate to the surgeon intraoperatively exactly where margins are positive.</w:t>
            </w:r>
          </w:p>
        </w:tc>
      </w:tr>
      <w:tr w:rsidR="00056843" w:rsidRPr="004A2FAA" w14:paraId="5F74F35D" w14:textId="77777777" w:rsidTr="0010765C">
        <w:trPr>
          <w:trHeight w:val="440"/>
        </w:trPr>
        <w:tc>
          <w:tcPr>
            <w:tcW w:w="2085" w:type="dxa"/>
            <w:vMerge/>
            <w:shd w:val="clear" w:color="auto" w:fill="auto"/>
            <w:tcMar>
              <w:top w:w="100" w:type="dxa"/>
              <w:left w:w="100" w:type="dxa"/>
              <w:bottom w:w="100" w:type="dxa"/>
              <w:right w:w="100" w:type="dxa"/>
            </w:tcMar>
          </w:tcPr>
          <w:p w14:paraId="3D8B4C61" w14:textId="77777777" w:rsidR="00056843" w:rsidRPr="004A2FAA" w:rsidRDefault="00056843" w:rsidP="0010765C">
            <w:pPr>
              <w:widowControl w:val="0"/>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23FDECDF" w14:textId="77777777" w:rsidR="00056843" w:rsidRPr="004A2FAA" w:rsidRDefault="00056843" w:rsidP="0010765C">
            <w:pPr>
              <w:widowControl w:val="0"/>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Anatomical photos of the specimen and margins recreated as they would be in situ</w:t>
            </w:r>
          </w:p>
        </w:tc>
      </w:tr>
      <w:tr w:rsidR="00056843" w:rsidRPr="004A2FAA" w14:paraId="36262B5C" w14:textId="77777777" w:rsidTr="0010765C">
        <w:trPr>
          <w:trHeight w:val="440"/>
        </w:trPr>
        <w:tc>
          <w:tcPr>
            <w:tcW w:w="2085" w:type="dxa"/>
            <w:vMerge/>
            <w:shd w:val="clear" w:color="auto" w:fill="auto"/>
            <w:tcMar>
              <w:top w:w="100" w:type="dxa"/>
              <w:left w:w="100" w:type="dxa"/>
              <w:bottom w:w="100" w:type="dxa"/>
              <w:right w:w="100" w:type="dxa"/>
            </w:tcMar>
          </w:tcPr>
          <w:p w14:paraId="24A91426"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0576B5B9"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Photograph/diagram with margin status delineated. even a 3d model!</w:t>
            </w:r>
          </w:p>
        </w:tc>
      </w:tr>
      <w:tr w:rsidR="00056843" w:rsidRPr="004A2FAA" w14:paraId="2D9C21E2" w14:textId="77777777" w:rsidTr="0010765C">
        <w:trPr>
          <w:trHeight w:val="440"/>
        </w:trPr>
        <w:tc>
          <w:tcPr>
            <w:tcW w:w="2085" w:type="dxa"/>
            <w:vMerge/>
            <w:shd w:val="clear" w:color="auto" w:fill="auto"/>
            <w:tcMar>
              <w:top w:w="100" w:type="dxa"/>
              <w:left w:w="100" w:type="dxa"/>
              <w:bottom w:w="100" w:type="dxa"/>
              <w:right w:w="100" w:type="dxa"/>
            </w:tcMar>
          </w:tcPr>
          <w:p w14:paraId="715A4841"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2F92CBAB"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Pathological correlation to immediate preoperative/postoperative 3D imaging.</w:t>
            </w:r>
          </w:p>
        </w:tc>
      </w:tr>
      <w:tr w:rsidR="00056843" w:rsidRPr="004A2FAA" w14:paraId="49AC09F4" w14:textId="77777777" w:rsidTr="0010765C">
        <w:trPr>
          <w:trHeight w:val="440"/>
        </w:trPr>
        <w:tc>
          <w:tcPr>
            <w:tcW w:w="2085" w:type="dxa"/>
            <w:vMerge/>
            <w:shd w:val="clear" w:color="auto" w:fill="auto"/>
            <w:tcMar>
              <w:top w:w="100" w:type="dxa"/>
              <w:left w:w="100" w:type="dxa"/>
              <w:bottom w:w="100" w:type="dxa"/>
              <w:right w:w="100" w:type="dxa"/>
            </w:tcMar>
          </w:tcPr>
          <w:p w14:paraId="59CCAEDF"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1C5D7DB3"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An addendum map marked by the surgeon correlating where initial margins were positive and where additional margins were taken. This map should address whether additional margins were adequate in size and oriented to the true margin surface.</w:t>
            </w:r>
          </w:p>
        </w:tc>
      </w:tr>
      <w:tr w:rsidR="00056843" w:rsidRPr="004A2FAA" w14:paraId="193348B3" w14:textId="77777777" w:rsidTr="0010765C">
        <w:trPr>
          <w:trHeight w:val="440"/>
        </w:trPr>
        <w:tc>
          <w:tcPr>
            <w:tcW w:w="2085" w:type="dxa"/>
            <w:vMerge/>
            <w:shd w:val="clear" w:color="auto" w:fill="auto"/>
            <w:tcMar>
              <w:top w:w="100" w:type="dxa"/>
              <w:left w:w="100" w:type="dxa"/>
              <w:bottom w:w="100" w:type="dxa"/>
              <w:right w:w="100" w:type="dxa"/>
            </w:tcMar>
          </w:tcPr>
          <w:p w14:paraId="6806ABE2"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62FCD990" w14:textId="77777777" w:rsidR="00056843" w:rsidRPr="004A2FAA" w:rsidRDefault="00056843" w:rsidP="0010765C">
            <w:pPr>
              <w:widowControl w:val="0"/>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3D visualization of tumor as "seen" at the time of surgery prior to and after resection. Areas of resection outlined/visualized in context with the postoperative bed. Areas of close/positive margins visualized on the "picture" of the tumor to be subsequently localized/targeted in the adjuvant setting.</w:t>
            </w:r>
          </w:p>
        </w:tc>
      </w:tr>
      <w:tr w:rsidR="00056843" w:rsidRPr="004A2FAA" w14:paraId="01D8325F" w14:textId="77777777" w:rsidTr="0010765C">
        <w:trPr>
          <w:trHeight w:val="440"/>
        </w:trPr>
        <w:tc>
          <w:tcPr>
            <w:tcW w:w="2085" w:type="dxa"/>
            <w:vMerge/>
            <w:shd w:val="clear" w:color="auto" w:fill="auto"/>
            <w:tcMar>
              <w:top w:w="100" w:type="dxa"/>
              <w:left w:w="100" w:type="dxa"/>
              <w:bottom w:w="100" w:type="dxa"/>
              <w:right w:w="100" w:type="dxa"/>
            </w:tcMar>
          </w:tcPr>
          <w:p w14:paraId="5F78B745"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351BAD68" w14:textId="77777777" w:rsidR="00056843" w:rsidRPr="004A2FAA" w:rsidRDefault="00056843" w:rsidP="0010765C">
            <w:pPr>
              <w:widowControl w:val="0"/>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More information about what constitutes a "close" margin - beyond simple distance in mm, also how "focal" or "broad" the tumor front is, and other nuances.</w:t>
            </w:r>
          </w:p>
        </w:tc>
      </w:tr>
      <w:tr w:rsidR="00056843" w:rsidRPr="004A2FAA" w14:paraId="53A6E97C" w14:textId="77777777" w:rsidTr="0010765C">
        <w:trPr>
          <w:trHeight w:val="440"/>
        </w:trPr>
        <w:tc>
          <w:tcPr>
            <w:tcW w:w="2085" w:type="dxa"/>
            <w:vMerge w:val="restart"/>
            <w:shd w:val="clear" w:color="auto" w:fill="auto"/>
            <w:tcMar>
              <w:top w:w="100" w:type="dxa"/>
              <w:left w:w="100" w:type="dxa"/>
              <w:bottom w:w="100" w:type="dxa"/>
              <w:right w:w="100" w:type="dxa"/>
            </w:tcMar>
          </w:tcPr>
          <w:p w14:paraId="5E1113D8" w14:textId="77777777" w:rsidR="00056843" w:rsidRPr="004A2FAA" w:rsidRDefault="00056843" w:rsidP="0010765C">
            <w:pPr>
              <w:widowControl w:val="0"/>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Improving clarity of margin status</w:t>
            </w:r>
          </w:p>
        </w:tc>
        <w:tc>
          <w:tcPr>
            <w:tcW w:w="7485" w:type="dxa"/>
            <w:shd w:val="clear" w:color="auto" w:fill="auto"/>
            <w:tcMar>
              <w:top w:w="100" w:type="dxa"/>
              <w:left w:w="100" w:type="dxa"/>
              <w:bottom w:w="100" w:type="dxa"/>
              <w:right w:w="100" w:type="dxa"/>
            </w:tcMar>
          </w:tcPr>
          <w:p w14:paraId="50331B30" w14:textId="77777777" w:rsidR="00056843" w:rsidRPr="004A2FAA" w:rsidRDefault="00056843" w:rsidP="0010765C">
            <w:pPr>
              <w:widowControl w:val="0"/>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Gross description, Clear indication what is the final margin synoptic report.</w:t>
            </w:r>
          </w:p>
        </w:tc>
      </w:tr>
      <w:tr w:rsidR="00056843" w:rsidRPr="004A2FAA" w14:paraId="6349DB91" w14:textId="77777777" w:rsidTr="0010765C">
        <w:trPr>
          <w:trHeight w:val="440"/>
        </w:trPr>
        <w:tc>
          <w:tcPr>
            <w:tcW w:w="2085" w:type="dxa"/>
            <w:vMerge/>
            <w:shd w:val="clear" w:color="auto" w:fill="auto"/>
            <w:tcMar>
              <w:top w:w="100" w:type="dxa"/>
              <w:left w:w="100" w:type="dxa"/>
              <w:bottom w:w="100" w:type="dxa"/>
              <w:right w:w="100" w:type="dxa"/>
            </w:tcMar>
          </w:tcPr>
          <w:p w14:paraId="45582D36"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62CB516C"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Maybe documentation of the intraoperative interaction with the pathologist and the surgeon</w:t>
            </w:r>
          </w:p>
          <w:p w14:paraId="2CFF9026"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r>
      <w:tr w:rsidR="00056843" w:rsidRPr="004A2FAA" w14:paraId="1F7F2C1D" w14:textId="77777777" w:rsidTr="0010765C">
        <w:trPr>
          <w:trHeight w:val="440"/>
        </w:trPr>
        <w:tc>
          <w:tcPr>
            <w:tcW w:w="2085" w:type="dxa"/>
            <w:vMerge/>
            <w:shd w:val="clear" w:color="auto" w:fill="auto"/>
            <w:tcMar>
              <w:top w:w="100" w:type="dxa"/>
              <w:left w:w="100" w:type="dxa"/>
              <w:bottom w:w="100" w:type="dxa"/>
              <w:right w:w="100" w:type="dxa"/>
            </w:tcMar>
          </w:tcPr>
          <w:p w14:paraId="23793ABF"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7CCF6888" w14:textId="77777777" w:rsidR="00056843" w:rsidRPr="004A2FAA" w:rsidRDefault="00056843" w:rsidP="0010765C">
            <w:pPr>
              <w:widowControl w:val="0"/>
              <w:jc w:val="center"/>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“The path report becomes cumbersome to truly understand- anatomically- when there are multiple margins and supplemental margins. It would be most helpful to see exactly where the margins are located.”</w:t>
            </w:r>
          </w:p>
          <w:p w14:paraId="3BEA1D9F"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r>
      <w:tr w:rsidR="00056843" w:rsidRPr="004A2FAA" w14:paraId="4183C04C" w14:textId="77777777" w:rsidTr="0010765C">
        <w:trPr>
          <w:trHeight w:val="1518"/>
        </w:trPr>
        <w:tc>
          <w:tcPr>
            <w:tcW w:w="2085" w:type="dxa"/>
            <w:vMerge w:val="restart"/>
            <w:shd w:val="clear" w:color="auto" w:fill="auto"/>
            <w:tcMar>
              <w:top w:w="100" w:type="dxa"/>
              <w:left w:w="100" w:type="dxa"/>
              <w:bottom w:w="100" w:type="dxa"/>
              <w:right w:w="100" w:type="dxa"/>
            </w:tcMar>
          </w:tcPr>
          <w:p w14:paraId="6CCC15B8"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Improving communication between surgeon and pathologist as well as downstream providers</w:t>
            </w:r>
          </w:p>
        </w:tc>
        <w:tc>
          <w:tcPr>
            <w:tcW w:w="7485" w:type="dxa"/>
            <w:shd w:val="clear" w:color="auto" w:fill="auto"/>
            <w:tcMar>
              <w:top w:w="100" w:type="dxa"/>
              <w:left w:w="100" w:type="dxa"/>
              <w:bottom w:w="100" w:type="dxa"/>
              <w:right w:w="100" w:type="dxa"/>
            </w:tcMar>
          </w:tcPr>
          <w:p w14:paraId="6C6A3518"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Surgeons and pathologists should submit an additional note to add the missing context between the two reports (operative report and pathology report). Each cancer operation should have 3 reports - the operative note signed by the surgeon, the pathology report signed by the pathologist, and episode of care note signed by both the pathologist and surgeon where the surgeon details the aspects of the operation that are not well described in the operative report and the pathologist describes the microscopic findings at that location/time.</w:t>
            </w:r>
          </w:p>
        </w:tc>
      </w:tr>
      <w:tr w:rsidR="00056843" w:rsidRPr="004A2FAA" w14:paraId="53D821C1" w14:textId="77777777" w:rsidTr="0010765C">
        <w:trPr>
          <w:trHeight w:val="591"/>
        </w:trPr>
        <w:tc>
          <w:tcPr>
            <w:tcW w:w="2085" w:type="dxa"/>
            <w:vMerge/>
            <w:shd w:val="clear" w:color="auto" w:fill="auto"/>
            <w:tcMar>
              <w:top w:w="100" w:type="dxa"/>
              <w:left w:w="100" w:type="dxa"/>
              <w:bottom w:w="100" w:type="dxa"/>
              <w:right w:w="100" w:type="dxa"/>
            </w:tcMar>
          </w:tcPr>
          <w:p w14:paraId="7674F0B5"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p>
        </w:tc>
        <w:tc>
          <w:tcPr>
            <w:tcW w:w="7485" w:type="dxa"/>
            <w:shd w:val="clear" w:color="auto" w:fill="auto"/>
            <w:tcMar>
              <w:top w:w="100" w:type="dxa"/>
              <w:left w:w="100" w:type="dxa"/>
              <w:bottom w:w="100" w:type="dxa"/>
              <w:right w:w="100" w:type="dxa"/>
            </w:tcMar>
          </w:tcPr>
          <w:p w14:paraId="7F434C6E" w14:textId="77777777" w:rsidR="00056843" w:rsidRPr="004A2FAA" w:rsidRDefault="00056843" w:rsidP="0010765C">
            <w:pPr>
              <w:widowControl w:val="0"/>
              <w:shd w:val="clear" w:color="auto" w:fill="FFFFFF"/>
              <w:spacing w:line="240" w:lineRule="auto"/>
              <w:rPr>
                <w:rFonts w:ascii="Times New Roman" w:eastAsia="Times New Roman" w:hAnsi="Times New Roman" w:cs="Times New Roman"/>
                <w:sz w:val="20"/>
                <w:szCs w:val="20"/>
              </w:rPr>
            </w:pPr>
            <w:r w:rsidRPr="004A2FAA">
              <w:rPr>
                <w:rFonts w:ascii="Times New Roman" w:eastAsia="Times New Roman" w:hAnsi="Times New Roman" w:cs="Times New Roman"/>
                <w:sz w:val="20"/>
                <w:szCs w:val="20"/>
              </w:rPr>
              <w:t>Relevant information including area of resection, margins at risk and supplemental margins taken to address positive margins are not easily accessible or understood</w:t>
            </w:r>
            <w:r w:rsidRPr="004A2FAA">
              <w:rPr>
                <w:rFonts w:ascii="Times New Roman" w:eastAsia="Times New Roman" w:hAnsi="Times New Roman" w:cs="Times New Roman"/>
                <w:sz w:val="20"/>
                <w:szCs w:val="20"/>
                <w:highlight w:val="yellow"/>
              </w:rPr>
              <w:t xml:space="preserve"> </w:t>
            </w:r>
            <w:r w:rsidRPr="004A2FAA">
              <w:rPr>
                <w:rFonts w:ascii="Times New Roman" w:eastAsia="Times New Roman" w:hAnsi="Times New Roman" w:cs="Times New Roman"/>
                <w:sz w:val="20"/>
                <w:szCs w:val="20"/>
              </w:rPr>
              <w:t>can be hard to find and may be missing from the report. This makes it difficult to determine postoperative therapy.”</w:t>
            </w:r>
          </w:p>
        </w:tc>
      </w:tr>
    </w:tbl>
    <w:p w14:paraId="2593C474" w14:textId="77777777" w:rsidR="00056843" w:rsidRPr="004A2FAA" w:rsidRDefault="00056843" w:rsidP="00056843">
      <w:pPr>
        <w:spacing w:line="480" w:lineRule="auto"/>
        <w:jc w:val="both"/>
        <w:rPr>
          <w:rFonts w:ascii="Times New Roman" w:eastAsia="Times New Roman" w:hAnsi="Times New Roman" w:cs="Times New Roman"/>
          <w:b/>
          <w:bCs/>
          <w:color w:val="000000" w:themeColor="text1"/>
          <w:sz w:val="20"/>
          <w:szCs w:val="20"/>
        </w:rPr>
      </w:pPr>
    </w:p>
    <w:p w14:paraId="30E459BA" w14:textId="77777777" w:rsidR="00056843" w:rsidRDefault="00056843" w:rsidP="00056843">
      <w:pPr>
        <w:rPr>
          <w:rFonts w:ascii="Times New Roman" w:eastAsia="Times New Roman" w:hAnsi="Times New Roman" w:cs="Times New Roman"/>
          <w:b/>
          <w:bCs/>
          <w:color w:val="000000" w:themeColor="text1"/>
          <w:sz w:val="20"/>
          <w:szCs w:val="20"/>
        </w:rPr>
      </w:pPr>
      <w:r>
        <w:rPr>
          <w:rFonts w:ascii="Times New Roman" w:eastAsia="Times New Roman" w:hAnsi="Times New Roman" w:cs="Times New Roman"/>
          <w:b/>
          <w:bCs/>
          <w:color w:val="000000" w:themeColor="text1"/>
          <w:sz w:val="20"/>
          <w:szCs w:val="20"/>
        </w:rPr>
        <w:br w:type="page"/>
      </w:r>
    </w:p>
    <w:p w14:paraId="0FFB2AFC"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D84BD3"/>
    <w:multiLevelType w:val="multilevel"/>
    <w:tmpl w:val="2B70EA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805007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843"/>
    <w:rsid w:val="00056843"/>
    <w:rsid w:val="003C2EF4"/>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D5ECF"/>
  <w15:chartTrackingRefBased/>
  <w15:docId w15:val="{0DA108CB-CE0A-44DD-92E9-2E143AF8C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843"/>
    <w:pPr>
      <w:spacing w:after="0" w:line="276" w:lineRule="auto"/>
    </w:pPr>
    <w:rPr>
      <w:rFonts w:ascii="Arial" w:eastAsia="Arial" w:hAnsi="Arial" w:cs="Arial"/>
      <w:kern w:val="0"/>
      <w:lang w:val="e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660</Words>
  <Characters>3768</Characters>
  <Application>Microsoft Office Word</Application>
  <DocSecurity>0</DocSecurity>
  <Lines>31</Lines>
  <Paragraphs>8</Paragraphs>
  <ScaleCrop>false</ScaleCrop>
  <Company>Springer Nature</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2024-03-26T06:02:00Z</dcterms:created>
  <dcterms:modified xsi:type="dcterms:W3CDTF">2024-03-26T06:02:00Z</dcterms:modified>
</cp:coreProperties>
</file>