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5A8BB" w14:textId="375CAFC6" w:rsidR="000971D5" w:rsidRPr="000971D5" w:rsidRDefault="000971D5" w:rsidP="000971D5">
      <w:pPr>
        <w:widowControl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</w:pPr>
      <w:r w:rsidRPr="000971D5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 xml:space="preserve">The original </w:t>
      </w:r>
      <w:r w:rsidR="00B37E0D">
        <w:rPr>
          <w:rFonts w:ascii="Times New Roman" w:eastAsia="宋体" w:hAnsi="Times New Roman" w:cs="Times New Roman"/>
          <w:b/>
          <w:bCs/>
          <w:color w:val="000000"/>
          <w:kern w:val="0"/>
          <w:sz w:val="22"/>
        </w:rPr>
        <w:t>Figure</w:t>
      </w:r>
    </w:p>
    <w:p w14:paraId="6B2FB2AE" w14:textId="77777777" w:rsidR="000971D5" w:rsidRDefault="000971D5"/>
    <w:p w14:paraId="0201C0D8" w14:textId="795FCCBA" w:rsidR="0078393B" w:rsidRDefault="002D520C">
      <w:r>
        <w:rPr>
          <w:noProof/>
        </w:rPr>
        <w:drawing>
          <wp:inline distT="0" distB="0" distL="0" distR="0" wp14:anchorId="2E3FAAB4" wp14:editId="62865B80">
            <wp:extent cx="4876800" cy="3143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63"/>
                    <a:stretch/>
                  </pic:blipFill>
                  <pic:spPr bwMode="auto">
                    <a:xfrm>
                      <a:off x="0" y="0"/>
                      <a:ext cx="4876800" cy="314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2D332" w14:textId="0C6EE5E5" w:rsidR="002D520C" w:rsidRDefault="007D0728">
      <w:r w:rsidRPr="007D0728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1. RPA primer optimization. </w:t>
      </w:r>
      <w:r w:rsidRPr="007D0728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Every two lines of primer sets are the same,</w:t>
      </w:r>
      <w:r w:rsidRPr="007D0728">
        <w:rPr>
          <w:rFonts w:ascii="Times New Roman" w:eastAsia="Arial Unicode MS" w:hAnsi="Times New Roman" w:cs="Arial Unicode MS" w:hint="eastAsia"/>
          <w:color w:val="000000"/>
          <w:sz w:val="16"/>
          <w:szCs w:val="16"/>
          <w:u w:color="000000"/>
          <w:bdr w:val="nil"/>
        </w:rPr>
        <w:t xml:space="preserve"> </w:t>
      </w:r>
      <w:r w:rsidRPr="007D0728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the front line is the NDRV standard plasmid DNA and the latter line as a blank control.</w:t>
      </w:r>
      <w:r w:rsidRPr="007D0728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 </w:t>
      </w:r>
      <w:r w:rsidRPr="007D0728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M: DL2000 marker. Lanes 1–2: NDRV-RPA-1F/R primer; lanes 3–4, NDRV-RPA-2F/R primer; 5–6, NDRV-RPA-3F/R primer.</w:t>
      </w:r>
    </w:p>
    <w:p w14:paraId="012FB1BE" w14:textId="271C06AF" w:rsidR="002D520C" w:rsidRDefault="002D520C"/>
    <w:p w14:paraId="793925E9" w14:textId="207060A5" w:rsidR="004F427E" w:rsidRDefault="004F427E"/>
    <w:p w14:paraId="12385D4E" w14:textId="17603821" w:rsidR="004F427E" w:rsidRDefault="004F427E"/>
    <w:p w14:paraId="615605B4" w14:textId="3C25C1AD" w:rsidR="004F427E" w:rsidRDefault="004F427E"/>
    <w:p w14:paraId="0F83EA49" w14:textId="52BF9D3A" w:rsidR="004F427E" w:rsidRDefault="004F427E"/>
    <w:p w14:paraId="1BFFA871" w14:textId="39EDBFE2" w:rsidR="004F427E" w:rsidRDefault="004F427E"/>
    <w:p w14:paraId="70E709DB" w14:textId="6A71FEB5" w:rsidR="004F427E" w:rsidRDefault="004F427E"/>
    <w:p w14:paraId="3245522D" w14:textId="77777777" w:rsidR="004F427E" w:rsidRDefault="004F427E"/>
    <w:p w14:paraId="5267739E" w14:textId="381B63E9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3894429D" wp14:editId="7993D9E7">
            <wp:extent cx="4876800" cy="365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4B831" w14:textId="11B851BA" w:rsidR="002D520C" w:rsidRDefault="007D0728"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>Fig</w:t>
      </w:r>
      <w:r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ure </w:t>
      </w:r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2. Optimization of RPA assay components. 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 xml:space="preserve">(A) </w:t>
      </w:r>
      <w:r w:rsidRPr="00156F39">
        <w:rPr>
          <w:rFonts w:ascii="Times New Roman" w:eastAsia="Arial Unicode MS" w:hAnsi="Times New Roman" w:cs="Arial Unicode MS"/>
          <w:sz w:val="16"/>
          <w:szCs w:val="16"/>
        </w:rPr>
        <w:t>RPA reaction temperature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>; M: DL2000 marker. Lanes 1–7: 33 ℃, 35 ℃, 37 ℃, 39 ℃, 41℃ and 43℃, and the negative control;</w:t>
      </w:r>
    </w:p>
    <w:p w14:paraId="5DB116EB" w14:textId="6DC9108E" w:rsidR="002D520C" w:rsidRDefault="002D520C"/>
    <w:p w14:paraId="558D19F6" w14:textId="368C4586" w:rsidR="002D520C" w:rsidRDefault="002D520C"/>
    <w:p w14:paraId="3E53E48C" w14:textId="3373918C" w:rsidR="004F427E" w:rsidRDefault="004F427E"/>
    <w:p w14:paraId="73A374A8" w14:textId="60BF5833" w:rsidR="004F427E" w:rsidRDefault="004F427E"/>
    <w:p w14:paraId="27A79071" w14:textId="625D18D0" w:rsidR="004F427E" w:rsidRDefault="004F427E"/>
    <w:p w14:paraId="2E1087DA" w14:textId="52652D2D" w:rsidR="004F427E" w:rsidRDefault="004F427E"/>
    <w:p w14:paraId="4B8F6650" w14:textId="34E315ED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28A10DBF" wp14:editId="2139EBF8">
            <wp:extent cx="4876800" cy="365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2C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621E1" w14:textId="72170692" w:rsidR="007D0728" w:rsidRDefault="007D0728" w:rsidP="007D0728">
      <w:pPr>
        <w:spacing w:line="480" w:lineRule="auto"/>
        <w:rPr>
          <w:rFonts w:ascii="Times New Roman" w:eastAsia="Arial Unicode MS" w:hAnsi="Times New Roman" w:cs="Arial Unicode MS"/>
          <w:b/>
          <w:bCs/>
          <w:sz w:val="16"/>
          <w:szCs w:val="16"/>
        </w:rPr>
      </w:pPr>
      <w:bookmarkStart w:id="0" w:name="_Hlk42791760"/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>Fig</w:t>
      </w:r>
      <w:r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ure </w:t>
      </w:r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>2. Optimization of RPA assay components.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 xml:space="preserve"> (C) </w:t>
      </w:r>
      <w:r w:rsidRPr="00EC7997">
        <w:rPr>
          <w:rFonts w:ascii="Times New Roman" w:eastAsia="Arial Unicode MS" w:hAnsi="Times New Roman" w:cs="Arial Unicode MS"/>
          <w:sz w:val="16"/>
          <w:szCs w:val="16"/>
        </w:rPr>
        <w:t>Optimal primer concentration screening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>. M: DL2000 marker. Lanes 1-6: 0.32 μM, 0.36 μM, 0.4 μM, 0.44 μM, 0.48 μM and the negative control.</w:t>
      </w:r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 </w:t>
      </w:r>
      <w:bookmarkEnd w:id="0"/>
    </w:p>
    <w:p w14:paraId="755FDDD2" w14:textId="78640DBD" w:rsidR="002D520C" w:rsidRDefault="002D520C"/>
    <w:p w14:paraId="317011DC" w14:textId="3369E4B0" w:rsidR="007D0728" w:rsidRDefault="007D0728"/>
    <w:p w14:paraId="0076FD85" w14:textId="6FE89907" w:rsidR="007D0728" w:rsidRDefault="007D0728"/>
    <w:p w14:paraId="494386D9" w14:textId="77777777" w:rsidR="007D0728" w:rsidRDefault="007D0728"/>
    <w:p w14:paraId="6456FE2C" w14:textId="3F416570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55CFAD44" wp14:editId="250EAE4C">
            <wp:extent cx="4876800" cy="3657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3A, Figure 2B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D4CA2" w14:textId="5490C3D8" w:rsidR="002D520C" w:rsidRDefault="007D0728">
      <w:pPr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</w:pPr>
      <w:r w:rsidRPr="007D0728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3. The specificity, sensitivity and repeatability of the RPA. </w:t>
      </w:r>
      <w:r w:rsidRPr="007D0728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(A) RPA specificity test; M: DL2000 marker. Lanes 1–12: NDRV, MDRV, ARV, DHAV-Ⅰ, DHAV-Ⅱ, NDV, DTMUV, DPV, MPV, IBDV and IBV, and ddH</w:t>
      </w:r>
      <w:r w:rsidRPr="007D0728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  <w:vertAlign w:val="subscript"/>
        </w:rPr>
        <w:t>2</w:t>
      </w:r>
      <w:r w:rsidRPr="007D0728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O.</w:t>
      </w:r>
    </w:p>
    <w:p w14:paraId="50B60E1C" w14:textId="5964766A" w:rsidR="007D0728" w:rsidRDefault="007D0728"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>Fig</w:t>
      </w:r>
      <w:r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ure </w:t>
      </w:r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2. Optimization of RPA assay components. 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 xml:space="preserve">(B) Optimization of the RPA reaction time; M: DL2000 marker. Lanes 1–6: </w:t>
      </w:r>
      <w:r>
        <w:rPr>
          <w:rFonts w:ascii="Times New Roman" w:eastAsia="Arial Unicode MS" w:hAnsi="Times New Roman" w:cs="Arial Unicode MS"/>
          <w:sz w:val="16"/>
          <w:szCs w:val="16"/>
        </w:rPr>
        <w:t xml:space="preserve">the RPA 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>reaction incubated for 5,10, 20, 30, 40 min and negative control, respectively;</w:t>
      </w:r>
    </w:p>
    <w:p w14:paraId="3D9B6198" w14:textId="0CFBD239" w:rsidR="002D520C" w:rsidRDefault="002D520C"/>
    <w:p w14:paraId="33BC8B8E" w14:textId="0E82F65C" w:rsidR="002D520C" w:rsidRDefault="002D520C"/>
    <w:p w14:paraId="5131E72F" w14:textId="027EE605" w:rsidR="004F427E" w:rsidRDefault="004F427E"/>
    <w:p w14:paraId="594B0F87" w14:textId="2F9F935A" w:rsidR="004F427E" w:rsidRDefault="004F427E"/>
    <w:p w14:paraId="17E49DFE" w14:textId="388DD8E3" w:rsidR="004F427E" w:rsidRDefault="004F427E"/>
    <w:p w14:paraId="34C65E79" w14:textId="392311E9" w:rsidR="004F427E" w:rsidRDefault="004F427E"/>
    <w:p w14:paraId="1172FC34" w14:textId="0342013B" w:rsidR="004F427E" w:rsidRDefault="004F427E"/>
    <w:p w14:paraId="1635D99A" w14:textId="2AE9A006" w:rsidR="004F427E" w:rsidRDefault="004F427E"/>
    <w:p w14:paraId="5FACBDB3" w14:textId="00F66CB9" w:rsidR="004F427E" w:rsidRDefault="004F427E"/>
    <w:p w14:paraId="08B5AFE1" w14:textId="3D2906D5" w:rsidR="004F427E" w:rsidRDefault="004F427E"/>
    <w:p w14:paraId="69F7F247" w14:textId="68168EAB" w:rsidR="004F427E" w:rsidRDefault="004F427E"/>
    <w:p w14:paraId="446C2025" w14:textId="031A061C" w:rsidR="004F427E" w:rsidRDefault="004F427E"/>
    <w:p w14:paraId="18690B69" w14:textId="10E76735" w:rsidR="004F427E" w:rsidRDefault="004F427E"/>
    <w:p w14:paraId="186F1F3E" w14:textId="77777777" w:rsidR="004F427E" w:rsidRDefault="004F427E"/>
    <w:p w14:paraId="0DD7C9DC" w14:textId="69C308CB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6FD44F4E" wp14:editId="007D80CE">
            <wp:extent cx="5274310" cy="149987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3B and D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65EF2" w14:textId="14100130" w:rsidR="00D62C93" w:rsidRDefault="00D62C93" w:rsidP="00D62C93">
      <w:pPr>
        <w:spacing w:line="480" w:lineRule="auto"/>
        <w:rPr>
          <w:rFonts w:ascii="Times New Roman" w:eastAsia="Arial Unicode MS" w:hAnsi="Times New Roman" w:cs="Arial Unicode MS"/>
          <w:b/>
          <w:bCs/>
          <w:sz w:val="16"/>
          <w:szCs w:val="16"/>
        </w:rPr>
      </w:pPr>
      <w:r w:rsidRPr="00D62C93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3. The specificity, sensitivity and repeatability of the RPA. 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(B) Sensitivity of the RT-RPA (B); M: DL2000 marker. 10-fold gradient dilution of the DNA samples (10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  <w:vertAlign w:val="superscript"/>
        </w:rPr>
        <w:t>-1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–10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  <w:vertAlign w:val="superscript"/>
        </w:rPr>
        <w:t>-10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, lanes 1–10). Lane 11: negative control.</w:t>
      </w:r>
      <w:r w:rsidRPr="00D62C93">
        <w:rPr>
          <w:rFonts w:ascii="Times New Roman" w:eastAsia="Arial Unicode MS" w:hAnsi="Times New Roman" w:cs="Arial Unicode MS"/>
          <w:sz w:val="16"/>
          <w:szCs w:val="16"/>
        </w:rPr>
        <w:t xml:space="preserve"> 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 xml:space="preserve">(D) </w:t>
      </w:r>
      <w:r>
        <w:rPr>
          <w:rFonts w:ascii="Times New Roman" w:eastAsia="Arial Unicode MS" w:hAnsi="Times New Roman" w:cs="Arial Unicode MS"/>
          <w:sz w:val="16"/>
          <w:szCs w:val="16"/>
        </w:rPr>
        <w:t>R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 xml:space="preserve">epeatability </w:t>
      </w:r>
      <w:r>
        <w:rPr>
          <w:rFonts w:ascii="Times New Roman" w:eastAsia="Arial Unicode MS" w:hAnsi="Times New Roman" w:cs="Arial Unicode MS"/>
          <w:sz w:val="16"/>
          <w:szCs w:val="16"/>
        </w:rPr>
        <w:t xml:space="preserve">of the 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>RPA</w:t>
      </w:r>
      <w:r>
        <w:rPr>
          <w:rFonts w:ascii="Times New Roman" w:eastAsia="Arial Unicode MS" w:hAnsi="Times New Roman" w:cs="Arial Unicode MS"/>
          <w:sz w:val="16"/>
          <w:szCs w:val="16"/>
        </w:rPr>
        <w:t xml:space="preserve"> assay</w:t>
      </w:r>
      <w:r w:rsidRPr="00ED30CD">
        <w:rPr>
          <w:rFonts w:ascii="Times New Roman" w:eastAsia="Arial Unicode MS" w:hAnsi="Times New Roman" w:cs="Arial Unicode MS"/>
          <w:sz w:val="16"/>
          <w:szCs w:val="16"/>
        </w:rPr>
        <w:t>. M: DL2000 marker. Lanes 1-3: NDRV standard plasmid DNA, Lanes 4: the negative control.</w:t>
      </w:r>
      <w:r w:rsidRPr="00ED30CD">
        <w:rPr>
          <w:rFonts w:ascii="Times New Roman" w:eastAsia="Arial Unicode MS" w:hAnsi="Times New Roman" w:cs="Arial Unicode MS"/>
          <w:b/>
          <w:bCs/>
          <w:sz w:val="16"/>
          <w:szCs w:val="16"/>
        </w:rPr>
        <w:t xml:space="preserve"> </w:t>
      </w:r>
    </w:p>
    <w:p w14:paraId="7A354928" w14:textId="0BD561A7" w:rsidR="002D520C" w:rsidRDefault="002D520C"/>
    <w:p w14:paraId="2C72861A" w14:textId="408F68CA" w:rsidR="002D520C" w:rsidRDefault="002D520C"/>
    <w:p w14:paraId="58B3E2F3" w14:textId="08166EC1" w:rsidR="002D520C" w:rsidRDefault="002D520C"/>
    <w:p w14:paraId="5FA399DC" w14:textId="7A0E4FD5" w:rsidR="002D520C" w:rsidRDefault="002D520C"/>
    <w:p w14:paraId="12199512" w14:textId="7A787C39" w:rsidR="004F427E" w:rsidRDefault="004F427E"/>
    <w:p w14:paraId="7B4288BF" w14:textId="4284F2E9" w:rsidR="004F427E" w:rsidRDefault="004F427E"/>
    <w:p w14:paraId="0167A14D" w14:textId="7FA3B37A" w:rsidR="004F427E" w:rsidRDefault="004F427E"/>
    <w:p w14:paraId="46294B7A" w14:textId="39416BF3" w:rsidR="004F427E" w:rsidRDefault="004F427E"/>
    <w:p w14:paraId="1DD720F2" w14:textId="6117AB52" w:rsidR="004F427E" w:rsidRDefault="004F427E"/>
    <w:p w14:paraId="64144699" w14:textId="78E5454D" w:rsidR="004F427E" w:rsidRDefault="004F427E"/>
    <w:p w14:paraId="0EA0A67E" w14:textId="441FEBA4" w:rsidR="004F427E" w:rsidRDefault="004F427E"/>
    <w:p w14:paraId="179FD171" w14:textId="69328DE0" w:rsidR="004F427E" w:rsidRDefault="004F427E"/>
    <w:p w14:paraId="3C019CC7" w14:textId="77777777" w:rsidR="004F427E" w:rsidRDefault="004F427E"/>
    <w:p w14:paraId="4F0C0F33" w14:textId="51516ADD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2C0F3B77" wp14:editId="5E828C68">
            <wp:extent cx="4876800" cy="3657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3C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D8E81" w14:textId="5486DE26" w:rsidR="002D520C" w:rsidRDefault="00D62C93">
      <w:r w:rsidRPr="00D62C93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3. The specificity, sensitivity and repeatability of the RPA. 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(B) Sensitivity of the RT-PCR (C); M: DL2000 marker. 10-fold gradient dilution of the DNA samples (10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  <w:vertAlign w:val="superscript"/>
        </w:rPr>
        <w:t>-1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–10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  <w:vertAlign w:val="superscript"/>
        </w:rPr>
        <w:t>-10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, lanes 1–10). Lane 11: negative control.</w:t>
      </w:r>
    </w:p>
    <w:p w14:paraId="249C9B2F" w14:textId="4A1BCD3B" w:rsidR="002D520C" w:rsidRDefault="002D520C"/>
    <w:p w14:paraId="279D2B79" w14:textId="53998F08" w:rsidR="00D62C93" w:rsidRDefault="00D62C93"/>
    <w:p w14:paraId="45110A16" w14:textId="39BCC236" w:rsidR="00D62C93" w:rsidRDefault="00D62C93"/>
    <w:p w14:paraId="197371C1" w14:textId="7CDFAE4F" w:rsidR="00D62C93" w:rsidRDefault="00D62C93"/>
    <w:p w14:paraId="2C2F0B8E" w14:textId="23DB0DFF" w:rsidR="00D62C93" w:rsidRDefault="00D62C93"/>
    <w:p w14:paraId="25B4A716" w14:textId="77777777" w:rsidR="00D62C93" w:rsidRDefault="00D62C93"/>
    <w:p w14:paraId="50321D9F" w14:textId="49D39055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5FF6C677" wp14:editId="232F4A53">
            <wp:extent cx="4876800" cy="3657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4A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D1657" w14:textId="77777777" w:rsidR="00D62C93" w:rsidRPr="00D62C93" w:rsidRDefault="00D62C93" w:rsidP="00D62C93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</w:pPr>
      <w:r w:rsidRPr="00D62C93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4. Visualization of RPA products under ultraviolet light. </w:t>
      </w:r>
      <w:r w:rsidRPr="00D62C93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Aliquots (5 μl) of the RT-RPA products were analyzed by 2% agarose gel electrophoresis (A) and SYBR Green I staining (B). M: DL2000 marker. Lanes 1–11: the RT-RPA reactions incubated for 1, 3, 5, 7, 10, 15, 20, 25, 30, 40 min and negative control, respectively.</w:t>
      </w:r>
      <w:r w:rsidRPr="00D62C93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 </w:t>
      </w:r>
    </w:p>
    <w:p w14:paraId="5454DB67" w14:textId="2C99AA33" w:rsidR="002D520C" w:rsidRPr="00D62C93" w:rsidRDefault="002D520C"/>
    <w:p w14:paraId="1E23367A" w14:textId="47EDB8E4" w:rsidR="002D520C" w:rsidRDefault="002D520C"/>
    <w:p w14:paraId="05DAE31D" w14:textId="394792AC" w:rsidR="002D520C" w:rsidRDefault="002D520C"/>
    <w:p w14:paraId="09D2A0BC" w14:textId="706D1460" w:rsidR="002D520C" w:rsidRDefault="002D520C"/>
    <w:p w14:paraId="23B39D0A" w14:textId="7206EB22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429E5113" wp14:editId="25CF91E0">
            <wp:extent cx="5213350" cy="3909894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4B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40290" cy="3930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4479A" w14:textId="3A71FF7F" w:rsidR="004F427E" w:rsidRPr="004F427E" w:rsidRDefault="004F427E" w:rsidP="004F427E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</w:pPr>
      <w:r w:rsidRPr="004F427E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4. Visualization of RPA products under ultraviolet light. </w:t>
      </w:r>
      <w:r w:rsidRPr="004F427E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Aliquots (5 μl) of the RT-RPA products were analyzed by SYBR Green I staining (B). M: DL2000 marker. Lanes 1–11: the RT-RPA reactions incubated for 1, 3, 5, 7, 10, 15, 20, 25, 30, 40 min and negative control, respectively.</w:t>
      </w:r>
      <w:r w:rsidRPr="004F427E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 </w:t>
      </w:r>
    </w:p>
    <w:p w14:paraId="0E775A8F" w14:textId="049177D5" w:rsidR="002D520C" w:rsidRPr="004F427E" w:rsidRDefault="002D520C"/>
    <w:p w14:paraId="5BAEC6AC" w14:textId="426378B0" w:rsidR="002D520C" w:rsidRDefault="002D520C"/>
    <w:p w14:paraId="7D19D1B3" w14:textId="628EB118" w:rsidR="004F427E" w:rsidRDefault="004F427E"/>
    <w:p w14:paraId="172CC34F" w14:textId="2B4D5C28" w:rsidR="004F427E" w:rsidRDefault="004F427E"/>
    <w:p w14:paraId="51D535AF" w14:textId="7B795B87" w:rsidR="004F427E" w:rsidRDefault="004F427E"/>
    <w:p w14:paraId="79B94BE4" w14:textId="54A161CA" w:rsidR="004F427E" w:rsidRDefault="004F427E"/>
    <w:p w14:paraId="4E3154E1" w14:textId="5592150D" w:rsidR="004F427E" w:rsidRDefault="004F427E"/>
    <w:p w14:paraId="603E8157" w14:textId="77777777" w:rsidR="004F427E" w:rsidRDefault="004F427E"/>
    <w:p w14:paraId="73EF64CF" w14:textId="41FB60F8" w:rsidR="002D520C" w:rsidRDefault="002D520C"/>
    <w:p w14:paraId="63C3E907" w14:textId="6DCF90B3" w:rsidR="002D520C" w:rsidRDefault="002D520C"/>
    <w:p w14:paraId="4EEF1717" w14:textId="4555B522" w:rsidR="002D520C" w:rsidRDefault="002D520C"/>
    <w:p w14:paraId="0412A2C9" w14:textId="59FBACCB" w:rsidR="002D520C" w:rsidRDefault="002D520C"/>
    <w:p w14:paraId="2720D54B" w14:textId="31A36727" w:rsidR="002D520C" w:rsidRDefault="002D520C"/>
    <w:p w14:paraId="64B912E4" w14:textId="2B1698DC" w:rsidR="002D520C" w:rsidRDefault="002D520C"/>
    <w:p w14:paraId="1CF2F635" w14:textId="2F7DD0E3" w:rsidR="002D520C" w:rsidRDefault="002D520C">
      <w:r>
        <w:rPr>
          <w:rFonts w:hint="eastAsia"/>
          <w:noProof/>
        </w:rPr>
        <w:lastRenderedPageBreak/>
        <w:drawing>
          <wp:inline distT="0" distB="0" distL="0" distR="0" wp14:anchorId="1977FF7D" wp14:editId="4F67DA79">
            <wp:extent cx="5274310" cy="104521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E48FF" w14:textId="77777777" w:rsidR="000971D5" w:rsidRPr="000971D5" w:rsidRDefault="000971D5" w:rsidP="000971D5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</w:pPr>
      <w:r w:rsidRPr="000971D5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Figure 5. Detection of NDRV in field-collected and artificially inoculated samples by RT-RPA. </w:t>
      </w:r>
      <w:r w:rsidRPr="000971D5">
        <w:rPr>
          <w:rFonts w:ascii="Times New Roman" w:eastAsia="Arial Unicode MS" w:hAnsi="Times New Roman" w:cs="Arial Unicode MS"/>
          <w:color w:val="000000"/>
          <w:sz w:val="16"/>
          <w:szCs w:val="16"/>
          <w:u w:color="000000"/>
          <w:bdr w:val="nil"/>
        </w:rPr>
        <w:t>M: DL2000 marker. Lanes 1–8: field-collected samples; Lanes 9–16: artificially inoculated samples. Lanes 17–20: the samples obtained from healthy ducklings. Lanes 21: the negative control.</w:t>
      </w:r>
      <w:r w:rsidRPr="000971D5">
        <w:rPr>
          <w:rFonts w:ascii="Times New Roman" w:eastAsia="Arial Unicode MS" w:hAnsi="Times New Roman" w:cs="Arial Unicode MS"/>
          <w:b/>
          <w:bCs/>
          <w:color w:val="000000"/>
          <w:sz w:val="16"/>
          <w:szCs w:val="16"/>
          <w:u w:color="000000"/>
          <w:bdr w:val="nil"/>
        </w:rPr>
        <w:t xml:space="preserve"> </w:t>
      </w:r>
    </w:p>
    <w:p w14:paraId="08C35176" w14:textId="77777777" w:rsidR="004F427E" w:rsidRPr="000971D5" w:rsidRDefault="004F427E"/>
    <w:sectPr w:rsidR="004F427E" w:rsidRPr="00097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D4025E" w14:textId="77777777" w:rsidR="00C70D1B" w:rsidRDefault="00C70D1B" w:rsidP="002D520C">
      <w:r>
        <w:separator/>
      </w:r>
    </w:p>
  </w:endnote>
  <w:endnote w:type="continuationSeparator" w:id="0">
    <w:p w14:paraId="136CE6A6" w14:textId="77777777" w:rsidR="00C70D1B" w:rsidRDefault="00C70D1B" w:rsidP="002D5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EE2E85" w14:textId="77777777" w:rsidR="00C70D1B" w:rsidRDefault="00C70D1B" w:rsidP="002D520C">
      <w:r>
        <w:separator/>
      </w:r>
    </w:p>
  </w:footnote>
  <w:footnote w:type="continuationSeparator" w:id="0">
    <w:p w14:paraId="43C1857B" w14:textId="77777777" w:rsidR="00C70D1B" w:rsidRDefault="00C70D1B" w:rsidP="002D52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8DC"/>
    <w:rsid w:val="000971D5"/>
    <w:rsid w:val="002D520C"/>
    <w:rsid w:val="004F427E"/>
    <w:rsid w:val="004F48DC"/>
    <w:rsid w:val="0056745C"/>
    <w:rsid w:val="0078393B"/>
    <w:rsid w:val="007D0728"/>
    <w:rsid w:val="00A6228F"/>
    <w:rsid w:val="00B37E0D"/>
    <w:rsid w:val="00C70D1B"/>
    <w:rsid w:val="00D6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EBCFA"/>
  <w15:chartTrackingRefBased/>
  <w15:docId w15:val="{8AE2ACC4-0364-4097-8A69-FE1E0E919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2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2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2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2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62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96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5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9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 wang</dc:creator>
  <cp:keywords/>
  <dc:description/>
  <cp:lastModifiedBy>weiwei wang</cp:lastModifiedBy>
  <cp:revision>3</cp:revision>
  <dcterms:created xsi:type="dcterms:W3CDTF">2020-07-16T03:04:00Z</dcterms:created>
  <dcterms:modified xsi:type="dcterms:W3CDTF">2020-07-16T06:57:00Z</dcterms:modified>
</cp:coreProperties>
</file>