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Supplementary materials</w:t>
      </w:r>
    </w:p>
    <w:p>
      <w:pPr>
        <w:spacing w:line="360" w:lineRule="auto"/>
        <w:jc w:val="center"/>
        <w:rPr>
          <w:rFonts w:hint="default" w:ascii="Times New Roman" w:hAnsi="Times New Roman" w:cs="Times New Roman"/>
          <w:color w:val="auto"/>
          <w:sz w:val="20"/>
          <w:szCs w:val="20"/>
          <w:u w:val="dotDash"/>
          <w:lang w:val="en-US" w:eastAsia="zh-CN"/>
        </w:rPr>
      </w:pPr>
      <w:r>
        <w:rPr>
          <w:rFonts w:hint="default" w:ascii="Times New Roman" w:hAnsi="Times New Roman" w:cs="Times New Roman"/>
          <w:color w:val="auto"/>
          <w:sz w:val="20"/>
          <w:szCs w:val="20"/>
          <w:u w:val="none"/>
          <w:lang w:val="en-US" w:eastAsia="zh-CN"/>
        </w:rPr>
        <w:t>Circulating Inflammatory Biomarkers mediates the impact of Age on Female Pelvic Organ Prolapse: Mendelian Randomization Analysis</w:t>
      </w:r>
    </w:p>
    <w:p>
      <w:pPr>
        <w:spacing w:line="360" w:lineRule="auto"/>
        <w:jc w:val="center"/>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 of content</w:t>
      </w:r>
    </w:p>
    <w:p>
      <w:pPr>
        <w:spacing w:line="360" w:lineRule="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S1.</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GWAS information for circulating inflammatory biomarkers. .....................................................................................................................................</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 2</w:t>
      </w:r>
    </w:p>
    <w:p>
      <w:pPr>
        <w:spacing w:line="360" w:lineRule="auto"/>
        <w:jc w:val="left"/>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S2.</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u w:val="none"/>
          <w:lang w:val="en-US" w:eastAsia="zh-CN"/>
        </w:rPr>
        <w:t xml:space="preserve">Associations of </w:t>
      </w:r>
      <w:r>
        <w:rPr>
          <w:rFonts w:hint="eastAsia" w:ascii="Times New Roman" w:hAnsi="Times New Roman" w:cs="Times New Roman"/>
          <w:color w:val="auto"/>
          <w:sz w:val="20"/>
          <w:szCs w:val="20"/>
          <w:u w:val="none"/>
          <w:lang w:val="en-US" w:eastAsia="zh-CN"/>
        </w:rPr>
        <w:t xml:space="preserve">female pelvic organ prolapse, </w:t>
      </w:r>
      <w:r>
        <w:rPr>
          <w:rFonts w:hint="eastAsia" w:ascii="Times New Roman" w:hAnsi="Times New Roman" w:cs="Times New Roman"/>
          <w:color w:val="auto"/>
          <w:sz w:val="20"/>
          <w:szCs w:val="20"/>
          <w:lang w:val="en-US" w:eastAsia="zh-CN"/>
        </w:rPr>
        <w:t>5</w:t>
      </w:r>
      <w:r>
        <w:rPr>
          <w:rFonts w:hint="default" w:ascii="Times New Roman" w:hAnsi="Times New Roman" w:cs="Times New Roman"/>
          <w:color w:val="auto"/>
          <w:sz w:val="20"/>
          <w:szCs w:val="20"/>
          <w:lang w:val="en-US" w:eastAsia="zh-CN"/>
        </w:rPr>
        <w:t xml:space="preserve"> </w:t>
      </w:r>
      <w:r>
        <w:rPr>
          <w:rFonts w:hint="eastAsia" w:ascii="Times New Roman" w:hAnsi="Times New Roman" w:cs="Times New Roman"/>
          <w:color w:val="auto"/>
          <w:sz w:val="20"/>
          <w:szCs w:val="20"/>
          <w:lang w:val="en-US" w:eastAsia="zh-CN"/>
        </w:rPr>
        <w:t>age-related</w:t>
      </w:r>
      <w:r>
        <w:rPr>
          <w:rFonts w:hint="default" w:ascii="Times New Roman" w:hAnsi="Times New Roman" w:cs="Times New Roman"/>
          <w:color w:val="auto"/>
          <w:sz w:val="20"/>
          <w:szCs w:val="20"/>
          <w:lang w:val="en-US" w:eastAsia="zh-CN"/>
        </w:rPr>
        <w:t xml:space="preserve"> </w:t>
      </w:r>
      <w:r>
        <w:rPr>
          <w:rFonts w:hint="eastAsia" w:ascii="Times New Roman" w:hAnsi="Times New Roman" w:cs="Times New Roman"/>
          <w:color w:val="auto"/>
          <w:sz w:val="20"/>
          <w:szCs w:val="20"/>
          <w:lang w:val="en-US" w:eastAsia="zh-CN"/>
        </w:rPr>
        <w:t>biomarker</w:t>
      </w:r>
      <w:r>
        <w:rPr>
          <w:rFonts w:hint="default" w:ascii="Times New Roman" w:hAnsi="Times New Roman" w:cs="Times New Roman"/>
          <w:color w:val="auto"/>
          <w:sz w:val="20"/>
          <w:szCs w:val="20"/>
          <w:lang w:val="en-US" w:eastAsia="zh-CN"/>
        </w:rPr>
        <w:t>s</w:t>
      </w:r>
      <w:r>
        <w:rPr>
          <w:rFonts w:hint="eastAsia" w:ascii="Times New Roman" w:hAnsi="Times New Roman" w:cs="Times New Roman"/>
          <w:color w:val="auto"/>
          <w:sz w:val="20"/>
          <w:szCs w:val="20"/>
          <w:lang w:val="en-US" w:eastAsia="zh-CN"/>
        </w:rPr>
        <w:t xml:space="preserve"> and</w:t>
      </w:r>
      <w:r>
        <w:rPr>
          <w:rFonts w:hint="eastAsia"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lang w:val="en-US" w:eastAsia="zh-CN"/>
        </w:rPr>
        <w:t xml:space="preserve">circulating inflammatory </w:t>
      </w:r>
      <w:r>
        <w:rPr>
          <w:rFonts w:hint="eastAsia" w:ascii="Times New Roman" w:hAnsi="Times New Roman" w:cs="Times New Roman"/>
          <w:color w:val="auto"/>
          <w:sz w:val="20"/>
          <w:szCs w:val="20"/>
          <w:u w:val="none"/>
          <w:lang w:val="en-US" w:eastAsia="zh-CN"/>
        </w:rPr>
        <w:t>biomarker</w:t>
      </w:r>
      <w:r>
        <w:rPr>
          <w:rFonts w:hint="default" w:ascii="Times New Roman" w:hAnsi="Times New Roman" w:cs="Times New Roman"/>
          <w:color w:val="auto"/>
          <w:sz w:val="20"/>
          <w:szCs w:val="20"/>
          <w:u w:val="none"/>
          <w:lang w:val="en-US" w:eastAsia="zh-CN"/>
        </w:rPr>
        <w:t>s according to Mendelian randomization analysis</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5</w:t>
      </w:r>
    </w:p>
    <w:p>
      <w:pPr>
        <w:spacing w:line="360" w:lineRule="auto"/>
        <w:jc w:val="left"/>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S</w:t>
      </w:r>
      <w:r>
        <w:rPr>
          <w:rFonts w:hint="eastAsia" w:ascii="Times New Roman" w:hAnsi="Times New Roman" w:cs="Times New Roman"/>
          <w:color w:val="auto"/>
          <w:sz w:val="20"/>
          <w:szCs w:val="20"/>
          <w:lang w:val="en-US" w:eastAsia="zh-CN"/>
        </w:rPr>
        <w:t>3</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u w:val="none"/>
          <w:lang w:val="en-US" w:eastAsia="zh-CN"/>
        </w:rPr>
        <w:t xml:space="preserve">Associations of </w:t>
      </w:r>
      <w:r>
        <w:rPr>
          <w:rFonts w:hint="eastAsia" w:ascii="Times New Roman" w:hAnsi="Times New Roman" w:cs="Times New Roman"/>
          <w:color w:val="auto"/>
          <w:sz w:val="20"/>
          <w:szCs w:val="20"/>
          <w:u w:val="none"/>
          <w:lang w:val="en-US" w:eastAsia="zh-CN"/>
        </w:rPr>
        <w:t>pelvic organ prolapse (as exposure)</w:t>
      </w:r>
      <w:r>
        <w:rPr>
          <w:rFonts w:hint="default" w:ascii="Times New Roman" w:hAnsi="Times New Roman" w:cs="Times New Roman"/>
          <w:color w:val="auto"/>
          <w:sz w:val="20"/>
          <w:szCs w:val="20"/>
          <w:u w:val="none"/>
          <w:lang w:val="en-US" w:eastAsia="zh-CN"/>
        </w:rPr>
        <w:t xml:space="preserve"> with</w:t>
      </w:r>
      <w:r>
        <w:rPr>
          <w:rFonts w:hint="eastAsia"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lang w:val="en-US" w:eastAsia="zh-CN"/>
        </w:rPr>
        <w:t xml:space="preserve">circulating inflammatory </w:t>
      </w:r>
      <w:r>
        <w:rPr>
          <w:rFonts w:hint="eastAsia" w:ascii="Times New Roman" w:hAnsi="Times New Roman" w:cs="Times New Roman"/>
          <w:color w:val="auto"/>
          <w:sz w:val="20"/>
          <w:szCs w:val="20"/>
          <w:u w:val="none"/>
          <w:lang w:val="en-US" w:eastAsia="zh-CN"/>
        </w:rPr>
        <w:t>biomarkers (as outcome)</w:t>
      </w:r>
      <w:r>
        <w:rPr>
          <w:rFonts w:hint="default" w:ascii="Times New Roman" w:hAnsi="Times New Roman" w:cs="Times New Roman"/>
          <w:color w:val="auto"/>
          <w:sz w:val="20"/>
          <w:szCs w:val="20"/>
          <w:u w:val="none"/>
          <w:lang w:val="en-US" w:eastAsia="zh-CN"/>
        </w:rPr>
        <w:t xml:space="preserve"> according to M</w:t>
      </w:r>
      <w:r>
        <w:rPr>
          <w:rFonts w:hint="eastAsia" w:ascii="Times New Roman" w:hAnsi="Times New Roman" w:cs="Times New Roman"/>
          <w:color w:val="auto"/>
          <w:sz w:val="20"/>
          <w:szCs w:val="20"/>
          <w:u w:val="none"/>
          <w:lang w:val="en-US" w:eastAsia="zh-CN"/>
        </w:rPr>
        <w:t xml:space="preserve">R </w:t>
      </w:r>
      <w:r>
        <w:rPr>
          <w:rFonts w:hint="default" w:ascii="Times New Roman" w:hAnsi="Times New Roman" w:cs="Times New Roman"/>
          <w:color w:val="auto"/>
          <w:sz w:val="20"/>
          <w:szCs w:val="20"/>
          <w:u w:val="none"/>
          <w:lang w:val="en-US" w:eastAsia="zh-CN"/>
        </w:rPr>
        <w:t>analysis.</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 xml:space="preserve"> 7</w:t>
      </w:r>
    </w:p>
    <w:p>
      <w:pPr>
        <w:spacing w:line="360" w:lineRule="auto"/>
        <w:jc w:val="left"/>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S</w:t>
      </w:r>
      <w:r>
        <w:rPr>
          <w:rFonts w:hint="eastAsia" w:ascii="Times New Roman" w:hAnsi="Times New Roman" w:cs="Times New Roman"/>
          <w:color w:val="auto"/>
          <w:sz w:val="20"/>
          <w:szCs w:val="20"/>
          <w:lang w:val="en-US" w:eastAsia="zh-CN"/>
        </w:rPr>
        <w:t>4</w:t>
      </w:r>
      <w:r>
        <w:rPr>
          <w:rFonts w:hint="default" w:ascii="Times New Roman" w:hAnsi="Times New Roman" w:cs="Times New Roman"/>
          <w:color w:val="auto"/>
          <w:sz w:val="20"/>
          <w:szCs w:val="20"/>
          <w:lang w:val="en-US" w:eastAsia="zh-CN"/>
        </w:rPr>
        <w:t xml:space="preserve">. Associations of circulating inflammatory cytokines with </w:t>
      </w:r>
      <w:r>
        <w:rPr>
          <w:rFonts w:hint="eastAsia" w:ascii="Times New Roman" w:hAnsi="Times New Roman" w:cs="Times New Roman"/>
          <w:color w:val="auto"/>
          <w:sz w:val="20"/>
          <w:szCs w:val="20"/>
          <w:lang w:val="en-US" w:eastAsia="zh-CN"/>
        </w:rPr>
        <w:t>female pelvic organ prolapse</w:t>
      </w:r>
      <w:r>
        <w:rPr>
          <w:rFonts w:hint="default" w:ascii="Times New Roman" w:hAnsi="Times New Roman" w:cs="Times New Roman"/>
          <w:color w:val="auto"/>
          <w:sz w:val="20"/>
          <w:szCs w:val="20"/>
          <w:lang w:val="en-US" w:eastAsia="zh-CN"/>
        </w:rPr>
        <w:t xml:space="preserve"> according to Mendelian randomization</w:t>
      </w:r>
      <w:r>
        <w:rPr>
          <w:rFonts w:hint="eastAsia"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val="en-US" w:eastAsia="zh-CN"/>
        </w:rPr>
        <w:t>analysis...</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w:t>
      </w:r>
      <w:r>
        <w:rPr>
          <w:rFonts w:hint="eastAsia" w:ascii="Times New Roman" w:hAnsi="Times New Roman" w:cs="Times New Roman"/>
          <w:color w:val="auto"/>
          <w:sz w:val="20"/>
          <w:szCs w:val="20"/>
          <w:lang w:val="en-US" w:eastAsia="zh-CN"/>
        </w:rPr>
        <w:t>.</w:t>
      </w:r>
      <w:r>
        <w:rPr>
          <w:rFonts w:hint="default" w:ascii="Times New Roman" w:hAnsi="Times New Roman" w:cs="Times New Roman"/>
          <w:color w:val="auto"/>
          <w:sz w:val="20"/>
          <w:szCs w:val="20"/>
          <w:lang w:val="en-US" w:eastAsia="zh-CN"/>
        </w:rPr>
        <w:t xml:space="preserve">... </w:t>
      </w:r>
      <w:r>
        <w:rPr>
          <w:rFonts w:hint="eastAsia" w:ascii="Times New Roman" w:hAnsi="Times New Roman" w:cs="Times New Roman"/>
          <w:color w:val="auto"/>
          <w:sz w:val="20"/>
          <w:szCs w:val="20"/>
          <w:lang w:val="en-US" w:eastAsia="zh-CN"/>
        </w:rPr>
        <w:t>8</w:t>
      </w: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bookmarkStart w:id="0" w:name="_GoBack"/>
      <w:bookmarkEnd w:id="0"/>
    </w:p>
    <w:p>
      <w:pPr>
        <w:jc w:val="center"/>
        <w:rPr>
          <w:rFonts w:hint="eastAsia"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 S</w:t>
      </w:r>
      <w:r>
        <w:rPr>
          <w:rFonts w:hint="eastAsia" w:ascii="Times New Roman" w:hAnsi="Times New Roman" w:cs="Times New Roman"/>
          <w:color w:val="auto"/>
          <w:sz w:val="20"/>
          <w:szCs w:val="20"/>
          <w:lang w:val="en-US" w:eastAsia="zh-CN"/>
        </w:rPr>
        <w:t>1</w:t>
      </w:r>
      <w:r>
        <w:rPr>
          <w:rFonts w:hint="default" w:ascii="Times New Roman" w:hAnsi="Times New Roman" w:cs="Times New Roman"/>
          <w:color w:val="auto"/>
          <w:sz w:val="20"/>
          <w:szCs w:val="20"/>
          <w:lang w:val="en-US" w:eastAsia="zh-CN"/>
        </w:rPr>
        <w:t>. GWAS information for circulating inflammatory biomarkers.</w:t>
      </w:r>
    </w:p>
    <w:tbl>
      <w:tblPr>
        <w:tblStyle w:val="9"/>
        <w:tblpPr w:leftFromText="180" w:rightFromText="180" w:vertAnchor="text" w:horzAnchor="page" w:tblpX="1707" w:tblpY="868"/>
        <w:tblOverlap w:val="never"/>
        <w:tblW w:w="137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1182"/>
        <w:gridCol w:w="854"/>
        <w:gridCol w:w="970"/>
        <w:gridCol w:w="1269"/>
        <w:gridCol w:w="6180"/>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tcBorders>
              <w:left w:val="nil"/>
              <w:right w:val="nil"/>
            </w:tcBorders>
            <w:vAlign w:val="center"/>
          </w:tcPr>
          <w:p>
            <w:pPr>
              <w:keepNext w:val="0"/>
              <w:keepLines w:val="0"/>
              <w:widowControl/>
              <w:suppressLineNumbers w:val="0"/>
              <w:spacing w:before="0" w:beforeAutospacing="0" w:after="0" w:afterAutospacing="0"/>
              <w:ind w:left="0" w:right="0"/>
              <w:jc w:val="center"/>
              <w:rPr>
                <w:rFonts w:hint="default"/>
              </w:rPr>
            </w:pPr>
            <w:r>
              <w:rPr>
                <w:rFonts w:hint="default" w:ascii="Times New Roman" w:hAnsi="Times New Roman" w:eastAsia="宋体" w:cs="Times New Roman"/>
                <w:b/>
                <w:bCs/>
                <w:color w:val="000000"/>
                <w:kern w:val="0"/>
                <w:sz w:val="18"/>
                <w:szCs w:val="18"/>
                <w:lang w:val="en-US" w:eastAsia="zh-CN" w:bidi="ar"/>
              </w:rPr>
              <w:t>Biomarker</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name</w:t>
            </w:r>
          </w:p>
        </w:tc>
        <w:tc>
          <w:tcPr>
            <w:tcW w:w="1182" w:type="dxa"/>
            <w:tcBorders>
              <w:left w:val="nil"/>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PMID</w:t>
            </w:r>
          </w:p>
        </w:tc>
        <w:tc>
          <w:tcPr>
            <w:tcW w:w="854" w:type="dxa"/>
            <w:tcBorders>
              <w:left w:val="nil"/>
              <w:right w:val="nil"/>
            </w:tcBorders>
            <w:vAlign w:val="center"/>
          </w:tcPr>
          <w:p>
            <w:pPr>
              <w:keepNext w:val="0"/>
              <w:keepLines w:val="0"/>
              <w:widowControl/>
              <w:suppressLineNumbers w:val="0"/>
              <w:spacing w:before="0" w:beforeAutospacing="0" w:after="0" w:afterAutospacing="0"/>
              <w:ind w:left="0" w:right="0"/>
              <w:jc w:val="center"/>
              <w:rPr>
                <w:rFonts w:hint="default"/>
              </w:rPr>
            </w:pPr>
            <w:r>
              <w:rPr>
                <w:rFonts w:hint="default" w:ascii="Times New Roman" w:hAnsi="Times New Roman" w:eastAsia="宋体" w:cs="Times New Roman"/>
                <w:b/>
                <w:bCs/>
                <w:color w:val="000000"/>
                <w:kern w:val="0"/>
                <w:sz w:val="18"/>
                <w:szCs w:val="18"/>
                <w:lang w:val="en-US" w:eastAsia="zh-CN" w:bidi="ar"/>
              </w:rPr>
              <w:t>Sample</w:t>
            </w:r>
          </w:p>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size</w:t>
            </w:r>
          </w:p>
        </w:tc>
        <w:tc>
          <w:tcPr>
            <w:tcW w:w="970" w:type="dxa"/>
            <w:tcBorders>
              <w:left w:val="nil"/>
              <w:right w:val="nil"/>
            </w:tcBorders>
            <w:vAlign w:val="center"/>
          </w:tcPr>
          <w:p>
            <w:pPr>
              <w:keepNext w:val="0"/>
              <w:keepLines w:val="0"/>
              <w:widowControl/>
              <w:suppressLineNumbers w:val="0"/>
              <w:spacing w:before="0" w:beforeAutospacing="0" w:after="0" w:afterAutospacing="0"/>
              <w:ind w:left="0" w:right="0"/>
              <w:jc w:val="center"/>
              <w:rPr>
                <w:rFonts w:hint="default"/>
              </w:rPr>
            </w:pPr>
            <w:r>
              <w:rPr>
                <w:rFonts w:hint="default" w:ascii="Times New Roman" w:hAnsi="Times New Roman" w:eastAsia="宋体" w:cs="Times New Roman"/>
                <w:b/>
                <w:bCs/>
                <w:color w:val="000000"/>
                <w:kern w:val="0"/>
                <w:sz w:val="18"/>
                <w:szCs w:val="18"/>
                <w:lang w:val="en-US" w:eastAsia="zh-CN" w:bidi="ar"/>
              </w:rPr>
              <w:t>SNPs</w:t>
            </w:r>
          </w:p>
          <w:p>
            <w:pPr>
              <w:keepNext w:val="0"/>
              <w:keepLines w:val="0"/>
              <w:widowControl/>
              <w:suppressLineNumbers w:val="0"/>
              <w:spacing w:before="0" w:beforeAutospacing="0" w:after="0" w:afterAutospacing="0"/>
              <w:ind w:left="0" w:right="0"/>
              <w:jc w:val="center"/>
              <w:rPr>
                <w:rFonts w:hint="default"/>
              </w:rPr>
            </w:pPr>
            <w:r>
              <w:rPr>
                <w:rFonts w:hint="default" w:ascii="Times New Roman" w:hAnsi="Times New Roman" w:eastAsia="宋体" w:cs="Times New Roman"/>
                <w:b/>
                <w:bCs/>
                <w:color w:val="000000"/>
                <w:kern w:val="0"/>
                <w:sz w:val="18"/>
                <w:szCs w:val="18"/>
                <w:lang w:val="en-US" w:eastAsia="zh-CN" w:bidi="ar"/>
              </w:rPr>
              <w:t>passing</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QC</w:t>
            </w:r>
          </w:p>
        </w:tc>
        <w:tc>
          <w:tcPr>
            <w:tcW w:w="1269" w:type="dxa"/>
            <w:tcBorders>
              <w:left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Study populations</w:t>
            </w:r>
          </w:p>
        </w:tc>
        <w:tc>
          <w:tcPr>
            <w:tcW w:w="6180" w:type="dxa"/>
            <w:tcBorders>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GWAS information</w:t>
            </w:r>
          </w:p>
        </w:tc>
        <w:tc>
          <w:tcPr>
            <w:tcW w:w="1766" w:type="dxa"/>
            <w:tcBorders>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0"/>
                <w:szCs w:val="20"/>
                <w:lang w:val="en-US" w:eastAsia="zh-CN"/>
              </w:rPr>
            </w:pPr>
            <w:r>
              <w:rPr>
                <w:rFonts w:hint="default" w:ascii="Times New Roman" w:hAnsi="Times New Roman" w:eastAsia="宋体" w:cs="Times New Roman"/>
                <w:b/>
                <w:bCs/>
                <w:color w:val="000000"/>
                <w:kern w:val="0"/>
                <w:sz w:val="18"/>
                <w:szCs w:val="18"/>
                <w:lang w:val="en-US" w:eastAsia="zh-CN" w:bidi="ar"/>
              </w:rPr>
              <w:t>Web source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546"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Leukocyte count </w:t>
            </w:r>
          </w:p>
        </w:tc>
        <w:tc>
          <w:tcPr>
            <w:tcW w:w="1182" w:type="dxa"/>
            <w:vMerge w:val="restart"/>
            <w:tcBorders>
              <w:top w:val="single" w:color="auto" w:sz="4" w:space="0"/>
              <w:left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27863252</w:t>
            </w:r>
          </w:p>
        </w:tc>
        <w:tc>
          <w:tcPr>
            <w:tcW w:w="854"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 xml:space="preserve">172,275 </w:t>
            </w:r>
          </w:p>
        </w:tc>
        <w:tc>
          <w:tcPr>
            <w:tcW w:w="970" w:type="dxa"/>
            <w:vMerge w:val="restart"/>
            <w:tcBorders>
              <w:top w:val="single" w:color="auto" w:sz="4" w:space="0"/>
              <w:left w:val="nil"/>
              <w:right w:val="nil"/>
            </w:tcBorders>
            <w:vAlign w:val="center"/>
          </w:tcPr>
          <w:p>
            <w:pPr>
              <w:keepNext w:val="0"/>
              <w:keepLines w:val="0"/>
              <w:widowControl/>
              <w:suppressLineNumbers w:val="0"/>
              <w:spacing w:before="0" w:beforeAutospacing="0" w:after="0" w:afterAutospacing="0"/>
              <w:ind w:left="0" w:right="0"/>
              <w:jc w:val="center"/>
              <w:rPr>
                <w:rFonts w:hint="default"/>
                <w:sz w:val="20"/>
                <w:szCs w:val="22"/>
              </w:rPr>
            </w:pPr>
            <w:r>
              <w:rPr>
                <w:rFonts w:hint="default" w:ascii="Times New Roman" w:hAnsi="Times New Roman" w:eastAsia="宋体" w:cs="Times New Roman"/>
                <w:color w:val="000000"/>
                <w:kern w:val="0"/>
                <w:sz w:val="16"/>
                <w:szCs w:val="16"/>
                <w:lang w:val="en-US" w:eastAsia="zh-CN" w:bidi="ar"/>
              </w:rPr>
              <w:t>~ 2,500,000</w:t>
            </w:r>
          </w:p>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1269" w:type="dxa"/>
            <w:vMerge w:val="restart"/>
            <w:tcBorders>
              <w:top w:val="single" w:color="auto" w:sz="4" w:space="0"/>
              <w:left w:val="nil"/>
              <w:right w:val="nil"/>
            </w:tcBorders>
            <w:vAlign w:val="center"/>
          </w:tcPr>
          <w:p>
            <w:pPr>
              <w:keepNext w:val="0"/>
              <w:keepLines w:val="0"/>
              <w:widowControl/>
              <w:suppressLineNumbers w:val="0"/>
              <w:spacing w:before="0" w:beforeAutospacing="0" w:after="0" w:afterAutospacing="0"/>
              <w:ind w:left="0" w:right="0"/>
              <w:jc w:val="center"/>
              <w:rPr>
                <w:rFonts w:hint="default"/>
                <w:sz w:val="20"/>
                <w:szCs w:val="22"/>
              </w:rPr>
            </w:pPr>
            <w:r>
              <w:rPr>
                <w:rFonts w:hint="default" w:ascii="Times New Roman" w:hAnsi="Times New Roman" w:eastAsia="宋体" w:cs="Times New Roman"/>
                <w:color w:val="000000"/>
                <w:kern w:val="0"/>
                <w:sz w:val="16"/>
                <w:szCs w:val="16"/>
                <w:lang w:val="en-US" w:eastAsia="zh-CN" w:bidi="ar"/>
              </w:rPr>
              <w:t>The UK Biobank</w:t>
            </w:r>
          </w:p>
          <w:p>
            <w:pPr>
              <w:keepNext w:val="0"/>
              <w:keepLines w:val="0"/>
              <w:widowControl/>
              <w:suppressLineNumbers w:val="0"/>
              <w:spacing w:before="0" w:beforeAutospacing="0" w:after="0" w:afterAutospacing="0"/>
              <w:ind w:left="0" w:right="0"/>
              <w:jc w:val="center"/>
              <w:rPr>
                <w:rFonts w:hint="default"/>
                <w:sz w:val="20"/>
                <w:szCs w:val="22"/>
              </w:rPr>
            </w:pPr>
            <w:r>
              <w:rPr>
                <w:rFonts w:hint="default" w:ascii="Times New Roman" w:hAnsi="Times New Roman" w:eastAsia="宋体" w:cs="Times New Roman"/>
                <w:color w:val="000000"/>
                <w:kern w:val="0"/>
                <w:sz w:val="16"/>
                <w:szCs w:val="16"/>
                <w:lang w:val="en-US" w:eastAsia="zh-CN" w:bidi="ar"/>
              </w:rPr>
              <w:t>and INTERVAL</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studies</w:t>
            </w:r>
          </w:p>
        </w:tc>
        <w:tc>
          <w:tcPr>
            <w:tcW w:w="6180" w:type="dxa"/>
            <w:vMerge w:val="restart"/>
            <w:tcBorders>
              <w:top w:val="single" w:color="auto" w:sz="4" w:space="0"/>
              <w:left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The authors performed a univariable GWAS for each of the 36 blood cell indices that had phenotype data</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measured or derived in all three studies. Specifically, we computed the association statistics (i.e an estimate of the</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regression coefficient and the corresponding standard error) for a mixed linear regression of phenotype on the</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probabilistic imputed allele dose (i.e., an additive model) separately for each of the three datasets using BOLT</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LMM v2.2. The linear mixed model accounts for the genetic component of phenotypic</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correlation</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generated by relatedness. In order to maximize protection against confounding by large scale</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relatedness, we included a dummy variable for each recruitment center and the first ten PCs of the study specific</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kinship matrices as covariates in each regression model.</w:t>
            </w:r>
          </w:p>
        </w:tc>
        <w:tc>
          <w:tcPr>
            <w:tcW w:w="1766"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GCST004610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Basophil</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 xml:space="preserve">count </w:t>
            </w:r>
          </w:p>
        </w:tc>
        <w:tc>
          <w:tcPr>
            <w:tcW w:w="1182" w:type="dxa"/>
            <w:vMerge w:val="continue"/>
            <w:tcBorders>
              <w:left w:val="nil"/>
              <w:right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18"/>
                <w:szCs w:val="18"/>
                <w:lang w:val="en-US" w:eastAsia="zh-CN"/>
              </w:rPr>
            </w:pPr>
          </w:p>
        </w:tc>
        <w:tc>
          <w:tcPr>
            <w:tcW w:w="854"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 xml:space="preserve">171,846 </w:t>
            </w:r>
          </w:p>
        </w:tc>
        <w:tc>
          <w:tcPr>
            <w:tcW w:w="970" w:type="dxa"/>
            <w:vMerge w:val="continue"/>
            <w:tcBorders>
              <w:left w:val="nil"/>
              <w:right w:val="nil"/>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18"/>
                <w:szCs w:val="18"/>
                <w:lang w:val="en-US" w:eastAsia="zh-CN"/>
              </w:rPr>
            </w:pPr>
          </w:p>
        </w:tc>
        <w:tc>
          <w:tcPr>
            <w:tcW w:w="1269" w:type="dxa"/>
            <w:vMerge w:val="continue"/>
            <w:tcBorders>
              <w:left w:val="nil"/>
              <w:right w:val="nil"/>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18"/>
                <w:szCs w:val="18"/>
                <w:lang w:val="en-US" w:eastAsia="zh-CN"/>
              </w:rPr>
            </w:pPr>
          </w:p>
        </w:tc>
        <w:tc>
          <w:tcPr>
            <w:tcW w:w="6180" w:type="dxa"/>
            <w:vMerge w:val="continue"/>
            <w:tcBorders>
              <w:left w:val="nil"/>
              <w:right w:val="nil"/>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18"/>
                <w:szCs w:val="18"/>
                <w:lang w:val="en-US" w:eastAsia="zh-CN"/>
              </w:rPr>
            </w:pP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GCST004618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Lymphocyte</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 xml:space="preserve">count </w:t>
            </w:r>
          </w:p>
        </w:tc>
        <w:tc>
          <w:tcPr>
            <w:tcW w:w="1182" w:type="dxa"/>
            <w:vMerge w:val="continue"/>
            <w:tcBorders>
              <w:left w:val="nil"/>
              <w:right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854"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 xml:space="preserve">171,643 </w:t>
            </w:r>
          </w:p>
        </w:tc>
        <w:tc>
          <w:tcPr>
            <w:tcW w:w="97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269"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618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GCST004627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Monocyte</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count</w:t>
            </w:r>
          </w:p>
        </w:tc>
        <w:tc>
          <w:tcPr>
            <w:tcW w:w="1182" w:type="dxa"/>
            <w:vMerge w:val="continue"/>
            <w:tcBorders>
              <w:left w:val="nil"/>
              <w:right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854"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 xml:space="preserve">170,721 </w:t>
            </w:r>
          </w:p>
        </w:tc>
        <w:tc>
          <w:tcPr>
            <w:tcW w:w="97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269"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618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GCST004625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Neutrophil</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 xml:space="preserve">count </w:t>
            </w:r>
          </w:p>
        </w:tc>
        <w:tc>
          <w:tcPr>
            <w:tcW w:w="1182" w:type="dxa"/>
            <w:vMerge w:val="continue"/>
            <w:tcBorders>
              <w:left w:val="nil"/>
              <w:right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854"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 xml:space="preserve">170,702 </w:t>
            </w:r>
          </w:p>
        </w:tc>
        <w:tc>
          <w:tcPr>
            <w:tcW w:w="97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269"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6180" w:type="dxa"/>
            <w:vMerge w:val="continue"/>
            <w:tcBorders>
              <w:left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 xml:space="preserve">GCST004629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Eosinophil</w:t>
            </w:r>
            <w:r>
              <w:rPr>
                <w:rFonts w:hint="eastAsia" w:ascii="Times New Roman" w:hAnsi="Times New Roman" w:eastAsia="宋体" w:cs="Times New Roman"/>
                <w:color w:val="000000"/>
                <w:kern w:val="0"/>
                <w:sz w:val="16"/>
                <w:szCs w:val="16"/>
                <w:lang w:val="en-US" w:eastAsia="zh-CN" w:bidi="ar"/>
              </w:rPr>
              <w:t xml:space="preserve"> </w:t>
            </w:r>
            <w:r>
              <w:rPr>
                <w:rFonts w:hint="default" w:ascii="Times New Roman" w:hAnsi="Times New Roman" w:eastAsia="宋体" w:cs="Times New Roman"/>
                <w:color w:val="000000"/>
                <w:kern w:val="0"/>
                <w:sz w:val="16"/>
                <w:szCs w:val="16"/>
                <w:lang w:val="en-US" w:eastAsia="zh-CN" w:bidi="ar"/>
              </w:rPr>
              <w:t xml:space="preserve">count </w:t>
            </w:r>
          </w:p>
        </w:tc>
        <w:tc>
          <w:tcPr>
            <w:tcW w:w="1182" w:type="dxa"/>
            <w:vMerge w:val="continue"/>
            <w:tcBorders>
              <w:left w:val="nil"/>
              <w:bottom w:val="nil"/>
              <w:right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854"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6"/>
                <w:szCs w:val="16"/>
                <w:lang w:val="en-US" w:eastAsia="zh-CN" w:bidi="ar"/>
              </w:rPr>
            </w:pPr>
            <w:r>
              <w:rPr>
                <w:rFonts w:hint="default" w:ascii="Times New Roman" w:hAnsi="Times New Roman" w:eastAsia="宋体" w:cs="Times New Roman"/>
                <w:color w:val="000000"/>
                <w:kern w:val="0"/>
                <w:sz w:val="16"/>
                <w:szCs w:val="16"/>
                <w:lang w:val="en-US" w:eastAsia="zh-CN" w:bidi="ar"/>
              </w:rPr>
              <w:t>172,435</w:t>
            </w:r>
          </w:p>
        </w:tc>
        <w:tc>
          <w:tcPr>
            <w:tcW w:w="970" w:type="dxa"/>
            <w:vMerge w:val="continue"/>
            <w:tcBorders>
              <w:left w:val="nil"/>
              <w:bottom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269" w:type="dxa"/>
            <w:vMerge w:val="continue"/>
            <w:tcBorders>
              <w:left w:val="nil"/>
              <w:bottom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6180" w:type="dxa"/>
            <w:vMerge w:val="continue"/>
            <w:tcBorders>
              <w:left w:val="nil"/>
              <w:bottom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76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cs="Times New Roman"/>
                <w:color w:val="auto"/>
                <w:sz w:val="18"/>
                <w:szCs w:val="18"/>
                <w:lang w:val="en-US" w:eastAsia="zh-CN"/>
              </w:rPr>
            </w:pPr>
            <w:r>
              <w:rPr>
                <w:rFonts w:hint="default" w:ascii="Times New Roman" w:hAnsi="Times New Roman" w:eastAsia="宋体" w:cs="Times New Roman"/>
                <w:color w:val="000000"/>
                <w:kern w:val="0"/>
                <w:sz w:val="16"/>
                <w:szCs w:val="16"/>
                <w:lang w:val="en-US" w:eastAsia="zh-CN" w:bidi="ar"/>
              </w:rPr>
              <w:t>GCST004606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GrimAge</w:t>
            </w:r>
          </w:p>
        </w:tc>
        <w:tc>
          <w:tcPr>
            <w:tcW w:w="1182"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30669119</w:t>
            </w:r>
          </w:p>
        </w:tc>
        <w:tc>
          <w:tcPr>
            <w:tcW w:w="854" w:type="dxa"/>
            <w:vMerge w:val="restar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18"/>
                <w:szCs w:val="18"/>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34</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710</w:t>
            </w:r>
          </w:p>
        </w:tc>
        <w:tc>
          <w:tcPr>
            <w:tcW w:w="970"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567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701</w:t>
            </w:r>
          </w:p>
        </w:tc>
        <w:tc>
          <w:tcPr>
            <w:tcW w:w="1269" w:type="dxa"/>
            <w:vMerge w:val="restar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based on 28 cohort studies of 34 710 European ancestry investigators</w:t>
            </w:r>
          </w:p>
        </w:tc>
        <w:tc>
          <w:tcPr>
            <w:tcW w:w="6180" w:type="dxa"/>
            <w:vMerge w:val="restar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European ancestry GWAS meta-analysis: 56 independently associated loci</w:t>
            </w:r>
          </w:p>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 xml:space="preserve">We identified 56 conditionally independent associations (P &lt;5×10−8) across the six epigenetic biomarkers in European ancestry populations using a stepwise model. We replicated 10/10 loci associated with IEAA and 1/1 locus associated with a cell-adjusted Hannum based measure of epigenetic age acceleration identified in an earlier GWAS (P &lt; 0.05/11 = 0.0045). All but three loci (associated with IEAA) were replicated at the genome-wide significant level.  In the current meta-analysis, we replicated 13/129 present loci (P &lt; 0.05/129 = 3.88×10−4), two of which replicated at the genome-wide significant </w:t>
            </w:r>
          </w:p>
          <w:p>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000000" w:themeColor="text1"/>
                <w:sz w:val="20"/>
                <w:szCs w:val="20"/>
                <w:lang w:val="en-US" w:eastAsia="zh-CN"/>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level. Effect sizes at the 129 loci were strongly correlated between studies (r=0.85).</w:t>
            </w:r>
          </w:p>
        </w:tc>
        <w:tc>
          <w:tcPr>
            <w:tcW w:w="1766" w:type="dxa"/>
            <w:vMerge w:val="restar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FF"/>
                <w:kern w:val="0"/>
                <w:sz w:val="18"/>
                <w:szCs w:val="18"/>
                <w:lang w:val="en-US" w:eastAsia="zh-CN" w:bidi="ar"/>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https://datashare.ed.ac.uk/handle/10283/3645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 xml:space="preserve">HannumAge </w:t>
            </w:r>
          </w:p>
        </w:tc>
        <w:tc>
          <w:tcPr>
            <w:tcW w:w="1182"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23177740</w:t>
            </w:r>
          </w:p>
        </w:tc>
        <w:tc>
          <w:tcPr>
            <w:tcW w:w="854"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970"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565</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045</w:t>
            </w:r>
          </w:p>
        </w:tc>
        <w:tc>
          <w:tcPr>
            <w:tcW w:w="1269"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6180" w:type="dxa"/>
            <w:vMerge w:val="continue"/>
            <w:tcBorders>
              <w:top w:val="nil"/>
              <w:left w:val="nil"/>
              <w:bottom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0"/>
                <w:szCs w:val="20"/>
                <w:lang w:val="en-US" w:eastAsia="zh-CN"/>
                <w14:textFill>
                  <w14:solidFill>
                    <w14:schemeClr w14:val="tx1"/>
                  </w14:solidFill>
                </w14:textFill>
              </w:rPr>
            </w:pPr>
          </w:p>
        </w:tc>
        <w:tc>
          <w:tcPr>
            <w:tcW w:w="1766"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FF"/>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46"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 xml:space="preserve">HorvathAge </w:t>
            </w:r>
          </w:p>
        </w:tc>
        <w:tc>
          <w:tcPr>
            <w:tcW w:w="1182"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24138928</w:t>
            </w:r>
          </w:p>
        </w:tc>
        <w:tc>
          <w:tcPr>
            <w:tcW w:w="854"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970" w:type="dxa"/>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567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532</w:t>
            </w:r>
          </w:p>
        </w:tc>
        <w:tc>
          <w:tcPr>
            <w:tcW w:w="1269"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p>
        </w:tc>
        <w:tc>
          <w:tcPr>
            <w:tcW w:w="6180" w:type="dxa"/>
            <w:vMerge w:val="continue"/>
            <w:tcBorders>
              <w:top w:val="nil"/>
              <w:left w:val="nil"/>
              <w:bottom w:val="nil"/>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0"/>
                <w:szCs w:val="20"/>
                <w:lang w:val="en-US" w:eastAsia="zh-CN"/>
                <w14:textFill>
                  <w14:solidFill>
                    <w14:schemeClr w14:val="tx1"/>
                  </w14:solidFill>
                </w14:textFill>
              </w:rPr>
            </w:pPr>
          </w:p>
        </w:tc>
        <w:tc>
          <w:tcPr>
            <w:tcW w:w="1766" w:type="dxa"/>
            <w:vMerge w:val="continue"/>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FF"/>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46"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8"/>
                <w:szCs w:val="18"/>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PhenoAge</w:t>
            </w:r>
            <w:r>
              <w:rPr>
                <w:rFonts w:hint="default" w:ascii="Times New Roman" w:hAnsi="Times New Roman" w:eastAsia="宋体" w:cs="Times New Roman"/>
                <w:color w:val="000000" w:themeColor="text1"/>
                <w:kern w:val="0"/>
                <w:sz w:val="18"/>
                <w:szCs w:val="18"/>
                <w:lang w:val="en-US" w:eastAsia="zh-CN" w:bidi="ar"/>
                <w14:textFill>
                  <w14:solidFill>
                    <w14:schemeClr w14:val="tx1"/>
                  </w14:solidFill>
                </w14:textFill>
              </w:rPr>
              <w:t xml:space="preserve"> </w:t>
            </w:r>
          </w:p>
        </w:tc>
        <w:tc>
          <w:tcPr>
            <w:tcW w:w="1182" w:type="dxa"/>
            <w:tcBorders>
              <w:top w:val="nil"/>
              <w:left w:val="nil"/>
              <w:bottom w:val="single" w:color="auto" w:sz="4" w:space="0"/>
              <w:right w:val="nil"/>
            </w:tcBorders>
            <w:vAlign w:val="center"/>
          </w:tcPr>
          <w:p>
            <w:pPr>
              <w:keepNext w:val="0"/>
              <w:keepLines w:val="0"/>
              <w:suppressLineNumbers w:val="0"/>
              <w:spacing w:before="0" w:beforeAutospacing="0" w:after="0" w:afterAutospacing="0"/>
              <w:ind w:left="0" w:right="0"/>
              <w:jc w:val="both"/>
              <w:rPr>
                <w:rFonts w:hint="eastAsia" w:ascii="Times New Roman" w:hAnsi="Times New Roman" w:cs="Times New Roman"/>
                <w:color w:val="000000" w:themeColor="text1"/>
                <w:sz w:val="20"/>
                <w:szCs w:val="20"/>
                <w:lang w:val="en-US" w:eastAsia="zh-CN"/>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29676998</w:t>
            </w:r>
          </w:p>
        </w:tc>
        <w:tc>
          <w:tcPr>
            <w:tcW w:w="854" w:type="dxa"/>
            <w:vMerge w:val="continue"/>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18"/>
                <w:szCs w:val="18"/>
                <w:lang w:val="en-US" w:eastAsia="zh-CN" w:bidi="ar"/>
                <w14:textFill>
                  <w14:solidFill>
                    <w14:schemeClr w14:val="tx1"/>
                  </w14:solidFill>
                </w14:textFill>
              </w:rPr>
            </w:pPr>
          </w:p>
        </w:tc>
        <w:tc>
          <w:tcPr>
            <w:tcW w:w="970" w:type="dxa"/>
            <w:tcBorders>
              <w:top w:val="nil"/>
              <w:left w:val="nil"/>
              <w:bottom w:val="single" w:color="auto" w:sz="4" w:space="0"/>
              <w:right w:val="nil"/>
            </w:tcBorders>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567</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585</w:t>
            </w:r>
          </w:p>
        </w:tc>
        <w:tc>
          <w:tcPr>
            <w:tcW w:w="1269" w:type="dxa"/>
            <w:vMerge w:val="continue"/>
            <w:tcBorders>
              <w:top w:val="nil"/>
              <w:left w:val="nil"/>
              <w:bottom w:val="single" w:color="auto" w:sz="4" w:space="0"/>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0"/>
                <w:szCs w:val="20"/>
                <w:lang w:val="en-US" w:eastAsia="zh-CN"/>
                <w14:textFill>
                  <w14:solidFill>
                    <w14:schemeClr w14:val="tx1"/>
                  </w14:solidFill>
                </w14:textFill>
              </w:rPr>
            </w:pPr>
          </w:p>
        </w:tc>
        <w:tc>
          <w:tcPr>
            <w:tcW w:w="6180" w:type="dxa"/>
            <w:vMerge w:val="continue"/>
            <w:tcBorders>
              <w:top w:val="nil"/>
              <w:left w:val="nil"/>
              <w:bottom w:val="single" w:color="auto" w:sz="4" w:space="0"/>
              <w:right w:val="nil"/>
            </w:tcBorders>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themeColor="text1"/>
                <w:sz w:val="20"/>
                <w:szCs w:val="20"/>
                <w:lang w:val="en-US" w:eastAsia="zh-CN"/>
                <w14:textFill>
                  <w14:solidFill>
                    <w14:schemeClr w14:val="tx1"/>
                  </w14:solidFill>
                </w14:textFill>
              </w:rPr>
            </w:pPr>
          </w:p>
        </w:tc>
        <w:tc>
          <w:tcPr>
            <w:tcW w:w="1766" w:type="dxa"/>
            <w:vMerge w:val="continue"/>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FF"/>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46"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 xml:space="preserve">Leukocyte </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Telomere length</w:t>
            </w:r>
          </w:p>
        </w:tc>
        <w:tc>
          <w:tcPr>
            <w:tcW w:w="1182"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36450978</w:t>
            </w:r>
          </w:p>
        </w:tc>
        <w:tc>
          <w:tcPr>
            <w:tcW w:w="854"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418,401</w:t>
            </w:r>
          </w:p>
        </w:tc>
        <w:tc>
          <w:tcPr>
            <w:tcW w:w="970"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 xml:space="preserve"> [63064759] (imputed)</w:t>
            </w:r>
          </w:p>
        </w:tc>
        <w:tc>
          <w:tcPr>
            <w:tcW w:w="1269"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European ancestry</w:t>
            </w:r>
          </w:p>
        </w:tc>
        <w:tc>
          <w:tcPr>
            <w:tcW w:w="6180"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Sequencing libraries were prepared using genomic DNA samples from the UKB, followed by multiplexed exome capture and sequencing. Sequencing was performed on the Illumina NovaSeq 6000 platform using S2 (first 50,000 samples) or S4 (all other samples) flow cells. Read mapping, variant calling and quality control were done according to the Seal Point Balinese (SPB) protocol, which included the mapping of reads to the hg38 reference genome with BWA MEM, the identification of small variants with WeCall, and the use of GLnexus to aggregate these files into joint-genotyped, multi-sample VCF files. While certain UKB exome analysis efforts have used calls generated with the OQFE pipeline, this pipeline has only been used to a limited degree for disease association analysis. Therefore, we chose to use calls from the SBP pipeline. Depth and allelic valance filters were then applied, and samples were filtered out if they showed disagreement between genetically determined and reported sex, high rates of heterozygosity or contamination (estimated with the VerifyBamId tool as a FREEMIX score &gt; 5%), low sequence coverage, or genetically determined sample duplication.</w:t>
            </w:r>
          </w:p>
        </w:tc>
        <w:tc>
          <w:tcPr>
            <w:tcW w:w="1766" w:type="dxa"/>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GCST90165256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546"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Female Pelvic Organ prolapse</w:t>
            </w:r>
          </w:p>
        </w:tc>
        <w:tc>
          <w:tcPr>
            <w:tcW w:w="1182"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35739095</w:t>
            </w:r>
          </w:p>
        </w:tc>
        <w:tc>
          <w:tcPr>
            <w:tcW w:w="854"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574,377</w:t>
            </w:r>
          </w:p>
        </w:tc>
        <w:tc>
          <w:tcPr>
            <w:tcW w:w="970"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15</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065</w:t>
            </w: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244</w:t>
            </w:r>
          </w:p>
        </w:tc>
        <w:tc>
          <w:tcPr>
            <w:tcW w:w="1269"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European ancestry from three different studies</w:t>
            </w:r>
          </w:p>
        </w:tc>
        <w:tc>
          <w:tcPr>
            <w:tcW w:w="6180"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16"/>
                <w:szCs w:val="16"/>
                <w:lang w:val="en-US" w:eastAsia="zh-CN" w:bidi="ar"/>
                <w14:textFill>
                  <w14:solidFill>
                    <w14:schemeClr w14:val="tx1"/>
                  </w14:solidFill>
                </w14:textFill>
              </w:rPr>
              <w:t>Summary level statistics from an Icelandic and UKBB GWAS meta-analysis (IceUK, 15,010 cases, and 340,734 female controls), and FinnGen R3 (5518 cases and 43,366 controls), and individual level data from the Estonian Biobank (EstBB, 7896 cases, and 118,865 controls) . Cases were defined as women having POP diagnosed by ICD-10: N81, ICD-9: 618 and ICD-8: 623 upon availability. Controls were defined as individuals who did not have the respective ICD codes.</w:t>
            </w:r>
          </w:p>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Association analysis was carried out using SAIGE (v0.38) software to implement a mixed logistic regression model with year of birth and 10 PCs as covariates in step I. In EstBB, SNVs with poor imputation quality (INFO score &lt; 0.4) and minor allele count &lt;5 were excluded from downstream association analysis. We conducted an inverse of variance weighted fixed-effects meta-analysis with single genomic control correction using GWAMA software (v2.2.2). A total of 40,542,692 variants were included in the meta-analysis of 28,086 women with POP and 546,291 female controls. We performed two tests of heterogeneity of effects across studies (Q-Cochran test and heterogeneity index (I2)) calculation as implemented in GWAMA (v2.2.2)69. After meta-analysis we kept variants present in minimum 2 out of the 3 studies (totaling 15,065,244 variants) for down-stream analysis. Lead SNPs were identified as SNVs independent from each other with P-value less than or equal 5 × 10</w:t>
            </w:r>
            <w:r>
              <w:rPr>
                <w:rFonts w:hint="default" w:ascii="Times New Roman" w:hAnsi="Times New Roman" w:eastAsia="宋体" w:cs="Times New Roman"/>
                <w:color w:val="000000" w:themeColor="text1"/>
                <w:kern w:val="0"/>
                <w:sz w:val="16"/>
                <w:szCs w:val="16"/>
                <w:vertAlign w:val="superscript"/>
                <w:lang w:val="en-US" w:eastAsia="zh-CN" w:bidi="ar"/>
                <w14:textFill>
                  <w14:solidFill>
                    <w14:schemeClr w14:val="tx1"/>
                  </w14:solidFill>
                </w14:textFill>
              </w:rPr>
              <w:t>−8</w:t>
            </w: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 500 kb was set to the maximum distance between LD blocks of independent significant SNPs to merge into a single genomic locus.</w:t>
            </w:r>
          </w:p>
        </w:tc>
        <w:tc>
          <w:tcPr>
            <w:tcW w:w="1766" w:type="dxa"/>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6"/>
                <w:szCs w:val="16"/>
                <w:lang w:val="en-US" w:eastAsia="zh-CN" w:bidi="ar"/>
                <w14:textFill>
                  <w14:solidFill>
                    <w14:schemeClr w14:val="tx1"/>
                  </w14:solidFill>
                </w14:textFill>
              </w:rPr>
              <w:t>GCST90102470</w:t>
            </w:r>
          </w:p>
        </w:tc>
      </w:tr>
    </w:tbl>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spacing w:line="480" w:lineRule="auto"/>
        <w:rPr>
          <w:rFonts w:ascii="Times New Roman" w:hAnsi="Times New Roman" w:cs="Times New Roman"/>
          <w:color w:val="000000" w:themeColor="text1"/>
          <w:sz w:val="20"/>
          <w:szCs w:val="20"/>
          <w14:textFill>
            <w14:solidFill>
              <w14:schemeClr w14:val="tx1"/>
            </w14:solidFill>
          </w14:textFill>
        </w:rPr>
      </w:pPr>
      <w:r>
        <w:rPr>
          <w:rFonts w:hint="eastAsia" w:ascii="Times New Roman" w:hAnsi="Times New Roman" w:cs="Times New Roman"/>
          <w:sz w:val="20"/>
          <w:szCs w:val="20"/>
        </w:rPr>
        <w:t>Supplementary Tables 1 present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the details of the GWAS selected for analysis</w:t>
      </w:r>
      <w:r>
        <w:rPr>
          <w:rFonts w:ascii="Times New Roman" w:hAnsi="Times New Roman" w:cs="Times New Roman"/>
          <w:sz w:val="20"/>
          <w:szCs w:val="20"/>
        </w:rPr>
        <w:t>. All selected</w:t>
      </w:r>
      <w:r>
        <w:rPr>
          <w:rFonts w:hint="eastAsia" w:ascii="Times New Roman" w:hAnsi="Times New Roman" w:cs="Times New Roman"/>
          <w:sz w:val="20"/>
          <w:szCs w:val="20"/>
        </w:rPr>
        <w:t xml:space="preserve"> </w:t>
      </w:r>
      <w:r>
        <w:rPr>
          <w:rFonts w:ascii="Times New Roman" w:hAnsi="Times New Roman" w:cs="Times New Roman"/>
          <w:sz w:val="20"/>
          <w:szCs w:val="20"/>
        </w:rPr>
        <w:t>GWASs were conducted on individuals of European ancestry, with large sample sizes, and</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quality control procedures were implemented. Further information on </w:t>
      </w:r>
      <w:r>
        <w:rPr>
          <w:rFonts w:ascii="Times New Roman" w:hAnsi="Times New Roman" w:eastAsia="宋体" w:cs="Times New Roman"/>
          <w:sz w:val="20"/>
          <w:szCs w:val="20"/>
        </w:rPr>
        <w:t>GWASs</w:t>
      </w:r>
      <w:r>
        <w:rPr>
          <w:rFonts w:hint="eastAsia" w:ascii="Times New Roman" w:hAnsi="Times New Roman" w:eastAsia="宋体" w:cs="Times New Roman"/>
          <w:sz w:val="20"/>
          <w:szCs w:val="20"/>
          <w:lang w:val="en-US"/>
        </w:rPr>
        <w:t xml:space="preserve"> </w:t>
      </w:r>
      <w:r>
        <w:rPr>
          <w:rFonts w:hint="eastAsia" w:ascii="Times New Roman" w:hAnsi="Times New Roman" w:cs="Times New Roman"/>
          <w:sz w:val="20"/>
          <w:szCs w:val="20"/>
          <w:lang w:val="en-US"/>
        </w:rPr>
        <w:t xml:space="preserve">and methods of assessment and diagnostic criteria for diseases </w:t>
      </w:r>
      <w:r>
        <w:rPr>
          <w:rFonts w:ascii="Times New Roman" w:hAnsi="Times New Roman" w:cs="Times New Roman"/>
          <w:sz w:val="20"/>
          <w:szCs w:val="20"/>
        </w:rPr>
        <w:t>can be</w:t>
      </w:r>
      <w:r>
        <w:rPr>
          <w:rFonts w:hint="eastAsia" w:ascii="Times New Roman" w:hAnsi="Times New Roman" w:cs="Times New Roman"/>
          <w:sz w:val="20"/>
          <w:szCs w:val="20"/>
        </w:rPr>
        <w:t xml:space="preserve"> </w:t>
      </w:r>
      <w:r>
        <w:rPr>
          <w:rFonts w:ascii="Times New Roman" w:hAnsi="Times New Roman" w:cs="Times New Roman"/>
          <w:sz w:val="20"/>
          <w:szCs w:val="20"/>
        </w:rPr>
        <w:t>found in the respective studies.</w:t>
      </w: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spacing w:line="360" w:lineRule="auto"/>
        <w:jc w:val="center"/>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Table S</w:t>
      </w:r>
      <w:r>
        <w:rPr>
          <w:rFonts w:hint="eastAsia" w:ascii="Times New Roman" w:hAnsi="Times New Roman" w:cs="Times New Roman"/>
          <w:color w:val="auto"/>
          <w:sz w:val="20"/>
          <w:szCs w:val="20"/>
          <w:lang w:val="en-US" w:eastAsia="zh-CN"/>
        </w:rPr>
        <w:t>2</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u w:val="none"/>
          <w:lang w:val="en-US" w:eastAsia="zh-CN"/>
        </w:rPr>
        <w:t xml:space="preserve">Associations of </w:t>
      </w:r>
      <w:r>
        <w:rPr>
          <w:rFonts w:hint="eastAsia" w:ascii="Times New Roman" w:hAnsi="Times New Roman" w:cs="Times New Roman"/>
          <w:color w:val="auto"/>
          <w:sz w:val="20"/>
          <w:szCs w:val="20"/>
          <w:u w:val="none"/>
          <w:lang w:val="en-US" w:eastAsia="zh-CN"/>
        </w:rPr>
        <w:t xml:space="preserve">female pelvic organ prolapse, </w:t>
      </w:r>
      <w:r>
        <w:rPr>
          <w:rFonts w:hint="eastAsia" w:ascii="Times New Roman" w:hAnsi="Times New Roman" w:cs="Times New Roman"/>
          <w:color w:val="auto"/>
          <w:sz w:val="20"/>
          <w:szCs w:val="20"/>
          <w:lang w:val="en-US" w:eastAsia="zh-CN"/>
        </w:rPr>
        <w:t>5</w:t>
      </w:r>
      <w:r>
        <w:rPr>
          <w:rFonts w:hint="default" w:ascii="Times New Roman" w:hAnsi="Times New Roman" w:cs="Times New Roman"/>
          <w:color w:val="auto"/>
          <w:sz w:val="20"/>
          <w:szCs w:val="20"/>
          <w:lang w:val="en-US" w:eastAsia="zh-CN"/>
        </w:rPr>
        <w:t xml:space="preserve"> </w:t>
      </w:r>
      <w:r>
        <w:rPr>
          <w:rFonts w:hint="eastAsia" w:ascii="Times New Roman" w:hAnsi="Times New Roman" w:cs="Times New Roman"/>
          <w:color w:val="auto"/>
          <w:sz w:val="20"/>
          <w:szCs w:val="20"/>
          <w:lang w:val="en-US" w:eastAsia="zh-CN"/>
        </w:rPr>
        <w:t>age-related</w:t>
      </w:r>
      <w:r>
        <w:rPr>
          <w:rFonts w:hint="default" w:ascii="Times New Roman" w:hAnsi="Times New Roman" w:cs="Times New Roman"/>
          <w:color w:val="auto"/>
          <w:sz w:val="20"/>
          <w:szCs w:val="20"/>
          <w:lang w:val="en-US" w:eastAsia="zh-CN"/>
        </w:rPr>
        <w:t xml:space="preserve"> </w:t>
      </w:r>
      <w:r>
        <w:rPr>
          <w:rFonts w:hint="eastAsia" w:ascii="Times New Roman" w:hAnsi="Times New Roman" w:cs="Times New Roman"/>
          <w:color w:val="auto"/>
          <w:sz w:val="20"/>
          <w:szCs w:val="20"/>
          <w:lang w:val="en-US" w:eastAsia="zh-CN"/>
        </w:rPr>
        <w:t>biomarker</w:t>
      </w:r>
      <w:r>
        <w:rPr>
          <w:rFonts w:hint="default" w:ascii="Times New Roman" w:hAnsi="Times New Roman" w:cs="Times New Roman"/>
          <w:color w:val="auto"/>
          <w:sz w:val="20"/>
          <w:szCs w:val="20"/>
          <w:lang w:val="en-US" w:eastAsia="zh-CN"/>
        </w:rPr>
        <w:t>s</w:t>
      </w:r>
      <w:r>
        <w:rPr>
          <w:rFonts w:hint="eastAsia" w:ascii="Times New Roman" w:hAnsi="Times New Roman" w:cs="Times New Roman"/>
          <w:color w:val="auto"/>
          <w:sz w:val="20"/>
          <w:szCs w:val="20"/>
          <w:lang w:val="en-US" w:eastAsia="zh-CN"/>
        </w:rPr>
        <w:t xml:space="preserve"> and</w:t>
      </w:r>
      <w:r>
        <w:rPr>
          <w:rFonts w:hint="eastAsia"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lang w:val="en-US" w:eastAsia="zh-CN"/>
        </w:rPr>
        <w:t xml:space="preserve">circulating inflammatory </w:t>
      </w:r>
      <w:r>
        <w:rPr>
          <w:rFonts w:hint="eastAsia" w:ascii="Times New Roman" w:hAnsi="Times New Roman" w:cs="Times New Roman"/>
          <w:color w:val="auto"/>
          <w:sz w:val="20"/>
          <w:szCs w:val="20"/>
          <w:u w:val="none"/>
          <w:lang w:val="en-US" w:eastAsia="zh-CN"/>
        </w:rPr>
        <w:t>biomarker</w:t>
      </w:r>
      <w:r>
        <w:rPr>
          <w:rFonts w:hint="default" w:ascii="Times New Roman" w:hAnsi="Times New Roman" w:cs="Times New Roman"/>
          <w:color w:val="auto"/>
          <w:sz w:val="20"/>
          <w:szCs w:val="20"/>
          <w:u w:val="none"/>
          <w:lang w:val="en-US" w:eastAsia="zh-CN"/>
        </w:rPr>
        <w:t>s according to Mendelian randomization analysis</w:t>
      </w:r>
      <w:r>
        <w:rPr>
          <w:rFonts w:hint="default" w:ascii="Times New Roman" w:hAnsi="Times New Roman" w:cs="Times New Roman"/>
          <w:color w:val="auto"/>
          <w:sz w:val="20"/>
          <w:szCs w:val="20"/>
          <w:lang w:val="en-US" w:eastAsia="zh-CN"/>
        </w:rPr>
        <w:t>.</w:t>
      </w:r>
    </w:p>
    <w:tbl>
      <w:tblPr>
        <w:tblStyle w:val="9"/>
        <w:tblpPr w:leftFromText="180" w:rightFromText="180" w:vertAnchor="text" w:horzAnchor="page" w:tblpXSpec="center" w:tblpY="1130"/>
        <w:tblOverlap w:val="never"/>
        <w:tblW w:w="44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56"/>
        <w:gridCol w:w="2180"/>
        <w:gridCol w:w="2174"/>
        <w:gridCol w:w="1124"/>
        <w:gridCol w:w="1041"/>
        <w:gridCol w:w="1300"/>
        <w:gridCol w:w="1089"/>
        <w:gridCol w:w="1479"/>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492"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p>
        </w:tc>
        <w:tc>
          <w:tcPr>
            <w:tcW w:w="855"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Exposures</w:t>
            </w:r>
          </w:p>
        </w:tc>
        <w:tc>
          <w:tcPr>
            <w:tcW w:w="853"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Outcome</w:t>
            </w:r>
          </w:p>
        </w:tc>
        <w:tc>
          <w:tcPr>
            <w:tcW w:w="441"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No. of IV</w:t>
            </w:r>
          </w:p>
        </w:tc>
        <w:tc>
          <w:tcPr>
            <w:tcW w:w="408"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F-</w:t>
            </w:r>
          </w:p>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Statistics</w:t>
            </w:r>
          </w:p>
        </w:tc>
        <w:tc>
          <w:tcPr>
            <w:tcW w:w="937" w:type="pct"/>
            <w:gridSpan w:val="2"/>
            <w:tcBorders>
              <w:top w:val="single" w:color="auto" w:sz="4" w:space="0"/>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Between-SNP</w:t>
            </w:r>
          </w:p>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Heterogeneity</w:t>
            </w:r>
          </w:p>
        </w:tc>
        <w:tc>
          <w:tcPr>
            <w:tcW w:w="1011" w:type="pct"/>
            <w:gridSpan w:val="2"/>
            <w:tcBorders>
              <w:top w:val="single" w:color="auto" w:sz="4" w:space="0"/>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Horizontal</w:t>
            </w:r>
          </w:p>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bCs/>
                <w:color w:val="000000"/>
                <w:kern w:val="0"/>
                <w:sz w:val="20"/>
                <w:szCs w:val="20"/>
                <w:lang w:val="en-US" w:bidi="ar"/>
              </w:rPr>
            </w:pPr>
            <w:r>
              <w:rPr>
                <w:rFonts w:hint="default" w:ascii="Times New Roman" w:hAnsi="Times New Roman" w:eastAsia="URWPalladioL-Bold" w:cs="Times New Roman"/>
                <w:b/>
                <w:bCs/>
                <w:color w:val="000000"/>
                <w:kern w:val="0"/>
                <w:sz w:val="20"/>
                <w:szCs w:val="20"/>
                <w:lang w:val="en-US" w:eastAsia="zh-CN" w:bidi="ar"/>
              </w:rPr>
              <w:t>Pleiotropy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2" w:hRule="atLeast"/>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55"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53"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441"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408"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510" w:type="pct"/>
            <w:tcBorders>
              <w:top w:val="nil"/>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val="0"/>
                <w:bCs w:val="0"/>
                <w:color w:val="000000"/>
                <w:kern w:val="0"/>
                <w:sz w:val="20"/>
                <w:szCs w:val="20"/>
                <w:lang w:val="en-US" w:bidi="ar"/>
              </w:rPr>
            </w:pPr>
            <w:r>
              <w:rPr>
                <w:rFonts w:hint="default" w:ascii="Times New Roman" w:hAnsi="Times New Roman" w:eastAsia="URWPalladioL-Bold" w:cs="Times New Roman"/>
                <w:b w:val="0"/>
                <w:bCs w:val="0"/>
                <w:color w:val="000000"/>
                <w:kern w:val="0"/>
                <w:sz w:val="20"/>
                <w:szCs w:val="20"/>
                <w:lang w:val="en-US" w:eastAsia="zh-CN" w:bidi="ar"/>
              </w:rPr>
              <w:t>Q-Value</w:t>
            </w:r>
          </w:p>
        </w:tc>
        <w:tc>
          <w:tcPr>
            <w:tcW w:w="427" w:type="pct"/>
            <w:tcBorders>
              <w:top w:val="nil"/>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val="0"/>
                <w:bCs w:val="0"/>
                <w:color w:val="000000"/>
                <w:kern w:val="0"/>
                <w:sz w:val="20"/>
                <w:szCs w:val="20"/>
                <w:lang w:val="en-US" w:bidi="ar"/>
              </w:rPr>
            </w:pPr>
            <w:r>
              <w:rPr>
                <w:rFonts w:hint="default" w:ascii="Times New Roman" w:hAnsi="Times New Roman" w:eastAsia="URWPalladioL-Bold" w:cs="Times New Roman"/>
                <w:b w:val="0"/>
                <w:bCs w:val="0"/>
                <w:color w:val="000000"/>
                <w:kern w:val="0"/>
                <w:sz w:val="20"/>
                <w:szCs w:val="20"/>
                <w:lang w:val="en-US" w:eastAsia="zh-CN" w:bidi="ar"/>
              </w:rPr>
              <w:t>P- Value</w:t>
            </w:r>
          </w:p>
        </w:tc>
        <w:tc>
          <w:tcPr>
            <w:tcW w:w="580" w:type="pct"/>
            <w:tcBorders>
              <w:top w:val="nil"/>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val="0"/>
                <w:bCs w:val="0"/>
                <w:color w:val="000000"/>
                <w:kern w:val="0"/>
                <w:sz w:val="20"/>
                <w:szCs w:val="20"/>
                <w:lang w:val="en-US" w:bidi="ar"/>
              </w:rPr>
            </w:pPr>
            <w:r>
              <w:rPr>
                <w:rFonts w:hint="default" w:ascii="Times New Roman" w:hAnsi="Times New Roman" w:eastAsia="URWPalladioL-Bold" w:cs="Times New Roman"/>
                <w:b w:val="0"/>
                <w:bCs w:val="0"/>
                <w:color w:val="000000"/>
                <w:kern w:val="0"/>
                <w:sz w:val="20"/>
                <w:szCs w:val="20"/>
                <w:lang w:val="en-US" w:eastAsia="zh-CN" w:bidi="ar"/>
              </w:rPr>
              <w:t>Egger</w:t>
            </w:r>
            <w:r>
              <w:rPr>
                <w:rFonts w:hint="eastAsia" w:ascii="Times New Roman" w:hAnsi="Times New Roman" w:eastAsia="URWPalladioL-Bold" w:cs="Times New Roman"/>
                <w:b w:val="0"/>
                <w:bCs w:val="0"/>
                <w:color w:val="000000"/>
                <w:kern w:val="0"/>
                <w:sz w:val="20"/>
                <w:szCs w:val="20"/>
                <w:lang w:val="en-US" w:eastAsia="zh-CN" w:bidi="ar"/>
              </w:rPr>
              <w:t xml:space="preserve"> </w:t>
            </w:r>
            <w:r>
              <w:rPr>
                <w:rFonts w:hint="default" w:ascii="Times New Roman" w:hAnsi="Times New Roman" w:eastAsia="URWPalladioL-Bold" w:cs="Times New Roman"/>
                <w:b w:val="0"/>
                <w:bCs w:val="0"/>
                <w:color w:val="000000"/>
                <w:kern w:val="0"/>
                <w:sz w:val="20"/>
                <w:szCs w:val="20"/>
                <w:lang w:val="en-US" w:eastAsia="zh-CN" w:bidi="ar"/>
              </w:rPr>
              <w:t>Intercept</w:t>
            </w:r>
          </w:p>
        </w:tc>
        <w:tc>
          <w:tcPr>
            <w:tcW w:w="431" w:type="pct"/>
            <w:tcBorders>
              <w:top w:val="nil"/>
              <w:left w:val="nil"/>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URWPalladioL-Bold" w:cs="Times New Roman"/>
                <w:b w:val="0"/>
                <w:bCs w:val="0"/>
                <w:color w:val="000000"/>
                <w:kern w:val="0"/>
                <w:sz w:val="20"/>
                <w:szCs w:val="20"/>
                <w:lang w:val="en-US" w:bidi="ar"/>
              </w:rPr>
            </w:pPr>
            <w:r>
              <w:rPr>
                <w:rFonts w:hint="default" w:ascii="Times New Roman" w:hAnsi="Times New Roman" w:eastAsia="URWPalladioL-Bold" w:cs="Times New Roman"/>
                <w:b w:val="0"/>
                <w:bCs w:val="0"/>
                <w:color w:val="000000"/>
                <w:kern w:val="0"/>
                <w:sz w:val="20"/>
                <w:szCs w:val="20"/>
                <w:lang w:val="en-US" w:eastAsia="zh-CN" w:bidi="ar"/>
              </w:rPr>
              <w:t>P</w:t>
            </w:r>
            <w:r>
              <w:rPr>
                <w:rFonts w:hint="eastAsia" w:ascii="Times New Roman" w:hAnsi="Times New Roman" w:eastAsia="URWPalladioL-Bold" w:cs="Times New Roman"/>
                <w:b w:val="0"/>
                <w:bCs w:val="0"/>
                <w:color w:val="000000"/>
                <w:kern w:val="0"/>
                <w:sz w:val="20"/>
                <w:szCs w:val="20"/>
                <w:lang w:val="en-US" w:eastAsia="zh-CN" w:bidi="ar"/>
              </w:rPr>
              <w:t>-</w:t>
            </w:r>
            <w:r>
              <w:rPr>
                <w:rFonts w:hint="default" w:ascii="Times New Roman" w:hAnsi="Times New Roman" w:eastAsia="URWPalladioL-Bold" w:cs="Times New Roman"/>
                <w:b w:val="0"/>
                <w:bCs w:val="0"/>
                <w:color w:val="000000"/>
                <w:kern w:val="0"/>
                <w:sz w:val="20"/>
                <w:szCs w:val="20"/>
                <w:lang w:val="en-US" w:eastAsia="zh-CN" w:bidi="ar"/>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eastAsia" w:ascii="Times New Roman" w:hAnsi="Times New Roman" w:eastAsia="宋体" w:cs="Times New Roman"/>
                <w:kern w:val="2"/>
                <w:sz w:val="18"/>
                <w:szCs w:val="18"/>
                <w:vertAlign w:val="baseline"/>
                <w:lang w:val="en-US" w:eastAsia="zh-CN" w:bidi="ar"/>
              </w:rPr>
              <w:t>A</w:t>
            </w:r>
            <w:r>
              <w:rPr>
                <w:rFonts w:hint="default" w:ascii="Times New Roman" w:hAnsi="Times New Roman" w:eastAsia="宋体" w:cs="Times New Roman"/>
                <w:kern w:val="2"/>
                <w:sz w:val="18"/>
                <w:szCs w:val="18"/>
                <w:vertAlign w:val="baseline"/>
                <w:lang w:val="en-US" w:eastAsia="zh-CN" w:bidi="ar"/>
              </w:rPr>
              <w:t>ge-related biomarkers</w:t>
            </w:r>
          </w:p>
        </w:tc>
        <w:tc>
          <w:tcPr>
            <w:tcW w:w="855"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GrimAge</w:t>
            </w:r>
          </w:p>
        </w:tc>
        <w:tc>
          <w:tcPr>
            <w:tcW w:w="853"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POP</w:t>
            </w:r>
          </w:p>
        </w:tc>
        <w:tc>
          <w:tcPr>
            <w:tcW w:w="441"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w:t>
            </w:r>
          </w:p>
        </w:tc>
        <w:tc>
          <w:tcPr>
            <w:tcW w:w="408"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37.08</w:t>
            </w:r>
          </w:p>
        </w:tc>
        <w:tc>
          <w:tcPr>
            <w:tcW w:w="510"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7.56</w:t>
            </w:r>
          </w:p>
        </w:tc>
        <w:tc>
          <w:tcPr>
            <w:tcW w:w="427"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0.05607</w:t>
            </w:r>
          </w:p>
        </w:tc>
        <w:tc>
          <w:tcPr>
            <w:tcW w:w="580"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0.0773</w:t>
            </w:r>
          </w:p>
        </w:tc>
        <w:tc>
          <w:tcPr>
            <w:tcW w:w="431"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0.4410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HorvathAge</w:t>
            </w:r>
          </w:p>
        </w:tc>
        <w:tc>
          <w:tcPr>
            <w:tcW w:w="853"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22</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default" w:ascii="Times New Roman" w:hAnsi="Times New Roman" w:cs="Times New Roman" w:eastAsiaTheme="minorEastAsia"/>
                <w:sz w:val="18"/>
                <w:szCs w:val="18"/>
                <w:vertAlign w:val="baseline"/>
                <w:lang w:val="en-US" w:eastAsia="zh-CN"/>
              </w:rPr>
              <w:t>50.58</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14.46</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0.8062</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0.0119</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HannumAge</w:t>
            </w:r>
          </w:p>
        </w:tc>
        <w:tc>
          <w:tcPr>
            <w:tcW w:w="853"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9</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48.33</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8.60</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0.3773</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0.0332</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color w:val="000000"/>
                <w:kern w:val="0"/>
                <w:sz w:val="18"/>
                <w:szCs w:val="18"/>
                <w:vertAlign w:val="baseline"/>
                <w:lang w:val="en-US" w:eastAsia="zh-CN" w:bidi="ar"/>
              </w:rPr>
              <w:t>PhenoAge</w:t>
            </w:r>
          </w:p>
        </w:tc>
        <w:tc>
          <w:tcPr>
            <w:tcW w:w="853"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11</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45.79</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4.39</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0.8201</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0.0167</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0.2553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color w:val="000000"/>
                <w:kern w:val="0"/>
                <w:sz w:val="18"/>
                <w:szCs w:val="18"/>
                <w:vertAlign w:val="baseline"/>
                <w:lang w:val="en-US" w:eastAsia="zh-CN" w:bidi="ar"/>
              </w:rPr>
              <w:t>leukocyte telomere length</w:t>
            </w:r>
          </w:p>
        </w:tc>
        <w:tc>
          <w:tcPr>
            <w:tcW w:w="853"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eastAsia" w:ascii="Times New Roman" w:hAnsi="Times New Roman" w:eastAsia="宋体" w:cs="Times New Roman"/>
                <w:kern w:val="2"/>
                <w:sz w:val="18"/>
                <w:szCs w:val="18"/>
                <w:vertAlign w:val="baseline"/>
                <w:lang w:val="en-US" w:eastAsia="zh-CN" w:bidi="ar"/>
              </w:rPr>
              <w:t>47.65</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36.17</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0.8233</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0.0054</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POP</w:t>
            </w:r>
          </w:p>
        </w:tc>
        <w:tc>
          <w:tcPr>
            <w:tcW w:w="853"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GrimAge</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22</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default" w:ascii="Times New Roman" w:hAnsi="Times New Roman" w:cs="Times New Roman"/>
                <w:sz w:val="18"/>
                <w:szCs w:val="18"/>
                <w:vertAlign w:val="baseline"/>
                <w:lang w:val="en-US"/>
              </w:rPr>
              <w:t>5</w:t>
            </w:r>
            <w:r>
              <w:rPr>
                <w:rFonts w:hint="eastAsia" w:ascii="Times New Roman" w:hAnsi="Times New Roman" w:cs="Times New Roman"/>
                <w:sz w:val="18"/>
                <w:szCs w:val="18"/>
                <w:vertAlign w:val="baseline"/>
                <w:lang w:val="en-US" w:eastAsia="zh-CN"/>
              </w:rPr>
              <w:t>4.10</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23.37</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default" w:ascii="Times New Roman" w:hAnsi="Times New Roman" w:cs="Times New Roman"/>
                <w:sz w:val="18"/>
                <w:szCs w:val="18"/>
                <w:vertAlign w:val="baseline"/>
                <w:lang w:val="en-US"/>
              </w:rPr>
              <w:t>0.27</w:t>
            </w:r>
            <w:r>
              <w:rPr>
                <w:rFonts w:hint="eastAsia" w:ascii="Times New Roman" w:hAnsi="Times New Roman" w:cs="Times New Roman"/>
                <w:sz w:val="18"/>
                <w:szCs w:val="18"/>
                <w:vertAlign w:val="baseline"/>
                <w:lang w:val="en-US" w:eastAsia="zh-CN"/>
              </w:rPr>
              <w:t>10</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default" w:ascii="Times New Roman" w:hAnsi="Times New Roman" w:cs="Times New Roman"/>
                <w:sz w:val="18"/>
                <w:szCs w:val="18"/>
                <w:vertAlign w:val="baseline"/>
                <w:lang w:val="en-US"/>
              </w:rPr>
              <w:t>0.016</w:t>
            </w:r>
            <w:r>
              <w:rPr>
                <w:rFonts w:hint="eastAsia" w:ascii="Times New Roman" w:hAnsi="Times New Roman" w:cs="Times New Roman"/>
                <w:sz w:val="18"/>
                <w:szCs w:val="18"/>
                <w:vertAlign w:val="baseline"/>
                <w:lang w:val="en-US" w:eastAsia="zh-CN"/>
              </w:rPr>
              <w:t>1</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0.5504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HorvathAge</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22</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5</w:t>
            </w:r>
            <w:r>
              <w:rPr>
                <w:rFonts w:hint="eastAsia" w:ascii="Times New Roman" w:hAnsi="Times New Roman" w:cs="Times New Roman"/>
                <w:sz w:val="18"/>
                <w:szCs w:val="18"/>
                <w:vertAlign w:val="baseline"/>
                <w:lang w:val="en-US" w:eastAsia="zh-CN"/>
              </w:rPr>
              <w:t>4.10</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27.08</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0.1329</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-0.0414</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0.169</w:t>
            </w:r>
            <w:r>
              <w:rPr>
                <w:rFonts w:hint="eastAsia" w:ascii="Times New Roman" w:hAnsi="Times New Roman" w:cs="Times New Roman"/>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HannumAge</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21</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54.58</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27.23</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default" w:ascii="Times New Roman" w:hAnsi="Times New Roman" w:cs="Times New Roman"/>
                <w:sz w:val="18"/>
                <w:szCs w:val="18"/>
                <w:vertAlign w:val="baseline"/>
                <w:lang w:val="en-US"/>
              </w:rPr>
              <w:t>0.099</w:t>
            </w:r>
            <w:r>
              <w:rPr>
                <w:rFonts w:hint="eastAsia" w:ascii="Times New Roman" w:hAnsi="Times New Roman" w:cs="Times New Roman"/>
                <w:sz w:val="18"/>
                <w:szCs w:val="18"/>
                <w:vertAlign w:val="baseline"/>
                <w:lang w:val="en-US" w:eastAsia="zh-CN"/>
              </w:rPr>
              <w:t>4</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-0.0601</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cs="Times New Roman" w:eastAsiaTheme="minorEastAsia"/>
                <w:sz w:val="18"/>
                <w:szCs w:val="18"/>
                <w:vertAlign w:val="baseline"/>
                <w:lang w:val="en-US" w:eastAsia="zh-CN"/>
              </w:rPr>
            </w:pPr>
            <w:r>
              <w:rPr>
                <w:rFonts w:hint="default" w:ascii="Times New Roman" w:hAnsi="Times New Roman" w:cs="Times New Roman"/>
                <w:sz w:val="18"/>
                <w:szCs w:val="18"/>
                <w:vertAlign w:val="baseline"/>
                <w:lang w:val="en-US"/>
              </w:rPr>
              <w:t>0.051</w:t>
            </w:r>
            <w:r>
              <w:rPr>
                <w:rFonts w:hint="eastAsia" w:ascii="Times New Roman" w:hAnsi="Times New Roman" w:cs="Times New Roman"/>
                <w:sz w:val="18"/>
                <w:szCs w:val="18"/>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color w:val="000000"/>
                <w:kern w:val="0"/>
                <w:sz w:val="18"/>
                <w:szCs w:val="18"/>
                <w:vertAlign w:val="baseline"/>
                <w:lang w:val="en-US" w:eastAsia="zh-CN" w:bidi="ar"/>
              </w:rPr>
              <w:t>PhenoAge</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19</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57.13</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15.56</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0.555</w:t>
            </w:r>
            <w:r>
              <w:rPr>
                <w:rFonts w:hint="eastAsia" w:ascii="Times New Roman" w:hAnsi="Times New Roman" w:cs="Times New Roman"/>
                <w:sz w:val="18"/>
                <w:szCs w:val="18"/>
                <w:vertAlign w:val="baseline"/>
                <w:lang w:val="en-US" w:eastAsia="zh-CN"/>
              </w:rPr>
              <w:t>0</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-0.050</w:t>
            </w:r>
            <w:r>
              <w:rPr>
                <w:rFonts w:hint="eastAsia" w:ascii="Times New Roman" w:hAnsi="Times New Roman" w:cs="Times New Roman"/>
                <w:sz w:val="18"/>
                <w:szCs w:val="18"/>
                <w:vertAlign w:val="baseline"/>
                <w:lang w:val="en-US" w:eastAsia="zh-CN"/>
              </w:rPr>
              <w:t>1</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0.159</w:t>
            </w:r>
            <w:r>
              <w:rPr>
                <w:rFonts w:hint="eastAsia" w:ascii="Times New Roman" w:hAnsi="Times New Roman" w:cs="Times New Roman"/>
                <w:sz w:val="18"/>
                <w:szCs w:val="1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color w:val="000000"/>
                <w:kern w:val="0"/>
                <w:sz w:val="18"/>
                <w:szCs w:val="18"/>
                <w:vertAlign w:val="baseline"/>
                <w:lang w:val="en-US" w:eastAsia="zh-CN" w:bidi="ar"/>
              </w:rPr>
              <w:t>leukocyte telomere length</w:t>
            </w:r>
          </w:p>
        </w:tc>
        <w:tc>
          <w:tcPr>
            <w:tcW w:w="441"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22</w:t>
            </w:r>
          </w:p>
        </w:tc>
        <w:tc>
          <w:tcPr>
            <w:tcW w:w="408"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5</w:t>
            </w:r>
            <w:r>
              <w:rPr>
                <w:rFonts w:hint="eastAsia" w:ascii="Times New Roman" w:hAnsi="Times New Roman" w:cs="Times New Roman"/>
                <w:sz w:val="18"/>
                <w:szCs w:val="18"/>
                <w:vertAlign w:val="baseline"/>
                <w:lang w:val="en-US" w:eastAsia="zh-CN"/>
              </w:rPr>
              <w:t>4.10</w:t>
            </w:r>
          </w:p>
        </w:tc>
        <w:tc>
          <w:tcPr>
            <w:tcW w:w="510"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26.70</w:t>
            </w:r>
          </w:p>
        </w:tc>
        <w:tc>
          <w:tcPr>
            <w:tcW w:w="427"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0.1119</w:t>
            </w:r>
          </w:p>
        </w:tc>
        <w:tc>
          <w:tcPr>
            <w:tcW w:w="580"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4.8219e-05</w:t>
            </w:r>
          </w:p>
        </w:tc>
        <w:tc>
          <w:tcPr>
            <w:tcW w:w="431"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0.9794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restar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Circulating</w:t>
            </w: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Inflammatory</w:t>
            </w: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biomarkers</w:t>
            </w:r>
          </w:p>
        </w:tc>
        <w:tc>
          <w:tcPr>
            <w:tcW w:w="855" w:type="pct"/>
            <w:vMerge w:val="restar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color w:val="000000"/>
                <w:kern w:val="0"/>
                <w:sz w:val="18"/>
                <w:szCs w:val="18"/>
                <w:vertAlign w:val="baseline"/>
                <w:lang w:val="en-US" w:eastAsia="zh-CN" w:bidi="ar"/>
              </w:rPr>
              <w:t>leukocyte telomere length</w:t>
            </w:r>
          </w:p>
        </w:tc>
        <w:tc>
          <w:tcPr>
            <w:tcW w:w="853"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Leukocyte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4</w:t>
            </w:r>
          </w:p>
        </w:tc>
        <w:tc>
          <w:tcPr>
            <w:tcW w:w="408"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eastAsia="宋体" w:cs="Times New Roman"/>
                <w:kern w:val="2"/>
                <w:sz w:val="18"/>
                <w:szCs w:val="18"/>
                <w:vertAlign w:val="baseline"/>
                <w:lang w:val="en-US" w:eastAsia="zh-CN" w:bidi="ar"/>
              </w:rPr>
              <w:t>50.98</w:t>
            </w:r>
          </w:p>
        </w:tc>
        <w:tc>
          <w:tcPr>
            <w:tcW w:w="510"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31.77</w:t>
            </w:r>
          </w:p>
        </w:tc>
        <w:tc>
          <w:tcPr>
            <w:tcW w:w="427"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0.7518</w:t>
            </w:r>
          </w:p>
        </w:tc>
        <w:tc>
          <w:tcPr>
            <w:tcW w:w="580"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0.0059</w:t>
            </w:r>
          </w:p>
        </w:tc>
        <w:tc>
          <w:tcPr>
            <w:tcW w:w="431"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Eosinophil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47.43</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 xml:space="preserve">14.90 </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0.0590</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0.0182</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0.5662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492"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Basophil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47.59</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7.3209</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0.0623</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-0.0192</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0.3940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Neutrophil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46.98</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150.24</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0.1458</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0.0024</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 xml:space="preserve">0.2300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nil"/>
              <w:left w:val="nil"/>
              <w:bottom w:val="nil"/>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Monocyte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47.19</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5.43</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0.1429</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-0.0095</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0.6153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3"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Lymphocyte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eastAsiaTheme="minorEastAsia"/>
                <w:sz w:val="18"/>
                <w:szCs w:val="18"/>
                <w:vertAlign w:val="baseline"/>
                <w:lang w:val="en-US" w:eastAsia="zh-CN"/>
              </w:rPr>
            </w:pPr>
            <w:r>
              <w:rPr>
                <w:rFonts w:hint="eastAsia" w:ascii="Times New Roman" w:hAnsi="Times New Roman" w:cs="Times New Roman"/>
                <w:sz w:val="18"/>
                <w:szCs w:val="18"/>
                <w:vertAlign w:val="baseline"/>
                <w:lang w:val="en-US" w:eastAsia="zh-CN"/>
              </w:rPr>
              <w:t>47.23</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8.5101</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0.0746</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-0.0043</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cs="Times New Roman"/>
                <w:sz w:val="18"/>
                <w:szCs w:val="18"/>
                <w:vertAlign w:val="baseline"/>
                <w:lang w:val="en-US"/>
              </w:rPr>
              <w:t>0.8534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single" w:color="auto" w:sz="4" w:space="0"/>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Leukocyte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restar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POP</w:t>
            </w: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193</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eastAsia" w:ascii="Times New Roman" w:hAnsi="Times New Roman" w:eastAsia="宋体" w:cs="Times New Roman"/>
                <w:kern w:val="2"/>
                <w:sz w:val="18"/>
                <w:szCs w:val="18"/>
                <w:vertAlign w:val="baseline"/>
                <w:lang w:val="en-US" w:eastAsia="zh-CN" w:bidi="ar"/>
              </w:rPr>
              <w:t>66.82</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231.49</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0.0271*</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 xml:space="preserve">-5.6458e-05 </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0.3683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Eosinophil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219</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264.8</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226.24</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0.3367</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1.77856e-05</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0.7569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Basophil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86</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150.1</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102.71</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0.0927</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-5.0871e-05</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0.5898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Neutrophil</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172</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261.1</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194.32</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0.1069</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-6.7511e-05</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0.2924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Monocyte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256</w:t>
            </w:r>
          </w:p>
        </w:tc>
        <w:tc>
          <w:tcPr>
            <w:tcW w:w="408"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440.6</w:t>
            </w:r>
          </w:p>
        </w:tc>
        <w:tc>
          <w:tcPr>
            <w:tcW w:w="51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289.80</w:t>
            </w:r>
          </w:p>
        </w:tc>
        <w:tc>
          <w:tcPr>
            <w:tcW w:w="427"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0.0661</w:t>
            </w:r>
          </w:p>
        </w:tc>
        <w:tc>
          <w:tcPr>
            <w:tcW w:w="580"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 xml:space="preserve">-2.8736e-05 </w:t>
            </w:r>
          </w:p>
        </w:tc>
        <w:tc>
          <w:tcPr>
            <w:tcW w:w="431" w:type="pct"/>
            <w:tcBorders>
              <w:top w:val="nil"/>
              <w:left w:val="nil"/>
              <w:bottom w:val="nil"/>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0.5302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492" w:type="pct"/>
            <w:vMerge w:val="continue"/>
            <w:tcBorders>
              <w:top w:val="single" w:color="auto" w:sz="4" w:space="0"/>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855"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Lymphocyte</w:t>
            </w:r>
            <w:r>
              <w:rPr>
                <w:rFonts w:hint="eastAsia" w:ascii="Times New Roman" w:hAnsi="Times New Roman" w:eastAsia="宋体" w:cs="Times New Roman"/>
                <w:kern w:val="2"/>
                <w:sz w:val="18"/>
                <w:szCs w:val="18"/>
                <w:vertAlign w:val="baseline"/>
                <w:lang w:val="en-US" w:eastAsia="zh-CN" w:bidi="ar"/>
              </w:rPr>
              <w:t xml:space="preserve"> </w:t>
            </w:r>
            <w:r>
              <w:rPr>
                <w:rFonts w:hint="default" w:ascii="Times New Roman" w:hAnsi="Times New Roman" w:eastAsia="宋体" w:cs="Times New Roman"/>
                <w:kern w:val="2"/>
                <w:sz w:val="18"/>
                <w:szCs w:val="18"/>
                <w:vertAlign w:val="baseline"/>
                <w:lang w:val="en-US" w:eastAsia="zh-CN" w:bidi="ar"/>
              </w:rPr>
              <w:t>count</w:t>
            </w:r>
          </w:p>
        </w:tc>
        <w:tc>
          <w:tcPr>
            <w:tcW w:w="853" w:type="pct"/>
            <w:vMerge w:val="continue"/>
            <w:tcBorders>
              <w:top w:val="nil"/>
              <w:left w:val="nil"/>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vertAlign w:val="baseline"/>
              </w:rPr>
            </w:pPr>
          </w:p>
        </w:tc>
        <w:tc>
          <w:tcPr>
            <w:tcW w:w="441"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201</w:t>
            </w:r>
          </w:p>
        </w:tc>
        <w:tc>
          <w:tcPr>
            <w:tcW w:w="408"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390.3</w:t>
            </w:r>
          </w:p>
        </w:tc>
        <w:tc>
          <w:tcPr>
            <w:tcW w:w="510"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 xml:space="preserve">248.07 </w:t>
            </w:r>
          </w:p>
        </w:tc>
        <w:tc>
          <w:tcPr>
            <w:tcW w:w="427"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0.0298*</w:t>
            </w:r>
          </w:p>
        </w:tc>
        <w:tc>
          <w:tcPr>
            <w:tcW w:w="580"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 xml:space="preserve">-5.6031e-05 </w:t>
            </w:r>
          </w:p>
        </w:tc>
        <w:tc>
          <w:tcPr>
            <w:tcW w:w="431" w:type="pct"/>
            <w:tcBorders>
              <w:top w:val="nil"/>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sz w:val="18"/>
                <w:szCs w:val="18"/>
                <w:vertAlign w:val="baseline"/>
                <w:lang w:val="en-US"/>
              </w:rPr>
            </w:pPr>
            <w:r>
              <w:rPr>
                <w:rFonts w:hint="default" w:ascii="Times New Roman" w:hAnsi="Times New Roman" w:eastAsia="宋体" w:cs="Times New Roman"/>
                <w:kern w:val="2"/>
                <w:sz w:val="18"/>
                <w:szCs w:val="18"/>
                <w:vertAlign w:val="baseline"/>
                <w:lang w:val="en-US" w:eastAsia="zh-CN" w:bidi="ar"/>
              </w:rPr>
              <w:t>0.3880</w:t>
            </w:r>
          </w:p>
        </w:tc>
      </w:tr>
    </w:tbl>
    <w:p>
      <w:pPr>
        <w:spacing w:line="360" w:lineRule="auto"/>
        <w:rPr>
          <w:rFonts w:hint="default" w:ascii="Times New Roman" w:hAnsi="Times New Roman" w:cs="Times New Roman"/>
          <w:color w:val="auto"/>
          <w:sz w:val="20"/>
          <w:szCs w:val="20"/>
          <w:lang w:val="en-US" w:eastAsia="zh-CN"/>
        </w:rPr>
      </w:pPr>
    </w:p>
    <w:p>
      <w:pPr>
        <w:spacing w:line="360" w:lineRule="auto"/>
        <w:rPr>
          <w:rFonts w:hint="default"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p>
      <w:pPr>
        <w:keepNext w:val="0"/>
        <w:keepLines w:val="0"/>
        <w:widowControl/>
        <w:suppressLineNumbers w:val="0"/>
        <w:jc w:val="center"/>
        <w:rPr>
          <w:rFonts w:hint="default" w:ascii="Times New Roman" w:hAnsi="Times New Roman" w:eastAsia="宋体" w:cs="Times New Roman"/>
          <w:color w:val="000000"/>
          <w:kern w:val="0"/>
          <w:sz w:val="24"/>
          <w:szCs w:val="24"/>
          <w:u w:val="single"/>
          <w:lang w:val="en-US" w:eastAsia="zh-CN" w:bidi="ar"/>
        </w:rPr>
      </w:pPr>
      <w:r>
        <w:rPr>
          <w:rFonts w:hint="default" w:ascii="Times New Roman" w:hAnsi="Times New Roman" w:cs="Times New Roman"/>
          <w:color w:val="auto"/>
          <w:sz w:val="20"/>
          <w:szCs w:val="20"/>
          <w:u w:val="none"/>
          <w:lang w:val="en-US" w:eastAsia="zh-CN"/>
        </w:rPr>
        <w:t xml:space="preserve">Table S3. Associations of </w:t>
      </w:r>
      <w:r>
        <w:rPr>
          <w:rFonts w:hint="eastAsia" w:ascii="Times New Roman" w:hAnsi="Times New Roman" w:cs="Times New Roman"/>
          <w:color w:val="auto"/>
          <w:sz w:val="20"/>
          <w:szCs w:val="20"/>
          <w:u w:val="none"/>
          <w:lang w:val="en-US" w:eastAsia="zh-CN"/>
        </w:rPr>
        <w:t>pelvic organ prolapse (as exposure)</w:t>
      </w:r>
      <w:r>
        <w:rPr>
          <w:rFonts w:hint="default" w:ascii="Times New Roman" w:hAnsi="Times New Roman" w:cs="Times New Roman"/>
          <w:color w:val="auto"/>
          <w:sz w:val="20"/>
          <w:szCs w:val="20"/>
          <w:u w:val="none"/>
          <w:lang w:val="en-US" w:eastAsia="zh-CN"/>
        </w:rPr>
        <w:t xml:space="preserve"> with</w:t>
      </w:r>
      <w:r>
        <w:rPr>
          <w:rFonts w:hint="eastAsia"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lang w:val="en-US" w:eastAsia="zh-CN"/>
        </w:rPr>
        <w:t xml:space="preserve">circulating inflammatory </w:t>
      </w:r>
      <w:r>
        <w:rPr>
          <w:rFonts w:hint="eastAsia" w:ascii="Times New Roman" w:hAnsi="Times New Roman" w:cs="Times New Roman"/>
          <w:color w:val="auto"/>
          <w:sz w:val="20"/>
          <w:szCs w:val="20"/>
          <w:u w:val="none"/>
          <w:lang w:val="en-US" w:eastAsia="zh-CN"/>
        </w:rPr>
        <w:t>biomarkers (as outcome)</w:t>
      </w:r>
      <w:r>
        <w:rPr>
          <w:rFonts w:hint="default" w:ascii="Times New Roman" w:hAnsi="Times New Roman" w:cs="Times New Roman"/>
          <w:color w:val="auto"/>
          <w:sz w:val="20"/>
          <w:szCs w:val="20"/>
          <w:u w:val="none"/>
          <w:lang w:val="en-US" w:eastAsia="zh-CN"/>
        </w:rPr>
        <w:t xml:space="preserve"> according to M</w:t>
      </w:r>
      <w:r>
        <w:rPr>
          <w:rFonts w:hint="eastAsia" w:ascii="Times New Roman" w:hAnsi="Times New Roman" w:cs="Times New Roman"/>
          <w:color w:val="auto"/>
          <w:sz w:val="20"/>
          <w:szCs w:val="20"/>
          <w:u w:val="none"/>
          <w:lang w:val="en-US" w:eastAsia="zh-CN"/>
        </w:rPr>
        <w:t xml:space="preserve">R </w:t>
      </w:r>
      <w:r>
        <w:rPr>
          <w:rFonts w:hint="default" w:ascii="Times New Roman" w:hAnsi="Times New Roman" w:cs="Times New Roman"/>
          <w:color w:val="auto"/>
          <w:sz w:val="20"/>
          <w:szCs w:val="20"/>
          <w:u w:val="none"/>
          <w:lang w:val="en-US" w:eastAsia="zh-CN"/>
        </w:rPr>
        <w:t>analysis.</w:t>
      </w:r>
    </w:p>
    <w:tbl>
      <w:tblPr>
        <w:tblStyle w:val="9"/>
        <w:tblW w:w="4941" w:type="pct"/>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1345"/>
        <w:gridCol w:w="1202"/>
        <w:gridCol w:w="1015"/>
        <w:gridCol w:w="2534"/>
        <w:gridCol w:w="2262"/>
        <w:gridCol w:w="858"/>
        <w:gridCol w:w="1152"/>
        <w:gridCol w:w="1197"/>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940" w:type="pct"/>
            <w:gridSpan w:val="2"/>
            <w:vMerge w:val="restart"/>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eastAsia" w:ascii="Times New Roman" w:hAnsi="Times New Roman" w:eastAsia="URWPalladioL-Bold" w:cs="Times New Roman"/>
                <w:b/>
                <w:bCs/>
                <w:color w:val="000000"/>
                <w:kern w:val="0"/>
                <w:sz w:val="20"/>
                <w:szCs w:val="20"/>
                <w:lang w:val="en-US" w:eastAsia="zh-CN" w:bidi="ar"/>
              </w:rPr>
              <w:t>Outcomes</w:t>
            </w:r>
          </w:p>
        </w:tc>
        <w:tc>
          <w:tcPr>
            <w:tcW w:w="429" w:type="pct"/>
            <w:vMerge w:val="restart"/>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No. of IV</w:t>
            </w:r>
          </w:p>
        </w:tc>
        <w:tc>
          <w:tcPr>
            <w:tcW w:w="362" w:type="pct"/>
            <w:vMerge w:val="restart"/>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eastAsia" w:ascii="Times New Roman" w:hAnsi="Times New Roman" w:eastAsia="URWPalladioL-Bold" w:cs="Times New Roman"/>
                <w:b/>
                <w:bCs/>
                <w:color w:val="000000"/>
                <w:kern w:val="0"/>
                <w:sz w:val="20"/>
                <w:szCs w:val="20"/>
                <w:lang w:val="en-US" w:eastAsia="zh-CN" w:bidi="ar"/>
              </w:rPr>
              <w:t>P value</w:t>
            </w:r>
          </w:p>
        </w:tc>
        <w:tc>
          <w:tcPr>
            <w:tcW w:w="904" w:type="pct"/>
            <w:vMerge w:val="restart"/>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URWPalladioL-Bold" w:cs="Times New Roman"/>
                <w:b/>
                <w:bCs/>
                <w:color w:val="000000"/>
                <w:kern w:val="0"/>
                <w:sz w:val="20"/>
                <w:szCs w:val="20"/>
                <w:lang w:val="en-US" w:eastAsia="zh-CN" w:bidi="ar"/>
              </w:rPr>
            </w:pPr>
            <w:r>
              <w:rPr>
                <w:rFonts w:hint="eastAsia" w:ascii="Times New Roman" w:hAnsi="Times New Roman" w:eastAsia="宋体" w:cs="Times New Roman"/>
                <w:b/>
                <w:bCs/>
                <w:color w:val="000000"/>
                <w:kern w:val="0"/>
                <w:sz w:val="18"/>
                <w:szCs w:val="18"/>
                <w:lang w:val="en-US" w:eastAsia="zh-CN" w:bidi="ar"/>
              </w:rPr>
              <w:t>M</w:t>
            </w:r>
            <w:r>
              <w:rPr>
                <w:rFonts w:hint="default" w:ascii="Times New Roman" w:hAnsi="Times New Roman" w:eastAsia="宋体" w:cs="Times New Roman"/>
                <w:b/>
                <w:bCs/>
                <w:color w:val="000000"/>
                <w:kern w:val="0"/>
                <w:sz w:val="18"/>
                <w:szCs w:val="18"/>
                <w:lang w:val="en-US" w:eastAsia="zh-CN" w:bidi="ar"/>
              </w:rPr>
              <w:t>ethod</w:t>
            </w:r>
          </w:p>
        </w:tc>
        <w:tc>
          <w:tcPr>
            <w:tcW w:w="807" w:type="pct"/>
            <w:vMerge w:val="restart"/>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宋体" w:cs="Times New Roman"/>
                <w:b/>
                <w:bCs/>
                <w:color w:val="000000"/>
                <w:kern w:val="0"/>
                <w:sz w:val="18"/>
                <w:szCs w:val="18"/>
                <w:lang w:val="en-US" w:eastAsia="zh-CN" w:bidi="ar"/>
              </w:rPr>
              <w:t>OR (95% CI)</w:t>
            </w:r>
          </w:p>
        </w:tc>
        <w:tc>
          <w:tcPr>
            <w:tcW w:w="717" w:type="pct"/>
            <w:gridSpan w:val="2"/>
            <w:tcBorders>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 xml:space="preserve">Between-SNP </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 xml:space="preserve">Heterogeneity </w:t>
            </w:r>
          </w:p>
        </w:tc>
        <w:tc>
          <w:tcPr>
            <w:tcW w:w="838" w:type="pct"/>
            <w:gridSpan w:val="2"/>
            <w:tcBorders>
              <w:left w:val="nil"/>
              <w:bottom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 xml:space="preserve">Horizontal </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 xml:space="preserve">Pleiotropy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pct"/>
            <w:gridSpan w:val="2"/>
            <w:vMerge w:val="continue"/>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p>
        </w:tc>
        <w:tc>
          <w:tcPr>
            <w:tcW w:w="429" w:type="pct"/>
            <w:vMerge w:val="continue"/>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p>
        </w:tc>
        <w:tc>
          <w:tcPr>
            <w:tcW w:w="362" w:type="pct"/>
            <w:vMerge w:val="continue"/>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p>
        </w:tc>
        <w:tc>
          <w:tcPr>
            <w:tcW w:w="904" w:type="pct"/>
            <w:vMerge w:val="continue"/>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p>
        </w:tc>
        <w:tc>
          <w:tcPr>
            <w:tcW w:w="807" w:type="pct"/>
            <w:vMerge w:val="continue"/>
            <w:tcBorders>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p>
        </w:tc>
        <w:tc>
          <w:tcPr>
            <w:tcW w:w="306" w:type="pct"/>
            <w:tcBorders>
              <w:top w:val="nil"/>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Q-</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 xml:space="preserve">Value </w:t>
            </w:r>
          </w:p>
        </w:tc>
        <w:tc>
          <w:tcPr>
            <w:tcW w:w="411" w:type="pct"/>
            <w:tcBorders>
              <w:top w:val="nil"/>
              <w:left w:val="nil"/>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P</w:t>
            </w:r>
            <w:r>
              <w:rPr>
                <w:rFonts w:hint="eastAsia" w:ascii="Times New Roman" w:hAnsi="Times New Roman" w:eastAsia="URWPalladioL-Bold" w:cs="Times New Roman"/>
                <w:b/>
                <w:bCs/>
                <w:color w:val="000000"/>
                <w:kern w:val="0"/>
                <w:sz w:val="20"/>
                <w:szCs w:val="20"/>
                <w:lang w:val="en-US" w:eastAsia="zh-CN" w:bidi="ar"/>
              </w:rPr>
              <w:t>-</w:t>
            </w:r>
            <w:r>
              <w:rPr>
                <w:rFonts w:hint="default" w:ascii="Times New Roman" w:hAnsi="Times New Roman" w:eastAsia="URWPalladioL-Bold" w:cs="Times New Roman"/>
                <w:b/>
                <w:bCs/>
                <w:color w:val="000000"/>
                <w:kern w:val="0"/>
                <w:sz w:val="20"/>
                <w:szCs w:val="20"/>
                <w:lang w:val="en-US" w:eastAsia="zh-CN" w:bidi="ar"/>
              </w:rPr>
              <w:t xml:space="preserve"> Value </w:t>
            </w:r>
          </w:p>
        </w:tc>
        <w:tc>
          <w:tcPr>
            <w:tcW w:w="42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18"/>
                <w:szCs w:val="18"/>
                <w:lang w:val="en-US" w:eastAsia="zh-CN" w:bidi="ar"/>
              </w:rPr>
            </w:pPr>
            <w:r>
              <w:rPr>
                <w:rFonts w:hint="default" w:ascii="Times New Roman" w:hAnsi="Times New Roman" w:eastAsia="URWPalladioL-Bold" w:cs="Times New Roman"/>
                <w:b/>
                <w:bCs/>
                <w:color w:val="000000"/>
                <w:kern w:val="0"/>
                <w:sz w:val="18"/>
                <w:szCs w:val="18"/>
                <w:lang w:val="en-US" w:eastAsia="zh-CN" w:bidi="ar"/>
              </w:rPr>
              <w:t>Egger</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18"/>
                <w:szCs w:val="18"/>
                <w:lang w:val="en-US" w:eastAsia="zh-CN" w:bidi="ar"/>
              </w:rPr>
              <w:t xml:space="preserve">Intercept </w:t>
            </w:r>
          </w:p>
        </w:tc>
        <w:tc>
          <w:tcPr>
            <w:tcW w:w="411"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URWPalladioL-Bold" w:cs="Times New Roman"/>
                <w:b/>
                <w:bCs/>
                <w:color w:val="000000"/>
                <w:kern w:val="0"/>
                <w:sz w:val="20"/>
                <w:szCs w:val="20"/>
                <w:lang w:val="en-US" w:eastAsia="zh-CN" w:bidi="ar"/>
              </w:rPr>
            </w:pPr>
            <w:r>
              <w:rPr>
                <w:rFonts w:hint="default" w:ascii="Times New Roman" w:hAnsi="Times New Roman" w:eastAsia="URWPalladioL-Bold" w:cs="Times New Roman"/>
                <w:b/>
                <w:bCs/>
                <w:color w:val="000000"/>
                <w:kern w:val="0"/>
                <w:sz w:val="20"/>
                <w:szCs w:val="20"/>
                <w:lang w:val="en-US" w:eastAsia="zh-CN" w:bidi="ar"/>
              </w:rPr>
              <w:t>P</w:t>
            </w:r>
            <w:r>
              <w:rPr>
                <w:rFonts w:hint="eastAsia" w:ascii="Times New Roman" w:hAnsi="Times New Roman" w:eastAsia="URWPalladioL-Bold" w:cs="Times New Roman"/>
                <w:b/>
                <w:bCs/>
                <w:color w:val="000000"/>
                <w:kern w:val="0"/>
                <w:sz w:val="20"/>
                <w:szCs w:val="20"/>
                <w:lang w:val="en-US" w:eastAsia="zh-CN" w:bidi="ar"/>
              </w:rPr>
              <w:t>-</w:t>
            </w:r>
            <w:r>
              <w:rPr>
                <w:rFonts w:hint="default" w:ascii="Times New Roman" w:hAnsi="Times New Roman" w:eastAsia="URWPalladioL-Bold" w:cs="Times New Roman"/>
                <w:b/>
                <w:bCs/>
                <w:color w:val="000000"/>
                <w:kern w:val="0"/>
                <w:sz w:val="20"/>
                <w:szCs w:val="20"/>
                <w:lang w:val="en-US" w:eastAsia="zh-CN" w:bidi="ar"/>
              </w:rPr>
              <w:t xml:space="preserve"> Value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60" w:type="pct"/>
            <w:vMerge w:val="restart"/>
            <w:tcBorders>
              <w:top w:val="single" w:color="auto" w:sz="4" w:space="0"/>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Circulating</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Inflammatory</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biomarkers</w:t>
            </w:r>
          </w:p>
        </w:tc>
        <w:tc>
          <w:tcPr>
            <w:tcW w:w="480"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Leukocyte</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 xml:space="preserve">0.2532 </w:t>
            </w:r>
          </w:p>
        </w:tc>
        <w:tc>
          <w:tcPr>
            <w:tcW w:w="904" w:type="pct"/>
            <w:vMerge w:val="restart"/>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default" w:ascii="Times New Roman" w:hAnsi="Times New Roman" w:cs="Times New Roman"/>
                <w:sz w:val="16"/>
                <w:szCs w:val="16"/>
                <w:lang w:val="en-US" w:eastAsia="zh-CN"/>
              </w:rPr>
              <w:t>Inverse variance weighted</w:t>
            </w:r>
          </w:p>
        </w:tc>
        <w:tc>
          <w:tcPr>
            <w:tcW w:w="807"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2.3453(0.5435 to 10.1196)</w:t>
            </w:r>
          </w:p>
        </w:tc>
        <w:tc>
          <w:tcPr>
            <w:tcW w:w="306"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70.86</w:t>
            </w:r>
          </w:p>
        </w:tc>
        <w:tc>
          <w:tcPr>
            <w:tcW w:w="411"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val="0"/>
                <w:bCs w:val="0"/>
                <w:sz w:val="16"/>
                <w:szCs w:val="16"/>
                <w:lang w:val="en-US" w:eastAsia="zh-CN"/>
              </w:rPr>
            </w:pPr>
            <w:r>
              <w:rPr>
                <w:rFonts w:hint="default" w:ascii="Times New Roman" w:hAnsi="Times New Roman" w:cs="Times New Roman"/>
                <w:sz w:val="16"/>
                <w:szCs w:val="16"/>
                <w:lang w:val="en-US" w:eastAsia="zh-CN"/>
              </w:rPr>
              <w:t xml:space="preserve"> 1.40</w:t>
            </w:r>
            <w:r>
              <w:rPr>
                <w:rFonts w:hint="eastAsia" w:ascii="Times New Roman" w:hAnsi="Times New Roman" w:cs="Times New Roman"/>
                <w:sz w:val="16"/>
                <w:szCs w:val="16"/>
                <w:lang w:val="en-US" w:eastAsia="zh-CN"/>
              </w:rPr>
              <w:t>90</w:t>
            </w:r>
            <w:r>
              <w:rPr>
                <w:rFonts w:hint="default" w:ascii="Times New Roman" w:hAnsi="Times New Roman" w:cs="Times New Roman"/>
                <w:sz w:val="16"/>
                <w:szCs w:val="16"/>
                <w:lang w:val="en-US" w:eastAsia="zh-CN"/>
              </w:rPr>
              <w:t>e</w:t>
            </w:r>
            <w:r>
              <w:rPr>
                <w:rFonts w:hint="default" w:ascii="Times New Roman" w:hAnsi="Times New Roman" w:cs="Times New Roman"/>
                <w:sz w:val="16"/>
                <w:szCs w:val="16"/>
                <w:vertAlign w:val="superscript"/>
                <w:lang w:val="en-US" w:eastAsia="zh-CN"/>
              </w:rPr>
              <w:t>-05</w:t>
            </w:r>
            <w:r>
              <w:rPr>
                <w:rFonts w:hint="eastAsia" w:ascii="Times New Roman" w:hAnsi="Times New Roman" w:cs="Times New Roman"/>
                <w:sz w:val="16"/>
                <w:szCs w:val="16"/>
                <w:lang w:val="en-US" w:eastAsia="zh-CN"/>
              </w:rPr>
              <w:t>*</w:t>
            </w:r>
          </w:p>
        </w:tc>
        <w:tc>
          <w:tcPr>
            <w:tcW w:w="427"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0.000</w:t>
            </w:r>
            <w:r>
              <w:rPr>
                <w:rFonts w:hint="eastAsia" w:ascii="Times New Roman" w:hAnsi="Times New Roman" w:cs="Times New Roman"/>
                <w:sz w:val="16"/>
                <w:szCs w:val="16"/>
                <w:lang w:val="en-US" w:eastAsia="zh-CN"/>
              </w:rPr>
              <w:t>9</w:t>
            </w:r>
          </w:p>
        </w:tc>
        <w:tc>
          <w:tcPr>
            <w:tcW w:w="411" w:type="pct"/>
            <w:tcBorders>
              <w:top w:val="single" w:color="auto" w:sz="4" w:space="0"/>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0.8305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p>
        </w:tc>
        <w:tc>
          <w:tcPr>
            <w:tcW w:w="480"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Neutrophil</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 xml:space="preserve">0.2938 </w:t>
            </w:r>
          </w:p>
        </w:tc>
        <w:tc>
          <w:tcPr>
            <w:tcW w:w="904"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p>
        </w:tc>
        <w:tc>
          <w:tcPr>
            <w:tcW w:w="80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1.8169(0.5958 to 5.5405)</w:t>
            </w:r>
          </w:p>
        </w:tc>
        <w:tc>
          <w:tcPr>
            <w:tcW w:w="306"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41.28</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0.050</w:t>
            </w:r>
            <w:r>
              <w:rPr>
                <w:rFonts w:hint="eastAsia" w:ascii="Times New Roman" w:hAnsi="Times New Roman" w:cs="Times New Roman"/>
                <w:sz w:val="16"/>
                <w:szCs w:val="16"/>
                <w:lang w:val="en-US" w:eastAsia="zh-CN"/>
              </w:rPr>
              <w:t>6</w:t>
            </w:r>
          </w:p>
        </w:tc>
        <w:tc>
          <w:tcPr>
            <w:tcW w:w="42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0.0023</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0.4682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p>
        </w:tc>
        <w:tc>
          <w:tcPr>
            <w:tcW w:w="480"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Monocyte</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b/>
                <w:bCs/>
                <w:sz w:val="16"/>
                <w:szCs w:val="16"/>
                <w:lang w:val="en-US" w:eastAsia="zh-CN"/>
              </w:rPr>
              <w:t xml:space="preserve">0.0110 </w:t>
            </w:r>
          </w:p>
        </w:tc>
        <w:tc>
          <w:tcPr>
            <w:tcW w:w="904" w:type="pct"/>
            <w:vMerge w:val="continue"/>
            <w:tcBorders>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p>
        </w:tc>
        <w:tc>
          <w:tcPr>
            <w:tcW w:w="80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b/>
                <w:bCs/>
                <w:sz w:val="16"/>
                <w:szCs w:val="16"/>
                <w:lang w:val="en-US" w:eastAsia="zh-CN"/>
              </w:rPr>
              <w:t>8.6284(1.6400 to 45.3967)</w:t>
            </w:r>
          </w:p>
        </w:tc>
        <w:tc>
          <w:tcPr>
            <w:tcW w:w="306"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92.0</w:t>
            </w:r>
            <w:r>
              <w:rPr>
                <w:rFonts w:hint="eastAsia" w:ascii="Times New Roman" w:hAnsi="Times New Roman" w:cs="Times New Roman"/>
                <w:sz w:val="16"/>
                <w:szCs w:val="16"/>
                <w:lang w:val="en-US" w:eastAsia="zh-CN"/>
              </w:rPr>
              <w:t>6</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9.4260e</w:t>
            </w:r>
            <w:r>
              <w:rPr>
                <w:rFonts w:hint="default" w:ascii="Times New Roman" w:hAnsi="Times New Roman" w:cs="Times New Roman"/>
                <w:sz w:val="16"/>
                <w:szCs w:val="16"/>
                <w:vertAlign w:val="superscript"/>
                <w:lang w:val="en-US" w:eastAsia="zh-CN"/>
              </w:rPr>
              <w:t>-09</w:t>
            </w:r>
            <w:r>
              <w:rPr>
                <w:rFonts w:hint="eastAsia" w:ascii="Times New Roman" w:hAnsi="Times New Roman" w:cs="Times New Roman"/>
                <w:sz w:val="16"/>
                <w:szCs w:val="16"/>
                <w:lang w:val="en-US" w:eastAsia="zh-CN"/>
              </w:rPr>
              <w:t>*</w:t>
            </w:r>
          </w:p>
        </w:tc>
        <w:tc>
          <w:tcPr>
            <w:tcW w:w="42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-0.0002</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 xml:space="preserve"> 0.950</w:t>
            </w:r>
            <w:r>
              <w:rPr>
                <w:rFonts w:hint="eastAsia" w:ascii="Times New Roman" w:hAnsi="Times New Roman" w:cs="Times New Roman"/>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p>
        </w:tc>
        <w:tc>
          <w:tcPr>
            <w:tcW w:w="480"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Lymphocyte</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 xml:space="preserve">0.4718 </w:t>
            </w:r>
          </w:p>
        </w:tc>
        <w:tc>
          <w:tcPr>
            <w:tcW w:w="904" w:type="pct"/>
            <w:vMerge w:val="continue"/>
            <w:tcBorders>
              <w:top w:val="nil"/>
              <w:left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p>
        </w:tc>
        <w:tc>
          <w:tcPr>
            <w:tcW w:w="80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1.7855(0.3681 to 8.6607)</w:t>
            </w:r>
          </w:p>
        </w:tc>
        <w:tc>
          <w:tcPr>
            <w:tcW w:w="306"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81.94</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3.4139e-</w:t>
            </w:r>
            <w:r>
              <w:rPr>
                <w:rFonts w:hint="default" w:ascii="Times New Roman" w:hAnsi="Times New Roman" w:cs="Times New Roman"/>
                <w:sz w:val="16"/>
                <w:szCs w:val="16"/>
                <w:vertAlign w:val="superscript"/>
                <w:lang w:val="en-US" w:eastAsia="zh-CN"/>
              </w:rPr>
              <w:t>07</w:t>
            </w:r>
            <w:r>
              <w:rPr>
                <w:rFonts w:hint="eastAsia" w:ascii="Times New Roman" w:hAnsi="Times New Roman" w:cs="Times New Roman"/>
                <w:sz w:val="16"/>
                <w:szCs w:val="16"/>
                <w:lang w:val="en-US" w:eastAsia="zh-CN"/>
              </w:rPr>
              <w:t>*</w:t>
            </w:r>
          </w:p>
        </w:tc>
        <w:tc>
          <w:tcPr>
            <w:tcW w:w="42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w:t>
            </w:r>
            <w:r>
              <w:rPr>
                <w:rFonts w:hint="eastAsia" w:ascii="Times New Roman" w:hAnsi="Times New Roman" w:cs="Times New Roman"/>
                <w:sz w:val="16"/>
                <w:szCs w:val="16"/>
                <w:lang w:val="en-US" w:eastAsia="zh-CN"/>
              </w:rPr>
              <w:t>22</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 xml:space="preserve"> 0.6261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460"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p>
        </w:tc>
        <w:tc>
          <w:tcPr>
            <w:tcW w:w="480"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Basophil</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 xml:space="preserve">0.4833 </w:t>
            </w:r>
          </w:p>
        </w:tc>
        <w:tc>
          <w:tcPr>
            <w:tcW w:w="904"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p>
        </w:tc>
        <w:tc>
          <w:tcPr>
            <w:tcW w:w="80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0.6599(0.2064 to 2.1097)</w:t>
            </w:r>
          </w:p>
        </w:tc>
        <w:tc>
          <w:tcPr>
            <w:tcW w:w="306"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46.9</w:t>
            </w:r>
            <w:r>
              <w:rPr>
                <w:rFonts w:hint="eastAsia" w:ascii="Times New Roman" w:hAnsi="Times New Roman" w:cs="Times New Roman"/>
                <w:sz w:val="16"/>
                <w:szCs w:val="16"/>
                <w:lang w:val="en-US" w:eastAsia="zh-CN"/>
              </w:rPr>
              <w:t>7</w:t>
            </w:r>
            <w:r>
              <w:rPr>
                <w:rFonts w:hint="default" w:ascii="Times New Roman" w:hAnsi="Times New Roman" w:cs="Times New Roman"/>
                <w:sz w:val="16"/>
                <w:szCs w:val="16"/>
                <w:lang w:val="en-US" w:eastAsia="zh-CN"/>
              </w:rPr>
              <w:t xml:space="preserve"> </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 xml:space="preserve"> 0.0138</w:t>
            </w:r>
            <w:r>
              <w:rPr>
                <w:rFonts w:hint="eastAsia" w:ascii="Times New Roman" w:hAnsi="Times New Roman" w:cs="Times New Roman"/>
                <w:sz w:val="16"/>
                <w:szCs w:val="16"/>
                <w:lang w:val="en-US" w:eastAsia="zh-CN"/>
              </w:rPr>
              <w:t>*</w:t>
            </w:r>
          </w:p>
        </w:tc>
        <w:tc>
          <w:tcPr>
            <w:tcW w:w="427"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-0.0019</w:t>
            </w:r>
          </w:p>
        </w:tc>
        <w:tc>
          <w:tcPr>
            <w:tcW w:w="411" w:type="pct"/>
            <w:tcBorders>
              <w:top w:val="nil"/>
              <w:left w:val="nil"/>
              <w:bottom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0.557</w:t>
            </w:r>
            <w:r>
              <w:rPr>
                <w:rFonts w:hint="eastAsia" w:ascii="Times New Roman" w:hAnsi="Times New Roman" w:cs="Times New Roman"/>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p>
        </w:tc>
        <w:tc>
          <w:tcPr>
            <w:tcW w:w="480"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Eosinophil</w:t>
            </w: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count</w:t>
            </w:r>
          </w:p>
        </w:tc>
        <w:tc>
          <w:tcPr>
            <w:tcW w:w="429"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29</w:t>
            </w:r>
          </w:p>
        </w:tc>
        <w:tc>
          <w:tcPr>
            <w:tcW w:w="362"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 xml:space="preserve">0.3447 </w:t>
            </w:r>
          </w:p>
        </w:tc>
        <w:tc>
          <w:tcPr>
            <w:tcW w:w="904" w:type="pct"/>
            <w:vMerge w:val="continue"/>
            <w:tcBorders>
              <w:left w:val="nil"/>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p>
        </w:tc>
        <w:tc>
          <w:tcPr>
            <w:tcW w:w="807"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sz w:val="16"/>
                <w:szCs w:val="16"/>
                <w:lang w:val="en-US" w:eastAsia="zh-CN"/>
              </w:rPr>
            </w:pPr>
            <w:r>
              <w:rPr>
                <w:rFonts w:hint="eastAsia" w:ascii="Times New Roman" w:hAnsi="Times New Roman" w:cs="Times New Roman"/>
                <w:sz w:val="16"/>
                <w:szCs w:val="16"/>
                <w:lang w:val="en-US" w:eastAsia="zh-CN"/>
              </w:rPr>
              <w:t>0.5060(0.1231 to 2.0790)</w:t>
            </w:r>
          </w:p>
        </w:tc>
        <w:tc>
          <w:tcPr>
            <w:tcW w:w="306"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66.87</w:t>
            </w:r>
          </w:p>
        </w:tc>
        <w:tc>
          <w:tcPr>
            <w:tcW w:w="411"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5.02</w:t>
            </w:r>
            <w:r>
              <w:rPr>
                <w:rFonts w:hint="eastAsia" w:ascii="Times New Roman" w:hAnsi="Times New Roman" w:cs="Times New Roman"/>
                <w:sz w:val="16"/>
                <w:szCs w:val="16"/>
                <w:lang w:val="en-US" w:eastAsia="zh-CN"/>
              </w:rPr>
              <w:t>70</w:t>
            </w:r>
            <w:r>
              <w:rPr>
                <w:rFonts w:hint="default" w:ascii="Times New Roman" w:hAnsi="Times New Roman" w:cs="Times New Roman"/>
                <w:sz w:val="16"/>
                <w:szCs w:val="16"/>
                <w:lang w:val="en-US" w:eastAsia="zh-CN"/>
              </w:rPr>
              <w:t>e</w:t>
            </w:r>
            <w:r>
              <w:rPr>
                <w:rFonts w:hint="default" w:ascii="Times New Roman" w:hAnsi="Times New Roman" w:cs="Times New Roman"/>
                <w:sz w:val="16"/>
                <w:szCs w:val="16"/>
                <w:vertAlign w:val="superscript"/>
                <w:lang w:val="en-US" w:eastAsia="zh-CN"/>
              </w:rPr>
              <w:t>-05</w:t>
            </w:r>
            <w:r>
              <w:rPr>
                <w:rFonts w:hint="eastAsia" w:ascii="Times New Roman" w:hAnsi="Times New Roman" w:cs="Times New Roman"/>
                <w:sz w:val="16"/>
                <w:szCs w:val="16"/>
                <w:lang w:val="en-US" w:eastAsia="zh-CN"/>
              </w:rPr>
              <w:t>*</w:t>
            </w:r>
          </w:p>
        </w:tc>
        <w:tc>
          <w:tcPr>
            <w:tcW w:w="427"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-0.00</w:t>
            </w:r>
            <w:r>
              <w:rPr>
                <w:rFonts w:hint="eastAsia" w:ascii="Times New Roman" w:hAnsi="Times New Roman" w:cs="Times New Roman"/>
                <w:sz w:val="16"/>
                <w:szCs w:val="16"/>
                <w:lang w:val="en-US" w:eastAsia="zh-CN"/>
              </w:rPr>
              <w:t>20</w:t>
            </w:r>
          </w:p>
        </w:tc>
        <w:tc>
          <w:tcPr>
            <w:tcW w:w="411" w:type="pct"/>
            <w:tcBorders>
              <w:top w:val="nil"/>
              <w:left w:val="nil"/>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0.626</w:t>
            </w:r>
            <w:r>
              <w:rPr>
                <w:rFonts w:hint="eastAsia" w:ascii="Times New Roman" w:hAnsi="Times New Roman" w:cs="Times New Roman"/>
                <w:sz w:val="16"/>
                <w:szCs w:val="16"/>
                <w:lang w:val="en-US" w:eastAsia="zh-CN"/>
              </w:rPr>
              <w:t>9</w:t>
            </w:r>
          </w:p>
        </w:tc>
      </w:tr>
    </w:tbl>
    <w:p>
      <w:pPr>
        <w:spacing w:line="240" w:lineRule="auto"/>
        <w:jc w:val="center"/>
        <w:rPr>
          <w:rFonts w:hint="default" w:ascii="Times New Roman" w:hAnsi="Times New Roman" w:cs="Times New Roman"/>
          <w:sz w:val="16"/>
          <w:szCs w:val="16"/>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r>
        <w:rPr>
          <w:rFonts w:hint="eastAsia" w:ascii="Times New Roman" w:hAnsi="Times New Roman" w:cs="Times New Roman"/>
          <w:color w:val="auto"/>
          <w:sz w:val="20"/>
          <w:szCs w:val="20"/>
          <w:lang w:val="en-US" w:eastAsia="zh-CN"/>
        </w:rPr>
        <w:t>* Q p-value &lt; 0.05</w:t>
      </w: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left"/>
        <w:rPr>
          <w:rFonts w:hint="default" w:ascii="Times New Roman" w:hAnsi="Times New Roman" w:cs="Times New Roman"/>
          <w:color w:val="auto"/>
          <w:sz w:val="20"/>
          <w:szCs w:val="20"/>
          <w:lang w:val="en-US" w:eastAsia="zh-CN"/>
        </w:rPr>
      </w:pPr>
    </w:p>
    <w:p>
      <w:pPr>
        <w:keepNext w:val="0"/>
        <w:keepLines w:val="0"/>
        <w:widowControl/>
        <w:suppressLineNumbers w:val="0"/>
        <w:jc w:val="center"/>
      </w:pPr>
      <w:r>
        <w:rPr>
          <w:rFonts w:hint="default" w:ascii="Times New Roman" w:hAnsi="Times New Roman" w:cs="Times New Roman"/>
          <w:color w:val="auto"/>
          <w:sz w:val="20"/>
          <w:szCs w:val="20"/>
          <w:lang w:val="en-US" w:eastAsia="zh-CN"/>
        </w:rPr>
        <w:t>Table S</w:t>
      </w:r>
      <w:r>
        <w:rPr>
          <w:rFonts w:hint="eastAsia" w:ascii="Times New Roman" w:hAnsi="Times New Roman" w:cs="Times New Roman"/>
          <w:color w:val="auto"/>
          <w:sz w:val="20"/>
          <w:szCs w:val="20"/>
          <w:lang w:val="en-US" w:eastAsia="zh-CN"/>
        </w:rPr>
        <w:t>4</w:t>
      </w:r>
      <w:r>
        <w:rPr>
          <w:rFonts w:hint="default" w:ascii="Times New Roman" w:hAnsi="Times New Roman" w:cs="Times New Roman"/>
          <w:color w:val="auto"/>
          <w:sz w:val="20"/>
          <w:szCs w:val="20"/>
          <w:lang w:val="en-US" w:eastAsia="zh-CN"/>
        </w:rPr>
        <w:t xml:space="preserve">. Associations of circulating inflammatory cytokines with </w:t>
      </w:r>
      <w:r>
        <w:rPr>
          <w:rFonts w:hint="eastAsia" w:ascii="Times New Roman" w:hAnsi="Times New Roman" w:cs="Times New Roman"/>
          <w:color w:val="auto"/>
          <w:sz w:val="20"/>
          <w:szCs w:val="20"/>
          <w:lang w:val="en-US" w:eastAsia="zh-CN"/>
        </w:rPr>
        <w:t>female pelvic organ prolapse</w:t>
      </w:r>
      <w:r>
        <w:rPr>
          <w:rFonts w:hint="default" w:ascii="Times New Roman" w:hAnsi="Times New Roman" w:cs="Times New Roman"/>
          <w:color w:val="auto"/>
          <w:sz w:val="20"/>
          <w:szCs w:val="20"/>
          <w:lang w:val="en-US" w:eastAsia="zh-CN"/>
        </w:rPr>
        <w:t xml:space="preserve"> according to Mendelian randomization analysis.</w:t>
      </w:r>
    </w:p>
    <w:tbl>
      <w:tblPr>
        <w:tblStyle w:val="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1228"/>
        <w:gridCol w:w="2787"/>
        <w:gridCol w:w="2520"/>
        <w:gridCol w:w="1442"/>
        <w:gridCol w:w="1956"/>
        <w:gridCol w:w="580"/>
        <w:gridCol w:w="843"/>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default" w:ascii="Times New Roman" w:hAnsi="Times New Roman" w:eastAsia="宋体" w:cs="Times New Roman"/>
                <w:b/>
                <w:bCs/>
                <w:color w:val="000000"/>
                <w:kern w:val="0"/>
                <w:sz w:val="18"/>
                <w:szCs w:val="18"/>
                <w:lang w:val="en-US" w:eastAsia="zh-CN" w:bidi="ar"/>
              </w:rPr>
              <w:t>ID*</w:t>
            </w:r>
          </w:p>
        </w:tc>
        <w:tc>
          <w:tcPr>
            <w:tcW w:w="433" w:type="pct"/>
            <w:tcBorders>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default" w:ascii="Times New Roman" w:hAnsi="Times New Roman" w:eastAsia="宋体" w:cs="Times New Roman"/>
                <w:b/>
                <w:bCs/>
                <w:color w:val="000000"/>
                <w:kern w:val="0"/>
                <w:sz w:val="18"/>
                <w:szCs w:val="18"/>
                <w:lang w:val="en-US" w:eastAsia="zh-CN" w:bidi="ar"/>
              </w:rPr>
              <w:t>Protein</w:t>
            </w:r>
          </w:p>
        </w:tc>
        <w:tc>
          <w:tcPr>
            <w:tcW w:w="983" w:type="pct"/>
            <w:tcBorders>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kern w:val="0"/>
                <w:sz w:val="18"/>
                <w:szCs w:val="18"/>
                <w:lang w:val="en-US" w:eastAsia="zh-CN" w:bidi="ar"/>
              </w:rPr>
            </w:pPr>
            <w:r>
              <w:rPr>
                <w:rFonts w:hint="default" w:ascii="Times New Roman" w:hAnsi="Times New Roman" w:eastAsia="宋体" w:cs="Times New Roman"/>
                <w:b/>
                <w:bCs/>
                <w:color w:val="000000"/>
                <w:kern w:val="0"/>
                <w:sz w:val="18"/>
                <w:szCs w:val="18"/>
                <w:lang w:val="en-US" w:eastAsia="zh-CN" w:bidi="ar"/>
              </w:rPr>
              <w:t>Full name</w:t>
            </w:r>
          </w:p>
        </w:tc>
        <w:tc>
          <w:tcPr>
            <w:tcW w:w="889" w:type="pct"/>
            <w:tcBorders>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lang w:val="en-US"/>
              </w:rPr>
            </w:pPr>
            <w:r>
              <w:rPr>
                <w:rFonts w:hint="default" w:ascii="Times New Roman" w:hAnsi="Times New Roman" w:eastAsia="宋体" w:cs="Times New Roman"/>
                <w:b/>
                <w:bCs/>
                <w:color w:val="000000"/>
                <w:kern w:val="0"/>
                <w:sz w:val="18"/>
                <w:szCs w:val="18"/>
                <w:lang w:val="en-US" w:eastAsia="zh-CN" w:bidi="ar"/>
              </w:rPr>
              <w:t>Biomarker</w:t>
            </w:r>
            <w:r>
              <w:rPr>
                <w:rFonts w:hint="eastAsia" w:ascii="Times New Roman" w:hAnsi="Times New Roman" w:eastAsia="宋体" w:cs="Times New Roman"/>
                <w:b/>
                <w:bCs/>
                <w:color w:val="000000"/>
                <w:kern w:val="0"/>
                <w:sz w:val="18"/>
                <w:szCs w:val="18"/>
                <w:vertAlign w:val="superscript"/>
                <w:lang w:val="en-US" w:eastAsia="zh-CN" w:bidi="ar"/>
              </w:rPr>
              <w:t>#</w:t>
            </w:r>
          </w:p>
        </w:tc>
        <w:tc>
          <w:tcPr>
            <w:tcW w:w="509" w:type="pct"/>
            <w:tcBorders>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default" w:ascii="Times New Roman" w:hAnsi="Times New Roman" w:eastAsia="宋体" w:cs="Times New Roman"/>
                <w:b/>
                <w:bCs/>
                <w:color w:val="000000"/>
                <w:kern w:val="0"/>
                <w:sz w:val="18"/>
                <w:szCs w:val="18"/>
                <w:lang w:val="en-US" w:eastAsia="zh-CN" w:bidi="ar"/>
              </w:rPr>
              <w:t>Group</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eastAsia" w:ascii="Times New Roman" w:hAnsi="Times New Roman" w:eastAsia="宋体" w:cs="Times New Roman"/>
                <w:b/>
                <w:bCs/>
                <w:color w:val="000000"/>
                <w:kern w:val="0"/>
                <w:sz w:val="18"/>
                <w:szCs w:val="18"/>
                <w:lang w:val="en-US" w:eastAsia="zh-CN" w:bidi="ar"/>
              </w:rPr>
              <w:t>M</w:t>
            </w:r>
            <w:r>
              <w:rPr>
                <w:rFonts w:hint="default" w:ascii="Times New Roman" w:hAnsi="Times New Roman" w:eastAsia="宋体" w:cs="Times New Roman"/>
                <w:b/>
                <w:bCs/>
                <w:color w:val="000000"/>
                <w:kern w:val="0"/>
                <w:sz w:val="18"/>
                <w:szCs w:val="18"/>
                <w:lang w:val="en-US" w:eastAsia="zh-CN" w:bidi="ar"/>
              </w:rPr>
              <w:t>ethod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default" w:ascii="Times New Roman" w:hAnsi="Times New Roman" w:eastAsia="宋体" w:cs="Times New Roman"/>
                <w:b/>
                <w:bCs/>
                <w:color w:val="000000"/>
                <w:kern w:val="0"/>
                <w:sz w:val="18"/>
                <w:szCs w:val="18"/>
                <w:lang w:val="en-US" w:eastAsia="zh-CN" w:bidi="ar"/>
              </w:rPr>
              <w:t>No. of IVs</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rPr>
            </w:pPr>
            <w:r>
              <w:rPr>
                <w:rFonts w:hint="default" w:ascii="Times New Roman" w:hAnsi="Times New Roman" w:eastAsia="宋体" w:cs="Times New Roman"/>
                <w:b/>
                <w:bCs/>
                <w:color w:val="000000"/>
                <w:kern w:val="0"/>
                <w:sz w:val="18"/>
                <w:szCs w:val="18"/>
                <w:lang w:val="en-US" w:eastAsia="zh-CN" w:bidi="ar"/>
              </w:rPr>
              <w:t>P</w:t>
            </w:r>
            <w:r>
              <w:rPr>
                <w:rFonts w:hint="eastAsia" w:ascii="Times New Roman" w:hAnsi="Times New Roman" w:eastAsia="宋体" w:cs="Times New Roman"/>
                <w:b/>
                <w:bCs/>
                <w:color w:val="000000"/>
                <w:kern w:val="0"/>
                <w:sz w:val="18"/>
                <w:szCs w:val="18"/>
                <w:lang w:val="en-US" w:eastAsia="zh-CN" w:bidi="ar"/>
              </w:rPr>
              <w:t xml:space="preserve"> </w:t>
            </w:r>
            <w:r>
              <w:rPr>
                <w:rFonts w:hint="default" w:ascii="Times New Roman" w:hAnsi="Times New Roman" w:eastAsia="宋体" w:cs="Times New Roman"/>
                <w:b/>
                <w:bCs/>
                <w:color w:val="000000"/>
                <w:kern w:val="0"/>
                <w:sz w:val="18"/>
                <w:szCs w:val="18"/>
                <w:lang w:val="en-US" w:eastAsia="zh-CN" w:bidi="ar"/>
              </w:rPr>
              <w:t>value</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rPr>
            </w:pPr>
            <w:r>
              <w:rPr>
                <w:rFonts w:hint="default" w:ascii="Times New Roman" w:hAnsi="Times New Roman" w:eastAsia="宋体" w:cs="Times New Roman"/>
                <w:b/>
                <w:bCs/>
                <w:color w:val="000000"/>
                <w:kern w:val="0"/>
                <w:sz w:val="18"/>
                <w:szCs w:val="18"/>
                <w:lang w:val="en-US" w:eastAsia="zh-CN" w:bidi="ar"/>
              </w:rPr>
              <w:t>OR (95% 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2770_51</w:t>
            </w:r>
          </w:p>
        </w:tc>
        <w:tc>
          <w:tcPr>
            <w:tcW w:w="433" w:type="pct"/>
            <w:tcBorders>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CCL1</w:t>
            </w:r>
          </w:p>
        </w:tc>
        <w:tc>
          <w:tcPr>
            <w:tcW w:w="983" w:type="pct"/>
            <w:tcBorders>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C-C motif chemokine ligand 1</w:t>
            </w:r>
          </w:p>
        </w:tc>
        <w:tc>
          <w:tcPr>
            <w:tcW w:w="889" w:type="pct"/>
            <w:tcBorders>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I-309, P500, SCYA1, SISe, TCA3</w:t>
            </w:r>
          </w:p>
        </w:tc>
        <w:tc>
          <w:tcPr>
            <w:tcW w:w="509" w:type="pct"/>
            <w:tcBorders>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Chemokine</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21</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0.0025</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b w:val="0"/>
                <w:bCs w:val="0"/>
                <w:sz w:val="16"/>
                <w:szCs w:val="16"/>
              </w:rPr>
            </w:pPr>
            <w:r>
              <w:rPr>
                <w:rFonts w:hint="default" w:ascii="Times New Roman" w:hAnsi="Times New Roman" w:eastAsia="宋体" w:cs="Times New Roman"/>
                <w:b w:val="0"/>
                <w:bCs w:val="0"/>
                <w:i w:val="0"/>
                <w:iCs w:val="0"/>
                <w:color w:val="000000"/>
                <w:kern w:val="0"/>
                <w:sz w:val="16"/>
                <w:szCs w:val="16"/>
                <w:u w:val="none"/>
                <w:lang w:val="en-US" w:eastAsia="zh-CN" w:bidi="ar"/>
              </w:rPr>
              <w:t>1.002(1.001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2900_53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CCL14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14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CC-1, CC-3, CKB1, HCC-1, HCC-1(1-74), HCC-1/HCC-3, HCC-3, MCIF, NCC-2, NCC2, SCYA14, SCYL2, SY14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0.9945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18289_16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CCL15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15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HCC-2, HMRP-2B, LKN-1 LKN1, MIP-1 delta, MIP-1D, MIP-5, MRP-2B, NCC-3, NCC3, SCYA15, SCYL3, SY15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56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0.4710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3519_3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CCL17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17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A-152E5.3, ABCD-2 SCYA17, TARC</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41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0.4834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3044_3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CCL18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18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AMAC-1, AMAC1, CKb7, DC-CK1, DCCK1, MIP4, PARC, SCYA18</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0.5206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4922_13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CCL19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19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CKb11, ELC, MIP-3b, MIP3B, SCYA19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25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0.9499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1.000(0.998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2578_67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GDCF-2, HC11, HSMCR30, MCAF, MCP-1, MCP1, SCYA2, SMC-CF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0.2313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1.003(0.998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2468_62</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CCL20</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C-C motif chemokine ligand 20</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CKb4, Exodus, LARC, MIP-3-alpha, MIP-3a, MIP3A, SCYA20, ST38</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Chemokine</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0.0170</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b/>
                <w:bCs/>
                <w:i w:val="0"/>
                <w:iCs w:val="0"/>
                <w:color w:val="000000"/>
                <w:kern w:val="0"/>
                <w:sz w:val="16"/>
                <w:szCs w:val="16"/>
                <w:u w:val="none"/>
                <w:lang w:val="en-US" w:eastAsia="zh-CN" w:bidi="ar"/>
              </w:rPr>
              <w:t>1.010(1.002 to 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2516_57</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CCL21</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21</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6Ckine, CKb9, ECL, SCYA21, SLC, TCA4</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50</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0.6204</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3028_36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CCL23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C-C motif chemokine ligand 23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CK-BETA-8, CKb8, Ckb-8, Ckb-8-1, MIP-3, MIP3, MPIF-1, SCYA23, hmrp-2a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rPr>
            </w:pPr>
            <w:r>
              <w:rPr>
                <w:rFonts w:hint="default" w:ascii="Times New Roman" w:hAnsi="Times New Roman" w:eastAsia="宋体" w:cs="Times New Roman"/>
                <w:i w:val="0"/>
                <w:iCs w:val="0"/>
                <w:color w:val="000000"/>
                <w:kern w:val="0"/>
                <w:sz w:val="16"/>
                <w:szCs w:val="16"/>
                <w:u w:val="none"/>
                <w:lang w:val="en-US" w:eastAsia="zh-CN" w:bidi="ar"/>
              </w:rPr>
              <w:t>38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0.9305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eastAsia"/>
                <w:sz w:val="16"/>
                <w:szCs w:val="16"/>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eastAsiaTheme="minorEastAsia"/>
                <w:sz w:val="16"/>
                <w:szCs w:val="16"/>
                <w:lang w:val="en-US" w:eastAsia="zh-CN"/>
              </w:rPr>
            </w:pPr>
            <w:r>
              <w:rPr>
                <w:rFonts w:hint="default" w:ascii="Times New Roman" w:hAnsi="Times New Roman" w:eastAsia="宋体" w:cs="Times New Roman"/>
                <w:i w:val="0"/>
                <w:iCs w:val="0"/>
                <w:color w:val="000000"/>
                <w:kern w:val="0"/>
                <w:sz w:val="16"/>
                <w:szCs w:val="16"/>
                <w:u w:val="none"/>
                <w:lang w:val="en-US" w:eastAsia="zh-CN" w:bidi="ar"/>
              </w:rPr>
              <w:t>4128_27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CCL24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24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Ckb-6, MPIF-2, MPIF2, SCYA24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0.2162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1.003(0.998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2705_5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CCL25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25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Ck beta-15, Ckb15, SCYA25, TECK, TECKvar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0.1418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9168_31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CCL26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26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IMAC, MIP-4a, MIP-4alpha, SCYA26, TSC-1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0.4081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1.002(0.997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2192_63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CCL27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27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ALP CTACK CTAK, ESKINE, ILC, PESKY SCYA27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0.7790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1.001(0.993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2890_59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CCL28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28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CCK1, MEC, SCYA28</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0.1964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0.999(0.997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3040_59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GOS19-1, LD78ALPHA, MIP-1-alpha, MIP1A, SCYA3</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0.5760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2783_18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CCL3L1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C-C motif chemokine ligand 3 like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464.2, D17S1718, G0S19-2, LD78, LD78beta(1-70), LD78BETA, MIP1AP, SCYA3L, SCYA3L1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0.0060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1.003(1.001 to 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2781_63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CCL4L1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4 like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AT744.2.CCI4L.LAG-1.LAG1.MIP-1-beta.SCYA4L, SCYA4L1, SCYA4L2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0.6600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1.001(0.998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5480_49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D17S136E. RANTES, SCYA5, SIS-delta, SISd, TCP228, eoCP</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0.4332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0.999(0.997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4886_3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FIC, MARC, MCP-3, MCP3, NC28, SCYA6, SCYA7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0.4863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trPr>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13748_4</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CCL8</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C-C motif chemokine ligand 8</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HC14, MCP-2, MCP2, SCYA10, SCYA8</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82</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0.9291</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4141_79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C7, IFI10, INP10, IP-10, SCYB10, crg-2, glP-10, mob-1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0.8957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1.000(0.997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3038_9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H174, I-TAC, IP-9, IP9, SCYB11, SCYB9B, b-R1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0.5273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3516_60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IRH, PBSF, SCYB12, SDF1, TLSF, TPAR1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0.8106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3487_32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ANGIE, ANGIE2, BCA-1, BCA1, BLC, BLR1L, SCYB13</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0.2816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1.003(0.998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5730_60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CXCL14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C-X-C motif chemokine ligand 14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BMAC, BRAK, KEC, , KS1, MIP-2, MIP2G, NJAC, SCYB14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&lt;0.0001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1.003(1.002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2436_49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CXCLG16, SR-PSOX, SRPSOX</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0.4076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9495_10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CXCL17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17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DMC, Dcip1, UNQ473, VCC-1, VCC1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0.0978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1.003(0.999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2979_8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ENA-78, SCYB5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0.8873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1.000(0.996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3495_15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CKA-3, GCP-2, GCP2, SCYB6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0.8576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3447_64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GCP-1, GCP1, IL8, LECTLUCTLYNAP MDNCEMONAP NAFNAP_1, NAP1SCYB8</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0.3119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0.997(0.992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11593_21</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CXCL9</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C-X-C motif chemokine ligand 9</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CMK, Humig, MIG, SCYB9, crg-10</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Chemokine</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0.1206</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1.005(0.999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18389_11</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IFNA1</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1</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IFL, IFN, IFN-ALPHA, IFN-alphaD, lelF D</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0.1269</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1.004(0.999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14128_121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IFN-alphaC</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0.2436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1.008(0.995 to 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7180_114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IFNA14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14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IFN-alphaH, LEIF2H</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0.4218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1.003(0.996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3497_13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r>
              <w:rPr>
                <w:rFonts w:hint="default" w:ascii="Times New Roman" w:hAnsi="Times New Roman" w:eastAsia="宋体" w:cs="Times New Roman"/>
                <w:b/>
                <w:bCs/>
                <w:i w:val="0"/>
                <w:iCs w:val="0"/>
                <w:color w:val="000000"/>
                <w:kern w:val="0"/>
                <w:sz w:val="16"/>
                <w:szCs w:val="16"/>
                <w:u w:val="none"/>
                <w:lang w:val="en-US" w:eastAsia="zh-CN" w:bidi="ar"/>
              </w:rPr>
              <w:t xml:space="preserve"> alpha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IFN-alpha-2, IFN-alphaA, IFNA, IFNA2BC</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0.0219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1.003(1.000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15404_3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IFNA21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r>
              <w:rPr>
                <w:rFonts w:hint="default" w:ascii="Times New Roman" w:hAnsi="Times New Roman" w:eastAsia="宋体" w:cs="Times New Roman"/>
                <w:b/>
                <w:bCs/>
                <w:i w:val="0"/>
                <w:iCs w:val="0"/>
                <w:color w:val="000000"/>
                <w:kern w:val="0"/>
                <w:sz w:val="16"/>
                <w:szCs w:val="16"/>
                <w:u w:val="none"/>
                <w:lang w:val="en-US" w:eastAsia="zh-CN" w:bidi="ar"/>
              </w:rPr>
              <w:t xml:space="preserve"> alpha 21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IFN-alphal, LelF F, lelF-F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0.0338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0.994(0.989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15405_23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IFN-alpha4a, INFA4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1.003(0.996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6210_100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r>
              <w:rPr>
                <w:rFonts w:hint="default" w:ascii="Times New Roman" w:hAnsi="Times New Roman" w:eastAsia="宋体" w:cs="Times New Roman"/>
                <w:b/>
                <w:bCs/>
                <w:i w:val="0"/>
                <w:iCs w:val="0"/>
                <w:color w:val="000000"/>
                <w:kern w:val="0"/>
                <w:sz w:val="16"/>
                <w:szCs w:val="16"/>
                <w:u w:val="none"/>
                <w:lang w:val="en-US" w:eastAsia="zh-CN" w:bidi="ar"/>
              </w:rPr>
              <w:t xml:space="preserve"> alpha 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IFN-alpha-5, IFN-alphaG, INA5, INFA5, lelF G</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0.0116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1.004(1.001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5714_88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IFN-alphak</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0.1130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1.007(0.998 to 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14129_1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IFN-alphaJ, IFNA-J</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0.5800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1.004(0.991 to 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9183_7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IFNAR1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alpha and beta receptor subunit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AVP, IFN-alpha-REC, IFNAR, IFNBR, IFRC, IMD106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0.7062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15346_31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IFNG</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gamma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IFG, IFl, IMD69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0.3084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1.002(0.998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5825_49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IFNGR1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gamma receptor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CD119, IFNGR, IMD27A, IMD27B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0.5448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1.002(0.996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9180_6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IFNGR2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r>
              <w:rPr>
                <w:rFonts w:hint="default" w:ascii="Times New Roman" w:hAnsi="Times New Roman" w:eastAsia="宋体" w:cs="Times New Roman"/>
                <w:b/>
                <w:bCs/>
                <w:i w:val="0"/>
                <w:iCs w:val="0"/>
                <w:color w:val="000000"/>
                <w:kern w:val="0"/>
                <w:sz w:val="16"/>
                <w:szCs w:val="16"/>
                <w:u w:val="none"/>
                <w:lang w:val="en-US" w:eastAsia="zh-CN" w:bidi="ar"/>
              </w:rPr>
              <w:t xml:space="preserve"> gamma receptor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AF-1, IFGR2, IFNGT1, IMD28</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0.0181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0.996(0.994 to 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4396_54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lambda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IL-29, IL29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0.7525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0.998(0.983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4397_26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lambda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IFNL2a, IFNL3a, IL-28A, IL28A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0.0975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1.008(0.998 to 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5713_9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lambda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IFN-lambda-3, IFN-lambda-4, IL-28B, IL-28C, IL28B, IL28C</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0.1081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0.995(0.988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7192_37</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IFNLR1</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r>
              <w:rPr>
                <w:rFonts w:hint="default" w:ascii="Times New Roman" w:hAnsi="Times New Roman" w:eastAsia="宋体" w:cs="Times New Roman"/>
                <w:i w:val="0"/>
                <w:iCs w:val="0"/>
                <w:color w:val="000000"/>
                <w:kern w:val="0"/>
                <w:sz w:val="16"/>
                <w:szCs w:val="16"/>
                <w:u w:val="none"/>
                <w:lang w:val="en-US" w:eastAsia="zh-CN" w:bidi="ar"/>
              </w:rPr>
              <w:t xml:space="preserve"> lambda receptor 1</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CRF2/12, IFNLR, IL-28R1, IL28RA, LICR2</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Interferon</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0.1441</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1.004(0.999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7196_21</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IFNW1</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r>
              <w:rPr>
                <w:rFonts w:hint="default" w:ascii="Times New Roman" w:hAnsi="Times New Roman" w:eastAsia="宋体" w:cs="Times New Roman"/>
                <w:b/>
                <w:bCs/>
                <w:i w:val="0"/>
                <w:iCs w:val="0"/>
                <w:color w:val="000000"/>
                <w:kern w:val="0"/>
                <w:sz w:val="16"/>
                <w:szCs w:val="16"/>
                <w:u w:val="none"/>
                <w:lang w:val="en-US" w:eastAsia="zh-CN" w:bidi="ar"/>
              </w:rPr>
              <w:t xml:space="preserve"> omega 1</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IFNw</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Interferon</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0.0182</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0.996(0.993 to 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2773_50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CSIF, GVHDS, IL-10, IL10A, TGIF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0.0087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1.020(1.005 to 1.035)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10344_334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IL10RA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10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CD210, CD210a, CDW210A, HIL-10R, IL-10R1, IL10R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0.0011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1.002(1.001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2631_50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IL10RB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10 receptor subunit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CDW210B, CRF2-4, CRFB4, D21S58, D21S66, IBD25, IL-10R2, IL-10RB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0.0097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1.004(1.001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4493_92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AGIF, IL-11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0.0170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1.009(1.002 to 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18216_22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IL11RA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11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CRSDA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0.5958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13733_5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IL12B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12B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CLMF, CLMF2, IL-12B, IMD28, IMD29, NKSF, NKSF2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0.4929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2632_5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IL12RB1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12 receptor subunit beta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CD212, IL-12R-BETA1, IL12RB, IMD30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0.0433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1.004(1.000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3815_14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IL12RB2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12 receptor subunit beta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IL12RB2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0.6291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0.997(0.984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3072_4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IL-13, P600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0.4045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1.002(0.997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2633_52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IL13RA1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13 receptor subunit alpha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CD213A1, CT19, IL-13Ra, NR4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0.2959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1.006(0.995 to 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19568_17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0.3301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0.998(0.993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3445_53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IL15RA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15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CD215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0.0535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1.005(1.000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2774_10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LCF, NIL16, PRIL16, prIL-16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0.2116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9170_24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IL17A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17A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CTLA-8, CTLA8, IL-17, IL-17A, IL17, ILA17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&lt;0.0001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1.005(1.004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9255_5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IL17C</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17C</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CX2IL-17C</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0.2053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1.002(0.999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4136_40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IL17D</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17D</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IL-17D</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0.7757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1.001(0.994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i w:val="0"/>
                <w:iCs w:val="0"/>
                <w:color w:val="000000"/>
                <w:kern w:val="0"/>
                <w:sz w:val="16"/>
                <w:szCs w:val="16"/>
                <w:u w:val="none"/>
                <w:lang w:val="en-US" w:eastAsia="zh-CN" w:bidi="ar"/>
              </w:rPr>
            </w:pP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i w:val="0"/>
                <w:iCs w:val="0"/>
                <w:color w:val="000000"/>
                <w:kern w:val="0"/>
                <w:sz w:val="16"/>
                <w:szCs w:val="16"/>
                <w:u w:val="none"/>
                <w:lang w:val="en-US" w:eastAsia="zh-CN" w:bidi="ar"/>
              </w:rPr>
            </w:pP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2992_59</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IL17RA</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 receptor A</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CANDF5, CD217, CDw217, IL-17RA, IL17RIMD51, hIL-17R</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52</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0.6105</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6262_14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IL17RB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 receptor 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CRL4, EVI27, IL17BR, IL17RH1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0.5316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0.998(0.993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5468_67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IL17RC</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 receptor C</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CANDF9, IL17-RL, IL17RL</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0.0687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1.007(0.999 to 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3376_49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IL17RD</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17 receptor D</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HH18, IL-17RD, IL17RLM, SEF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0.7673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5661_15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IGIF, IL-18, IL-1g, IL1F4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63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&lt;0.0001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1.004(1.003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3073_51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IL18BP</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18 binding protein</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FVH, IL18BPa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0.2925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1.002(0.998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2993_1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IL18RAP</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18 receptor accessory protein</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ACPL, CD218b, CDw218b, IL-18R-betaIL-18RACP, IL-18Rbeta, IL-1R-7, IL-1R7, IL-1RACPL, IL18RB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0.1372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1.005(0.998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3035_80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IL-10C, MDA1, NG.1 ZMDA1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0.2960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1.000(1.000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4851_25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1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IL-1 alpha, IL-1A, IL1, IL1-ALPHA, IL1F1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0.0474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0.989(0.978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3037_62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 IL1-BETA, IL1F2, IL1beta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0.0521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1.002(1.000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17356_34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IL1F10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family member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FIL1-theta, FKSG75, IL-1HY2, IL-38, IL1-theta, IL1HY2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0.7657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1.002(0.989 to 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18375_28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IL36RN</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36 receptor antagonist</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FIL1, FIL1(DELTA), FIL1D, IL-36Ra, IL1F5, IL1HY1, IL1L1, IL1RP3, IL36RA, PSORPPSORS14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0.0334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1.001(1.000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14133_93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receptor type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CD1216, CDW1216, IL-1R-2, IL-1RT-2, IL-1RT2, IL1R2C, IL1RB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0.4705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i w:val="0"/>
                <w:iCs w:val="0"/>
                <w:color w:val="000000"/>
                <w:kern w:val="0"/>
                <w:sz w:val="16"/>
                <w:szCs w:val="16"/>
                <w:u w:val="none"/>
                <w:lang w:val="en-US" w:eastAsia="zh-CN" w:bidi="ar"/>
              </w:rPr>
            </w:pP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i w:val="0"/>
                <w:iCs w:val="0"/>
                <w:color w:val="000000"/>
                <w:kern w:val="0"/>
                <w:sz w:val="16"/>
                <w:szCs w:val="16"/>
                <w:u w:val="none"/>
                <w:lang w:val="en-US" w:eastAsia="zh-CN" w:bidi="ar"/>
              </w:rPr>
            </w:pP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5082_51</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IL1RAPL2</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receptor accessory protein like 2</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IL-1R9, IL1R9, IL1RAPL-2, TIGIRR-1</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1.003(0.996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4234_8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IL1RL1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receptor like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DER4, FIT-1, IL33R, ST2, ST2L, ST2V, T1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0.1152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2994_71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IL1RL2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receptor like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IL-1Rrp2, IL-36R, IL1R-rp2, IL1RRP2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0.7990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1.000(0.997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5353_89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IL1RN</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1 receptor antagonist</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DIRA, ICIL-1RA, IL-1RN, IL-1ra, IL-1ra3, IL1F3, IL1RA, IRAP, MVCD4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0.4460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1.001(0.998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3070_1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 TCGF, lymphokine</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0.9272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1.000(0.995 to 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4138_25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IL-20, IL10D, ZCYTO10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1.004(0.995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5085_18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IL20RA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20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CRF2-8, IL-20R-alpha, IL-20R1, IL-20RA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0.3145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1.001(0.999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13435_31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IL20RB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20 receptor subunit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DIRS1, FNDC6, IL-20R2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0.1702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0.997(0.992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7124_18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CVID11, IL-21, Za11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0.9346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9366_54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IL21R</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21 receptor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CD360, IMD56, NILR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0.0087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1.016(1.004 to 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2778_10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IL-21, IL-22, IL-D110, IL-TIF, ILTIF, TIFIL-23, TIFa, zcyto18</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0.1907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0.993(0.983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3620_67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IL22RA1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22 receptor subunit alpha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CRF2-9, IL22R, IL22R1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0.0890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1.004(0.999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5087_5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IL22RA2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22 receptor subunit alpha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CRF2-10, CRF2-S1, CRF2X, IL-22BP, IL-22Ralpha-2, IL-22RA2, ZCYTOR16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0.9395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5088_175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IL23R</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23 receptor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PSORS7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0.0190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1.002(1.000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4137_57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IL17E</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0.6683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0.999(0.997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16760_2</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IL26</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26</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AK155, IL-26</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109</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0.6444</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5132_71</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IL27RA</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27 receptor subunit alpha</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CRL1, IL-27RA, IL27R, TCCR, WSX1, zcytor1</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53</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0.6565</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3151_6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CD25, IDDM10, IL2R, IMD41, TCGFR, p55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0.7040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0.998(0.986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9343_16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IL2RB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 receptor subunit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CD122, IL15RB, IMD63, P70-75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0.3716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1.001(0.999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2634_2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IL2RG</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2 receptor subunit gamma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CD132, CIDX, IL-2RG, IMD4, P64, SCIDX, SCIDX1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0.7469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0.998(0.983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4717_55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 MCGF, MULTI-CSF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0.1097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1.005(0.999 to 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10455_196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0.9033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1.000(0.997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8273_84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IL31RA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31 receptor 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CRL, CRL3, GLM-R, GLMR, GPL, IL-31RA, PICA2, PRO21384, hGLM-R, zcytoR17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1.003(0.996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9051_13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IL-32alpha IL-32beta, IL-32delta, IL-32gamma, NK4, TAIF, TAIFa, TAIFb, TAIFC, TAIFd</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1.002(0.997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4556_10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IL34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34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C16orf77, IL-34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0.0039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1.002(1.001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14150_7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IL36A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36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FIL1, FIL1(EPSILON), FIL1E, IL-1F6, IL1(EPSILON), IL1F6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0.6840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14149_9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IL36B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36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FIL1, FIL1-(ETA), FIL1H, FILI-(ETA), IL-1F8, IL1H2, IL1-ETA, IL1F8, IL1H2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0.0790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1.005(0.999 to 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9117_4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IL36G</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36 gamma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IL-1F9, IL-1H1, IL-1RP2, IL1E, IL1F9, IL1H1, IL1RP2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1.004(0.994 to 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13744_37</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IL3RA</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3 receptor subunit alpha</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CD123, IL-3R-alpha, IL3R, IL3RAY, IL3RX, IL3RY, hIL-3Ra</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69</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0.9552</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2723_9</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IL37</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37</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FIL1, FIL1(ZETA), FIL1Z, IL-1F7, IL-1H, IL-1H4, IL-1RP1, IL-23, IL-37, IL1F7, IL1H4, IL1RP1</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17</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0.0032</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1.003(1.001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2906_55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BCGF-1, BCGF1, BSF-1, BSF1, IL-4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0.2100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1.006(0.996 to 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11071_1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EDF, IL-5, TRF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0.0198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1.008(1.001 to 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13686_2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IL5RA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5 receptor subunit alpha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CD125, CDw125, HSIL5R3, IL5R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0.9886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4673_13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BSF-2, BSF2, CDF, HGF HSF, IFN-beta-2, IFNB2, IL-6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&lt;0.0001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1.014(1.012 to 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15602_43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IL6R</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6 receptor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CD126, HIES5, IL-1Ra, IL-6R, IL-6R-1, IL-6RAIL6Q, IL6QTL, IL6RA, IL6RQ, gp80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121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0.5380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2620_4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IL6ST</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6 cytokine family signal transducer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CD130, CDW130, GP130, HIES4, HIES4A, HIES4B, IL6RB, IMD94, STWS2, sGP130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0.2859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4140_3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0.1023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1.006(0.999 to 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10851_77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EBI3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Epstein-Barr virus induced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IL-27B, IL27B, IL35B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i w:val="0"/>
                <w:iCs w:val="0"/>
                <w:color w:val="000000"/>
                <w:kern w:val="0"/>
                <w:sz w:val="16"/>
                <w:szCs w:val="16"/>
                <w:u w:val="none"/>
                <w:lang w:val="en-US" w:eastAsia="zh-CN" w:bidi="ar"/>
              </w:rPr>
              <w:t>Interleukin</w:t>
            </w:r>
            <w:r>
              <w:rPr>
                <w:rFonts w:hint="default" w:ascii="Times New Roman" w:hAnsi="Times New Roman" w:eastAsia="宋体" w:cs="Times New Roman"/>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0.3222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1.000(1.000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11137_43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CSF2RB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colony stimulating factor 2 receptor subunit beta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CD131, CDw131, IL3RB, IL5RB, SMDP5, betaGMR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0.0055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1.004(1.001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5089_11</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IL7R</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7 receptor</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CD127, CDW127, IL-7R-alpha, IL7Ralpha, IL7RA, IL7Ralpha, ILRA, IMD104, Inc-IL7R, SIL-7R</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Interleukin</w:t>
            </w:r>
            <w:r>
              <w:rPr>
                <w:rFonts w:hint="default" w:ascii="Times New Roman" w:hAnsi="Times New Roman" w:eastAsia="宋体" w:cs="Times New Roman"/>
                <w:b/>
                <w:bCs/>
                <w:i w:val="0"/>
                <w:iCs w:val="0"/>
                <w:color w:val="000000"/>
                <w:kern w:val="0"/>
                <w:sz w:val="16"/>
                <w:szCs w:val="16"/>
                <w:u w:val="none"/>
                <w:lang w:val="en-US" w:eastAsia="zh-CN" w:bidi="ar"/>
              </w:rPr>
              <w:t xml:space="preserve"> </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0.0166</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1.007(1.001 to 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4703_87</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LTA</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lymphotoxin alpha</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LT, TNFB, TNFSF1, TNLG1E</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0.0170</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1.012(1.002 to 1.022)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5936_53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DIF TNF-alpha, TNFA, TNFSF2, TNLG1F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0.7706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0.998(0.988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14009_65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TNFAIP3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alpha induced protein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A20, AIFBL1, AISBL, OTUD7C, TNFA1P2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0.4414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0.999(0.995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5036_50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TNFAIP6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alpha induced protein 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TSG-6, TSG6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86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0.3662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12563_2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TNFAIP8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alpha induced protein 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GG2-1, MDC-3.13, NDED, SCC-S2, SCCS2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0.3842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0.998(0.995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4832_75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TNFRSF10A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10a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APO2, CD261, DR4, TRAILR-1, TRAILR1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0.3566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1.005(0.995 to 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8529_1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TNFRSF10B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10b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CD262, DR5, KILLER, TRICK2, KILLER/DR5, TRAIL-R2, TRAILR2, TRICK2A, TRICK2B, TRICKB, ZTNFR9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0.0002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0.993(0.989 to 0.996)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14121_24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TNFRSF10D</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10d</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CD264, DCR2, TRAIL-R4, TRAILR4, TRUNDD</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0.0322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1.004(1.000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2704_74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TNFRSF13B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13B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CD267, CVID, CVID2, IGAD2, RYZN, TACI, NFRSF14B</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0.2681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1.002(0.998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5383_14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TNFRSF13C</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13C</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BAFF-R, BAFFR, BROMIX, CD268, CVID4, prolixin</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0.0373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1.003(1.000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5352_11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ATAR, CD270, HVEA, HVEM, LIGHTR, TR2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0.1606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1.004(0.998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2665_26</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TNFRSF17</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17</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BCM, BCMA, CD269, TNFRSF13A</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16</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0.5519</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1.001(0.998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11837_7</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TNFRSF18</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18</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AITR, CD357, ENERGEN GITR, GITR-D</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0.3287</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1.005(0.995 to 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5131_15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INF receptor superfamily member 19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TAJ, TAJ-alpha, TRADE, TROY</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0.7755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0.999(0.991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2654_19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TNFRSF1A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1A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CD120a, FPFTBP1, TNF-R, TNF-R-I, TNF-R55, TNFAR, TNFR1, TNFR55, TNFR60, p55, p55-R, p60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0.8208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1.000(0.997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3152_57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TNFRSF1B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INF receptor superfamily member 1B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CD120b, TBPII, p75, TNFR2,TNF-R-IITNF-R75, TNFBR, TNFR1B, TNFR80, p75TNFR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0.0003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1.005(1.002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5404_53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TNFRSF21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21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BM-018, CD358, DR6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0.7595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1.000(0.997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3730_81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TNFRSF4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receptor superfamily member 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ACT35, CD134, IMD16, OX40, TXGP1L</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0.0807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1.010(0.999 to 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5070_76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TNFRSF6B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6b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DCR3, DJ583P15.1.1, M68, M68E, TR6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0.0025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1.013(1.004 to 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2605_49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CD30, D1S166E, Ki-1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0.0130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1.003(1.001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14025_18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TNFRSF9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receptor superfamily member 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4-1BB, CD137, CDW137, ILA, IMD109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0.0155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1.008(1.002 to 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8833_20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TNFSF10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superfamily member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APO2L, Apo-2L, CD253, TANCR, TL2, TNLG6/TRAIL</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0.0094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1.007(1.002 to 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5939_42</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TNFSF12</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TNF superfamily member 12</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APO3L, DR3LG, TNLG4A, TWEAK</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12</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0.8957</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1.000(0.997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14061_48</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TNFSF11</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superfamily member 11</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CD254, ODFOPGL, OPTB2, RANKL, TNLG6B, TRANCE, hRANKL2, sOdf</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0.0304</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1.004(1.000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3059_50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TNFSF13B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superfamily member 13b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BAFF, BLYS, CD257, DTL, TALL-1, TALL1, THANK, TNFSF20, TNLG7A, ZTNF4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0.0875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1.003(1.000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5988_49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TNFSF14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superfamily member 14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CD258, HVEML, LIGHT, LTg</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0.0652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1.003(1.000 to 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2968_61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TNFSF15</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superfamily member 15</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TL1, TL1A, TNLG1B, VEGI, VEGI192A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0.2676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1.005(0.996 to 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2839_2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TNFSF4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TNF superfamily member 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CD134L, CD252, GP34, OX-40L, OX4OL, TNLG2B, TXGP1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0.2959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1.007(0.994 to 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3421_54</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TNFSF8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TNF superfamily member 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CD153, CD30L, CD30LG, TNLG3A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0.1668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1.001(0.999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2599_51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TNFSF9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TNF superfamily member 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4-1BB-L, CD137L TNLG5A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Tumor necrosis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63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eastAsia" w:ascii="Times New Roman" w:hAnsi="Times New Roman" w:eastAsia="宋体" w:cs="Times New Roman"/>
                <w:b/>
                <w:bCs/>
                <w:i w:val="0"/>
                <w:iCs w:val="0"/>
                <w:color w:val="000000"/>
                <w:kern w:val="0"/>
                <w:sz w:val="16"/>
                <w:szCs w:val="16"/>
                <w:u w:val="none"/>
                <w:lang w:val="en-US" w:eastAsia="zh-CN" w:bidi="ar"/>
              </w:rPr>
              <w:t>&lt;0.0001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1.004(1.003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19437_61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VEGFA</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vascular endothelial growth factor A</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MVCD1, VEGF, VPF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0.0804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0.999(0.998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9453_12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VEGFB</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vascular endothelial growth factor B</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VEGFL, VRF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0.7989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1.001(0.992 to 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3132_1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VEGFC</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vascular endothelial growth factor C</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FIt4-L LMPH1D, LMPHM4, VRP</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0.6699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1.002(0.995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13098_93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VEGFD</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vascular endothelial growth factor D</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FIGF, VEGF-D</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0.0685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0.993(0.986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2247_20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PROK1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prokineticin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EGVEGF, PK1, PRK1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0.0354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1.006(1.000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16315_105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FLT1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fms related receptor tyrosine kinase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FLT, FLT-1, VEGFR-1, VEGFR1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0.9988</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1.000(0.997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3651_50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KDR</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kinase insert domain receptor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CD309, FLK1, VEGFR, VEGFR2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0.9454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9359_9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DLK2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delta like noncanonical Notch ligand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DLK-2, EGFL9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0.8194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1.000(0.996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12788_6</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SGF29</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SAGA complex associated factor 29</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CCDC101, STAF36, TDRD29</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0.1174</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1.009(0.998 to 1.019)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16035_8</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FLT4</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fms related receptor tyrosine kinase 4</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CHTD7, FLT-4, FLT41, LMPH1A, LMPHM1, PCLVEGFR-3, VEGFR3</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70</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0.8607</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1.000(0.999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11168_3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MEGF10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multiple EGF like domains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CMYP10A, CMYP10B, EMARDD, SR-F3</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0.1787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1.004(0.998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5509_7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EGF</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epidermal growth factor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HOMG4, URG</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0.0445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0.996(0.993 to 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17454_15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EGFL6</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EGF like domain multiple 6</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MAEG, W80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0.0746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1.003(1.000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12338_27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EGFLAM</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EGF like, fibronectin type lll and laminin G domains</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AGRINL, AGRNL, PIKA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0.5655</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19567_1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EGFR</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epidermal growth factor receptor</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ERBB, ERBB1, ERRP, HER1, NISBD2, PIG61, mENA</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0.3604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1.001(0.998 to 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3486_58</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AFGF, ECGF ECGF-beta, ECGFA, ECGFB, FGF-1, FGF-alpha, FGFA, GLIO703, HBGF-1, HBGF1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0.7582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1.001(0.994 to 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2441_2</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10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LADD3</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0.2023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1.004(0.998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3494_71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17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FGF-13, FGF-17, HH20</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0.2527</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1.002(0.998 to 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2761_49</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18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FGF-18, ZFGF5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0.3974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1.004(0.994 to 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13724_27</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FGF19</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19</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FGF19</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0.7379</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3025_50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BFGF, FGF-2, FGFB, HBGF-2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56</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0.4303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1.000(0.999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2763_66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FGF20</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20</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FGF-20, RHDA2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0.6663</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1.002(0.994 to 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7894_155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HBGF-3, INT2</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0.2276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1.005(0.997 to 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4123_60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FGF4</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fibroblast growth factor 4</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FGF-4, HBGF-4, HST, HST-1, HSTF-1 HSTF1, K-FGF, KFGF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0.0222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0.976(0.956 to 0.997)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3065_65</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FGF5</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5</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HBGF-5, Smag-82, TCMGLY</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0.1162</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1.005(0.999 to 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4130_71</w:t>
            </w:r>
          </w:p>
        </w:tc>
        <w:tc>
          <w:tcPr>
            <w:tcW w:w="43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FGF6</w:t>
            </w:r>
          </w:p>
        </w:tc>
        <w:tc>
          <w:tcPr>
            <w:tcW w:w="983"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6</w:t>
            </w:r>
          </w:p>
        </w:tc>
        <w:tc>
          <w:tcPr>
            <w:tcW w:w="88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HBGF-6, HST2</w:t>
            </w:r>
          </w:p>
        </w:tc>
        <w:tc>
          <w:tcPr>
            <w:tcW w:w="50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2</w:t>
            </w:r>
          </w:p>
        </w:tc>
        <w:tc>
          <w:tcPr>
            <w:tcW w:w="297"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0.6698</w:t>
            </w:r>
          </w:p>
        </w:tc>
        <w:tc>
          <w:tcPr>
            <w:tcW w:w="629" w:type="pct"/>
            <w:tcBorders>
              <w:top w:val="single" w:color="auto" w:sz="4" w:space="0"/>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0.997(0.983 to 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4487_1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FGF7</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7</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HBGF-7, KGF</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0.3936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0.996(0.986 to 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6237_11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FGFRL1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fibroblast growth factor receptor like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FGFR-5, FGFR5, FHFR</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3</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0.0520</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heme="minorHAnsi" w:hAnsiTheme="minorHAnsi" w:eastAsiaTheme="minorEastAsia" w:cstheme="minorBidi"/>
                <w:kern w:val="2"/>
                <w:sz w:val="16"/>
                <w:szCs w:val="16"/>
                <w:lang w:val="en-US" w:eastAsia="zh-CN" w:bidi="ar-SA"/>
              </w:rPr>
            </w:pPr>
            <w:r>
              <w:rPr>
                <w:rFonts w:hint="default" w:ascii="Times New Roman" w:hAnsi="Times New Roman" w:eastAsia="宋体" w:cs="Times New Roman"/>
                <w:i w:val="0"/>
                <w:iCs w:val="0"/>
                <w:color w:val="000000"/>
                <w:kern w:val="0"/>
                <w:sz w:val="16"/>
                <w:szCs w:val="16"/>
                <w:u w:val="none"/>
                <w:lang w:val="en-US" w:eastAsia="zh-CN" w:bidi="ar"/>
              </w:rPr>
              <w:t>1.007(1.000 to 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2443_10</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FGF8</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fibroblast growth factor 8</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AIGF, FGF-8, HBGF-8, HH6, KAL6</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0.0284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1.003(1.000 to 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15494_11</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FGFBP1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binding protein 1</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FGF-BP, FGF-BP1, FGFBP, FGFBP-1, HBP17</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9</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0.1444</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0.997(0.994 to 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11219_95</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FGFBP3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binding protein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C10orf13, FGF-BP3</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17</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0.1006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1.001(1.000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5532_53</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FGFR1</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 xml:space="preserve">fibroblast growth factor receptor </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BFGFR, CD331, CEK, ECCL, FGFBR, FGFR-1, FLGFLT-2, FLT2, HBGFR, HH2, HRTFDS, KAL2, N-SAM, OGD, bFGF-R-1</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12</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0.9486</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1.000(0.998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3808_76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FGFR2</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fibroblast growth factor receptor 2</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BBDS, BEK, BFR-1, CD332, CEK3, CFD1, ECT1JWS, K-SAM, KGFR, TK14, TK25</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Wald ratio</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1</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0.1881</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i w:val="0"/>
                <w:iCs w:val="0"/>
                <w:color w:val="000000"/>
                <w:kern w:val="0"/>
                <w:sz w:val="16"/>
                <w:szCs w:val="16"/>
                <w:u w:val="none"/>
                <w:lang w:val="en-US" w:eastAsia="zh-CN" w:bidi="ar"/>
              </w:rPr>
              <w:t>0.995(0.987 to 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362"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13669_6</w:t>
            </w:r>
          </w:p>
        </w:tc>
        <w:tc>
          <w:tcPr>
            <w:tcW w:w="43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FGFR3</w:t>
            </w:r>
          </w:p>
        </w:tc>
        <w:tc>
          <w:tcPr>
            <w:tcW w:w="983"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fibroblast growth factor receptor 3</w:t>
            </w:r>
          </w:p>
        </w:tc>
        <w:tc>
          <w:tcPr>
            <w:tcW w:w="88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ACH, CD333, CEK2, HSFGFR3EX, JTK4</w:t>
            </w:r>
          </w:p>
        </w:tc>
        <w:tc>
          <w:tcPr>
            <w:tcW w:w="50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Growth factor</w:t>
            </w:r>
          </w:p>
        </w:tc>
        <w:tc>
          <w:tcPr>
            <w:tcW w:w="690"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Inverse variance weighted</w:t>
            </w:r>
          </w:p>
        </w:tc>
        <w:tc>
          <w:tcPr>
            <w:tcW w:w="204"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8</w:t>
            </w:r>
          </w:p>
        </w:tc>
        <w:tc>
          <w:tcPr>
            <w:tcW w:w="297"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0.6592</w:t>
            </w:r>
          </w:p>
        </w:tc>
        <w:tc>
          <w:tcPr>
            <w:tcW w:w="629" w:type="pct"/>
            <w:tcBorders>
              <w:top w:val="nil"/>
              <w:left w:val="nil"/>
              <w:bottom w:val="nil"/>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6"/>
                <w:szCs w:val="16"/>
                <w:u w:val="none"/>
                <w:lang w:val="en-US" w:eastAsia="zh-CN" w:bidi="ar"/>
              </w:rPr>
            </w:pPr>
            <w:r>
              <w:rPr>
                <w:rFonts w:hint="default" w:ascii="Times New Roman" w:hAnsi="Times New Roman" w:eastAsia="宋体" w:cs="Times New Roman"/>
                <w:i w:val="0"/>
                <w:iCs w:val="0"/>
                <w:color w:val="000000"/>
                <w:kern w:val="0"/>
                <w:sz w:val="16"/>
                <w:szCs w:val="16"/>
                <w:u w:val="none"/>
                <w:lang w:val="en-US" w:eastAsia="zh-CN" w:bidi="ar"/>
              </w:rPr>
              <w:t>0.999(0.995 to 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4988_49</w:t>
            </w:r>
          </w:p>
        </w:tc>
        <w:tc>
          <w:tcPr>
            <w:tcW w:w="43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FGFR4</w:t>
            </w:r>
          </w:p>
        </w:tc>
        <w:tc>
          <w:tcPr>
            <w:tcW w:w="983"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fibroblast growth factor receptor 4</w:t>
            </w:r>
          </w:p>
        </w:tc>
        <w:tc>
          <w:tcPr>
            <w:tcW w:w="88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CD334, JTK2, TKF</w:t>
            </w:r>
          </w:p>
        </w:tc>
        <w:tc>
          <w:tcPr>
            <w:tcW w:w="50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Growth factor</w:t>
            </w:r>
          </w:p>
        </w:tc>
        <w:tc>
          <w:tcPr>
            <w:tcW w:w="690"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left"/>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Inverse variance weighted</w:t>
            </w:r>
          </w:p>
        </w:tc>
        <w:tc>
          <w:tcPr>
            <w:tcW w:w="204"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3</w:t>
            </w:r>
          </w:p>
        </w:tc>
        <w:tc>
          <w:tcPr>
            <w:tcW w:w="297"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0.0038</w:t>
            </w:r>
          </w:p>
        </w:tc>
        <w:tc>
          <w:tcPr>
            <w:tcW w:w="629" w:type="pct"/>
            <w:tcBorders>
              <w:top w:val="nil"/>
              <w:left w:val="nil"/>
              <w:bottom w:val="single" w:color="auto" w:sz="4" w:space="0"/>
              <w:right w:val="nil"/>
            </w:tcBorders>
            <w:vAlign w:val="center"/>
          </w:tcPr>
          <w:p>
            <w:pPr>
              <w:keepNext w:val="0"/>
              <w:keepLines w:val="0"/>
              <w:widowControl/>
              <w:suppressLineNumbers w:val="0"/>
              <w:spacing w:before="0" w:beforeAutospacing="0" w:after="0" w:afterAutospacing="0"/>
              <w:ind w:left="0" w:right="0"/>
              <w:jc w:val="center"/>
              <w:textAlignment w:val="center"/>
              <w:rPr>
                <w:rFonts w:hint="default"/>
                <w:sz w:val="16"/>
                <w:szCs w:val="16"/>
                <w:lang w:val="en-US"/>
              </w:rPr>
            </w:pPr>
            <w:r>
              <w:rPr>
                <w:rFonts w:hint="default" w:ascii="Times New Roman" w:hAnsi="Times New Roman" w:eastAsia="宋体" w:cs="Times New Roman"/>
                <w:b/>
                <w:bCs/>
                <w:i w:val="0"/>
                <w:iCs w:val="0"/>
                <w:color w:val="000000"/>
                <w:kern w:val="0"/>
                <w:sz w:val="16"/>
                <w:szCs w:val="16"/>
                <w:u w:val="none"/>
                <w:lang w:val="en-US" w:eastAsia="zh-CN" w:bidi="ar"/>
              </w:rPr>
              <w:t>1.007(1.002 to 1.012)</w:t>
            </w:r>
          </w:p>
        </w:tc>
      </w:tr>
    </w:tbl>
    <w:p>
      <w:pPr>
        <w:rPr>
          <w:rFonts w:hint="eastAsia" w:ascii="Times New Roman" w:hAnsi="Times New Roman" w:cs="Times New Roman"/>
          <w:color w:val="auto"/>
          <w:sz w:val="20"/>
          <w:szCs w:val="20"/>
          <w:lang w:val="en-US" w:eastAsia="zh-CN"/>
        </w:rPr>
      </w:pPr>
      <w:r>
        <w:rPr>
          <w:rFonts w:hint="eastAsia" w:ascii="Times New Roman" w:hAnsi="Times New Roman" w:cs="Times New Roman"/>
          <w:b w:val="0"/>
          <w:bCs w:val="0"/>
          <w:color w:val="auto"/>
          <w:sz w:val="20"/>
          <w:szCs w:val="20"/>
          <w:lang w:val="en-US" w:eastAsia="zh-CN"/>
        </w:rPr>
        <w:t>*</w:t>
      </w:r>
      <w:r>
        <w:rPr>
          <w:rFonts w:hint="eastAsia" w:ascii="Times New Roman" w:hAnsi="Times New Roman" w:cs="Times New Roman"/>
          <w:b/>
          <w:bCs/>
          <w:color w:val="auto"/>
          <w:sz w:val="20"/>
          <w:szCs w:val="20"/>
          <w:lang w:val="en-US" w:eastAsia="zh-CN"/>
        </w:rPr>
        <w:t xml:space="preserve"> </w:t>
      </w:r>
      <w:r>
        <w:rPr>
          <w:rFonts w:hint="eastAsia" w:ascii="Times New Roman" w:hAnsi="Times New Roman" w:eastAsia="宋体" w:cs="Times New Roman"/>
          <w:b/>
          <w:bCs/>
          <w:i w:val="0"/>
          <w:iCs w:val="0"/>
          <w:color w:val="000000"/>
          <w:kern w:val="0"/>
          <w:sz w:val="16"/>
          <w:szCs w:val="16"/>
          <w:u w:val="none"/>
          <w:lang w:val="en-US" w:eastAsia="zh-CN" w:bidi="ar"/>
        </w:rPr>
        <w:t>Protein ID</w:t>
      </w:r>
      <w:r>
        <w:rPr>
          <w:rFonts w:hint="eastAsia" w:ascii="Times New Roman" w:hAnsi="Times New Roman" w:eastAsia="宋体" w:cs="Times New Roman"/>
          <w:i w:val="0"/>
          <w:iCs w:val="0"/>
          <w:color w:val="000000"/>
          <w:kern w:val="0"/>
          <w:sz w:val="16"/>
          <w:szCs w:val="16"/>
          <w:u w:val="none"/>
          <w:lang w:val="en-US" w:eastAsia="zh-CN" w:bidi="ar"/>
        </w:rPr>
        <w:t xml:space="preserve"> in the Nat Genet. 2021;53(12):1712-21</w:t>
      </w:r>
    </w:p>
    <w:p>
      <w:pP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b/>
          <w:bCs/>
          <w:color w:val="auto"/>
          <w:sz w:val="20"/>
          <w:szCs w:val="20"/>
          <w:vertAlign w:val="superscript"/>
          <w:lang w:val="en-US" w:eastAsia="zh-CN"/>
        </w:rPr>
        <w:t xml:space="preserve"># </w:t>
      </w:r>
      <w:r>
        <w:rPr>
          <w:rFonts w:hint="eastAsia" w:ascii="Times New Roman" w:hAnsi="Times New Roman" w:eastAsia="宋体" w:cs="Times New Roman"/>
          <w:b/>
          <w:bCs/>
          <w:i w:val="0"/>
          <w:iCs w:val="0"/>
          <w:color w:val="000000"/>
          <w:kern w:val="0"/>
          <w:sz w:val="16"/>
          <w:szCs w:val="16"/>
          <w:u w:val="none"/>
          <w:lang w:val="en-US" w:eastAsia="zh-CN" w:bidi="ar"/>
        </w:rPr>
        <w:t xml:space="preserve">Biomarks </w:t>
      </w:r>
      <w:r>
        <w:rPr>
          <w:rFonts w:hint="eastAsia" w:ascii="Times New Roman" w:hAnsi="Times New Roman" w:eastAsia="宋体" w:cs="Times New Roman"/>
          <w:i w:val="0"/>
          <w:iCs w:val="0"/>
          <w:color w:val="000000"/>
          <w:kern w:val="0"/>
          <w:sz w:val="16"/>
          <w:szCs w:val="16"/>
          <w:u w:val="none"/>
          <w:lang w:val="en-US" w:eastAsia="zh-CN" w:bidi="ar"/>
        </w:rPr>
        <w:t>were matched in the GeneAnalytics (OMICS. 2016 Mar;20(3):139-51.).</w:t>
      </w:r>
    </w:p>
    <w:p>
      <w:pPr>
        <w:keepNext w:val="0"/>
        <w:keepLines w:val="0"/>
        <w:widowControl/>
        <w:suppressLineNumbers w:val="0"/>
        <w:jc w:val="left"/>
        <w:rPr>
          <w:highlight w:val="yellow"/>
        </w:rPr>
      </w:pPr>
      <w:r>
        <w:rPr>
          <w:rFonts w:hint="default" w:ascii="Times New Roman" w:hAnsi="Times New Roman" w:eastAsia="宋体" w:cs="Times New Roman"/>
          <w:color w:val="000000"/>
          <w:kern w:val="0"/>
          <w:sz w:val="18"/>
          <w:szCs w:val="18"/>
          <w:lang w:val="en-US" w:eastAsia="zh-CN" w:bidi="ar"/>
        </w:rPr>
        <w:t>Footnotes:</w:t>
      </w:r>
      <w:r>
        <w:rPr>
          <w:rFonts w:hint="eastAsia" w:ascii="Times New Roman" w:hAnsi="Times New Roman" w:eastAsia="宋体" w:cs="Times New Roman"/>
          <w:color w:val="000000"/>
          <w:kern w:val="0"/>
          <w:sz w:val="18"/>
          <w:szCs w:val="18"/>
          <w:lang w:val="en-US" w:eastAsia="zh-CN" w:bidi="ar"/>
        </w:rPr>
        <w:t>https://download.decode.is/form/folder/proteomics</w:t>
      </w:r>
    </w:p>
    <w:p>
      <w:pPr>
        <w:rPr>
          <w:rFonts w:hint="eastAsia" w:ascii="Times New Roman" w:hAnsi="Times New Roman" w:cs="Times New Roman"/>
          <w:color w:val="auto"/>
          <w:sz w:val="20"/>
          <w:szCs w:val="20"/>
          <w:lang w:val="en-US" w:eastAsia="zh-CN"/>
        </w:rPr>
      </w:pPr>
    </w:p>
    <w:p>
      <w:pPr>
        <w:rPr>
          <w:rFonts w:hint="eastAsia" w:ascii="Times New Roman" w:hAnsi="Times New Roman" w:cs="Times New Roman"/>
          <w:color w:val="auto"/>
          <w:sz w:val="20"/>
          <w:szCs w:val="20"/>
          <w:lang w:val="en-US" w:eastAsia="zh-CN"/>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URWPalladioL-Bold">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beforeLines="150" w:beforeAutospacing="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b/>
                              <w:bCs/>
                              <w:sz w:val="24"/>
                              <w:szCs w:val="40"/>
                            </w:rPr>
                            <w:fldChar w:fldCharType="begin"/>
                          </w:r>
                          <w:r>
                            <w:rPr>
                              <w:b/>
                              <w:bCs/>
                              <w:sz w:val="24"/>
                              <w:szCs w:val="40"/>
                            </w:rPr>
                            <w:instrText xml:space="preserve"> PAGE  \* MERGEFORMAT </w:instrText>
                          </w:r>
                          <w:r>
                            <w:rPr>
                              <w:b/>
                              <w:bCs/>
                              <w:sz w:val="24"/>
                              <w:szCs w:val="40"/>
                            </w:rPr>
                            <w:fldChar w:fldCharType="separate"/>
                          </w:r>
                          <w:r>
                            <w:rPr>
                              <w:b/>
                              <w:bCs/>
                              <w:sz w:val="24"/>
                              <w:szCs w:val="40"/>
                            </w:rPr>
                            <w:t>1</w:t>
                          </w:r>
                          <w:r>
                            <w:rPr>
                              <w:b/>
                              <w:bCs/>
                              <w:sz w:val="24"/>
                              <w:szCs w:val="4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rPr>
                        <w:b/>
                        <w:bCs/>
                        <w:sz w:val="24"/>
                        <w:szCs w:val="40"/>
                      </w:rPr>
                      <w:fldChar w:fldCharType="begin"/>
                    </w:r>
                    <w:r>
                      <w:rPr>
                        <w:b/>
                        <w:bCs/>
                        <w:sz w:val="24"/>
                        <w:szCs w:val="40"/>
                      </w:rPr>
                      <w:instrText xml:space="preserve"> PAGE  \* MERGEFORMAT </w:instrText>
                    </w:r>
                    <w:r>
                      <w:rPr>
                        <w:b/>
                        <w:bCs/>
                        <w:sz w:val="24"/>
                        <w:szCs w:val="40"/>
                      </w:rPr>
                      <w:fldChar w:fldCharType="separate"/>
                    </w:r>
                    <w:r>
                      <w:rPr>
                        <w:b/>
                        <w:bCs/>
                        <w:sz w:val="24"/>
                        <w:szCs w:val="40"/>
                      </w:rPr>
                      <w:t>1</w:t>
                    </w:r>
                    <w:r>
                      <w:rPr>
                        <w:b/>
                        <w:bCs/>
                        <w:sz w:val="24"/>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OWM2MzNlZjk4NTNhNjlmZThmZjcxNGE1Y2Q0ZmIifQ=="/>
  </w:docVars>
  <w:rsids>
    <w:rsidRoot w:val="46873673"/>
    <w:rsid w:val="037C3067"/>
    <w:rsid w:val="05C30230"/>
    <w:rsid w:val="06FF2956"/>
    <w:rsid w:val="07E321EF"/>
    <w:rsid w:val="09FE7BD3"/>
    <w:rsid w:val="0A1D1456"/>
    <w:rsid w:val="0B1F0E32"/>
    <w:rsid w:val="0B872100"/>
    <w:rsid w:val="11DA36A8"/>
    <w:rsid w:val="13F82359"/>
    <w:rsid w:val="1B451788"/>
    <w:rsid w:val="1C3F0F38"/>
    <w:rsid w:val="212F3C06"/>
    <w:rsid w:val="23017B1C"/>
    <w:rsid w:val="238C519F"/>
    <w:rsid w:val="27143590"/>
    <w:rsid w:val="27702CB8"/>
    <w:rsid w:val="334E540B"/>
    <w:rsid w:val="36C04206"/>
    <w:rsid w:val="374A0BB4"/>
    <w:rsid w:val="384E5066"/>
    <w:rsid w:val="3A741333"/>
    <w:rsid w:val="3BFD6876"/>
    <w:rsid w:val="3EAE7B25"/>
    <w:rsid w:val="40AC192B"/>
    <w:rsid w:val="43603CCC"/>
    <w:rsid w:val="43ED791A"/>
    <w:rsid w:val="44A6372D"/>
    <w:rsid w:val="45DF64E4"/>
    <w:rsid w:val="46873673"/>
    <w:rsid w:val="4EA32048"/>
    <w:rsid w:val="50CD1BBF"/>
    <w:rsid w:val="54330635"/>
    <w:rsid w:val="5A475AB4"/>
    <w:rsid w:val="5C873D72"/>
    <w:rsid w:val="619C1A0A"/>
    <w:rsid w:val="66C043ED"/>
    <w:rsid w:val="67CE4356"/>
    <w:rsid w:val="67EC7089"/>
    <w:rsid w:val="6A3F7D1E"/>
    <w:rsid w:val="6A8458A1"/>
    <w:rsid w:val="6B216618"/>
    <w:rsid w:val="6C0F1C48"/>
    <w:rsid w:val="6E4F6185"/>
    <w:rsid w:val="7139265D"/>
    <w:rsid w:val="78354CD8"/>
    <w:rsid w:val="7A396C5D"/>
    <w:rsid w:val="7C81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autoRedefine/>
    <w:semiHidden/>
    <w:qFormat/>
    <w:uiPriority w:val="0"/>
  </w:style>
  <w:style w:type="table" w:default="1" w:styleId="8">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1">
    <w:name w:val="Strong"/>
    <w:basedOn w:val="10"/>
    <w:autoRedefine/>
    <w:qFormat/>
    <w:uiPriority w:val="0"/>
    <w:rPr>
      <w:b/>
    </w:rPr>
  </w:style>
  <w:style w:type="character" w:styleId="12">
    <w:name w:val="Hyperlink"/>
    <w:basedOn w:val="10"/>
    <w:autoRedefine/>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4778</Words>
  <Characters>30045</Characters>
  <Lines>0</Lines>
  <Paragraphs>0</Paragraphs>
  <TotalTime>2</TotalTime>
  <ScaleCrop>false</ScaleCrop>
  <LinksUpToDate>false</LinksUpToDate>
  <CharactersWithSpaces>32998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2023-07-05T02:00:00Z</dcterms:created>
  <dc:creator>黄筱雨</dc:creator>
  <cp:lastModifiedBy>A星人</cp:lastModifiedBy>
  <dcterms:modified xsi:type="dcterms:W3CDTF">2024-02-14T12:07:38Z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0A38607C26024702AE552F38953FAADF_13</vt:lpwstr>
  </property>
</Properties>
</file>