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0A3BDA" w14:textId="77777777" w:rsidR="00522D79" w:rsidRPr="00D11AE6" w:rsidRDefault="00522D79" w:rsidP="00183B06">
      <w:pPr>
        <w:ind w:firstLine="709"/>
        <w:jc w:val="center"/>
        <w:rPr>
          <w:rFonts w:ascii="Arial" w:hAnsi="Arial" w:cs="Arial"/>
          <w:b/>
          <w:bCs/>
          <w:sz w:val="40"/>
          <w:szCs w:val="40"/>
          <w:lang w:val="en-US"/>
        </w:rPr>
      </w:pPr>
      <w:bookmarkStart w:id="0" w:name="_Hlk150868976"/>
      <w:r w:rsidRPr="00D11AE6">
        <w:rPr>
          <w:rFonts w:ascii="Arial" w:hAnsi="Arial" w:cs="Arial"/>
          <w:b/>
          <w:bCs/>
          <w:sz w:val="40"/>
          <w:szCs w:val="40"/>
          <w:lang w:val="en-US"/>
        </w:rPr>
        <w:t xml:space="preserve">β-CPP </w:t>
      </w:r>
      <w:proofErr w:type="spellStart"/>
      <w:r w:rsidRPr="00D11AE6">
        <w:rPr>
          <w:rFonts w:ascii="Arial" w:hAnsi="Arial" w:cs="Arial"/>
          <w:b/>
          <w:bCs/>
          <w:sz w:val="40"/>
          <w:szCs w:val="40"/>
          <w:lang w:val="en-US"/>
        </w:rPr>
        <w:t>bioceramics</w:t>
      </w:r>
      <w:proofErr w:type="spellEnd"/>
      <w:r w:rsidRPr="00D11AE6">
        <w:rPr>
          <w:rFonts w:ascii="Arial" w:hAnsi="Arial" w:cs="Arial"/>
          <w:b/>
          <w:bCs/>
          <w:sz w:val="40"/>
          <w:szCs w:val="40"/>
          <w:lang w:val="en-US"/>
        </w:rPr>
        <w:t xml:space="preserve"> in alginate 3D Scaffolds as a new material for mineralized tissue regeneration</w:t>
      </w:r>
    </w:p>
    <w:p w14:paraId="49A6F35C" w14:textId="77777777" w:rsidR="00522D79" w:rsidRPr="00D11AE6" w:rsidRDefault="00522D79" w:rsidP="00183B06">
      <w:pPr>
        <w:ind w:firstLine="709"/>
        <w:jc w:val="center"/>
        <w:rPr>
          <w:rFonts w:ascii="Arial" w:hAnsi="Arial" w:cs="Arial"/>
          <w:b/>
          <w:bCs/>
          <w:sz w:val="20"/>
          <w:szCs w:val="20"/>
          <w:lang w:val="en-US"/>
        </w:rPr>
      </w:pPr>
    </w:p>
    <w:p w14:paraId="24D2F01B" w14:textId="77777777" w:rsidR="00522D79" w:rsidRPr="0065300A" w:rsidRDefault="00522D79" w:rsidP="00183B06">
      <w:pPr>
        <w:ind w:firstLine="709"/>
        <w:jc w:val="center"/>
        <w:rPr>
          <w:rFonts w:ascii="Arial" w:hAnsi="Arial" w:cs="Arial"/>
          <w:sz w:val="28"/>
          <w:szCs w:val="28"/>
        </w:rPr>
      </w:pPr>
      <w:r w:rsidRPr="0065300A">
        <w:rPr>
          <w:rFonts w:ascii="Arial" w:hAnsi="Arial" w:cs="Arial"/>
          <w:b/>
          <w:bCs/>
          <w:sz w:val="28"/>
          <w:szCs w:val="28"/>
        </w:rPr>
        <w:t>Gabriel C. Pinto</w:t>
      </w:r>
      <w:r w:rsidRPr="0065300A">
        <w:rPr>
          <w:rFonts w:ascii="Arial" w:hAnsi="Arial" w:cs="Arial"/>
          <w:b/>
          <w:bCs/>
          <w:sz w:val="28"/>
          <w:szCs w:val="28"/>
          <w:vertAlign w:val="superscript"/>
        </w:rPr>
        <w:t>1,2</w:t>
      </w:r>
      <w:r w:rsidRPr="0065300A">
        <w:rPr>
          <w:rFonts w:ascii="Arial" w:hAnsi="Arial" w:cs="Arial"/>
          <w:sz w:val="28"/>
          <w:szCs w:val="28"/>
        </w:rPr>
        <w:t xml:space="preserve">, Rodolfo D. Piazza </w:t>
      </w:r>
      <w:r w:rsidRPr="0065300A">
        <w:rPr>
          <w:rFonts w:ascii="Arial" w:hAnsi="Arial" w:cs="Arial"/>
          <w:sz w:val="28"/>
          <w:szCs w:val="28"/>
          <w:vertAlign w:val="superscript"/>
        </w:rPr>
        <w:t>2</w:t>
      </w:r>
      <w:r w:rsidRPr="0065300A">
        <w:rPr>
          <w:rFonts w:ascii="Arial" w:hAnsi="Arial" w:cs="Arial"/>
          <w:sz w:val="28"/>
          <w:szCs w:val="28"/>
        </w:rPr>
        <w:t>, Igor P. Mendes Soares</w:t>
      </w:r>
      <w:r w:rsidRPr="0065300A">
        <w:rPr>
          <w:rFonts w:ascii="Arial" w:hAnsi="Arial" w:cs="Arial"/>
          <w:sz w:val="28"/>
          <w:szCs w:val="28"/>
          <w:vertAlign w:val="superscript"/>
        </w:rPr>
        <w:t>3</w:t>
      </w:r>
      <w:r w:rsidRPr="0065300A">
        <w:rPr>
          <w:rFonts w:ascii="Arial" w:hAnsi="Arial" w:cs="Arial"/>
          <w:sz w:val="28"/>
          <w:szCs w:val="28"/>
        </w:rPr>
        <w:t>, Caroline Anselmi</w:t>
      </w:r>
      <w:r w:rsidRPr="0065300A">
        <w:rPr>
          <w:rFonts w:ascii="Arial" w:hAnsi="Arial" w:cs="Arial"/>
          <w:sz w:val="28"/>
          <w:szCs w:val="28"/>
          <w:vertAlign w:val="superscript"/>
        </w:rPr>
        <w:t xml:space="preserve"> 4</w:t>
      </w:r>
      <w:r w:rsidRPr="0065300A">
        <w:rPr>
          <w:rFonts w:ascii="Arial" w:hAnsi="Arial" w:cs="Arial"/>
          <w:sz w:val="28"/>
          <w:szCs w:val="28"/>
        </w:rPr>
        <w:t>, Eduardo T. C. C. e Silva, Carlos</w:t>
      </w:r>
      <w:r w:rsidRPr="0065300A">
        <w:rPr>
          <w:rFonts w:ascii="Arial" w:hAnsi="Arial" w:cs="Arial"/>
          <w:sz w:val="28"/>
          <w:szCs w:val="28"/>
          <w:vertAlign w:val="superscript"/>
        </w:rPr>
        <w:t>1</w:t>
      </w:r>
      <w:r w:rsidRPr="0065300A">
        <w:rPr>
          <w:rFonts w:ascii="Arial" w:hAnsi="Arial" w:cs="Arial"/>
          <w:sz w:val="28"/>
          <w:szCs w:val="28"/>
        </w:rPr>
        <w:t>, A. de Souza Costa</w:t>
      </w:r>
      <w:r w:rsidRPr="0065300A">
        <w:rPr>
          <w:rFonts w:ascii="Arial" w:hAnsi="Arial" w:cs="Arial"/>
          <w:sz w:val="28"/>
          <w:szCs w:val="28"/>
          <w:vertAlign w:val="superscript"/>
        </w:rPr>
        <w:t>5</w:t>
      </w:r>
      <w:r w:rsidRPr="0065300A">
        <w:rPr>
          <w:rFonts w:ascii="Arial" w:hAnsi="Arial" w:cs="Arial"/>
          <w:sz w:val="28"/>
          <w:szCs w:val="28"/>
        </w:rPr>
        <w:t>, Josimeri Hebling</w:t>
      </w:r>
      <w:r w:rsidRPr="0065300A">
        <w:rPr>
          <w:rFonts w:ascii="Arial" w:hAnsi="Arial" w:cs="Arial"/>
          <w:sz w:val="28"/>
          <w:szCs w:val="28"/>
          <w:vertAlign w:val="superscript"/>
        </w:rPr>
        <w:t>4</w:t>
      </w:r>
      <w:r w:rsidRPr="0065300A">
        <w:rPr>
          <w:rFonts w:ascii="Arial" w:hAnsi="Arial" w:cs="Arial"/>
          <w:sz w:val="28"/>
          <w:szCs w:val="28"/>
        </w:rPr>
        <w:t>, Nuno J. O. Silva</w:t>
      </w:r>
      <w:r w:rsidRPr="0065300A">
        <w:rPr>
          <w:rFonts w:ascii="Arial" w:hAnsi="Arial" w:cs="Arial"/>
          <w:sz w:val="28"/>
          <w:szCs w:val="28"/>
          <w:vertAlign w:val="superscript"/>
        </w:rPr>
        <w:t>1</w:t>
      </w:r>
      <w:r w:rsidRPr="0065300A">
        <w:rPr>
          <w:rFonts w:ascii="Arial" w:hAnsi="Arial" w:cs="Arial"/>
          <w:sz w:val="28"/>
          <w:szCs w:val="28"/>
        </w:rPr>
        <w:t xml:space="preserve">, Antônio C. Guastaldi </w:t>
      </w:r>
      <w:r w:rsidRPr="0065300A">
        <w:rPr>
          <w:rFonts w:ascii="Arial" w:hAnsi="Arial" w:cs="Arial"/>
          <w:sz w:val="28"/>
          <w:szCs w:val="28"/>
          <w:vertAlign w:val="superscript"/>
        </w:rPr>
        <w:t>2</w:t>
      </w:r>
      <w:r w:rsidRPr="0065300A">
        <w:rPr>
          <w:rFonts w:ascii="Arial" w:hAnsi="Arial" w:cs="Arial"/>
          <w:sz w:val="28"/>
          <w:szCs w:val="28"/>
        </w:rPr>
        <w:t xml:space="preserve"> </w:t>
      </w:r>
    </w:p>
    <w:p w14:paraId="4B5213ED" w14:textId="77777777" w:rsidR="00522D79" w:rsidRPr="00D11AE6" w:rsidRDefault="00522D79" w:rsidP="00183B06">
      <w:pPr>
        <w:ind w:firstLine="709"/>
        <w:rPr>
          <w:sz w:val="20"/>
          <w:szCs w:val="20"/>
        </w:rPr>
      </w:pPr>
    </w:p>
    <w:p w14:paraId="26D335F4" w14:textId="77777777" w:rsidR="00522D79" w:rsidRPr="00D11AE6" w:rsidRDefault="00522D79" w:rsidP="00183B06">
      <w:pPr>
        <w:spacing w:after="0" w:line="360" w:lineRule="auto"/>
        <w:ind w:firstLine="709"/>
        <w:rPr>
          <w:rFonts w:ascii="Arial" w:hAnsi="Arial" w:cs="Arial"/>
          <w:sz w:val="20"/>
          <w:szCs w:val="20"/>
        </w:rPr>
      </w:pPr>
      <w:r w:rsidRPr="00D11AE6">
        <w:rPr>
          <w:rFonts w:ascii="Arial" w:hAnsi="Arial" w:cs="Arial"/>
          <w:sz w:val="20"/>
          <w:szCs w:val="20"/>
          <w:vertAlign w:val="superscript"/>
        </w:rPr>
        <w:t>1</w:t>
      </w:r>
      <w:r w:rsidRPr="00D11AE6">
        <w:rPr>
          <w:rFonts w:ascii="Arial" w:hAnsi="Arial" w:cs="Arial"/>
          <w:sz w:val="20"/>
          <w:szCs w:val="20"/>
        </w:rPr>
        <w:t xml:space="preserve">CICECO - Aveiro </w:t>
      </w:r>
      <w:proofErr w:type="spellStart"/>
      <w:r w:rsidRPr="00D11AE6">
        <w:rPr>
          <w:rFonts w:ascii="Arial" w:hAnsi="Arial" w:cs="Arial"/>
          <w:sz w:val="20"/>
          <w:szCs w:val="20"/>
        </w:rPr>
        <w:t>Institute</w:t>
      </w:r>
      <w:proofErr w:type="spellEnd"/>
      <w:r w:rsidRPr="00D11AE6">
        <w:rPr>
          <w:rFonts w:ascii="Arial" w:hAnsi="Arial" w:cs="Arial"/>
          <w:sz w:val="20"/>
          <w:szCs w:val="20"/>
        </w:rPr>
        <w:t xml:space="preserve"> </w:t>
      </w:r>
      <w:proofErr w:type="spellStart"/>
      <w:r w:rsidRPr="00D11AE6">
        <w:rPr>
          <w:rFonts w:ascii="Arial" w:hAnsi="Arial" w:cs="Arial"/>
          <w:sz w:val="20"/>
          <w:szCs w:val="20"/>
        </w:rPr>
        <w:t>of</w:t>
      </w:r>
      <w:proofErr w:type="spellEnd"/>
      <w:r w:rsidRPr="00D11AE6">
        <w:rPr>
          <w:rFonts w:ascii="Arial" w:hAnsi="Arial" w:cs="Arial"/>
          <w:sz w:val="20"/>
          <w:szCs w:val="20"/>
        </w:rPr>
        <w:t xml:space="preserve"> </w:t>
      </w:r>
      <w:proofErr w:type="spellStart"/>
      <w:r w:rsidRPr="00D11AE6">
        <w:rPr>
          <w:rFonts w:ascii="Arial" w:hAnsi="Arial" w:cs="Arial"/>
          <w:sz w:val="20"/>
          <w:szCs w:val="20"/>
        </w:rPr>
        <w:t>Materials</w:t>
      </w:r>
      <w:proofErr w:type="spellEnd"/>
      <w:r w:rsidRPr="00D11AE6">
        <w:rPr>
          <w:rFonts w:ascii="Arial" w:hAnsi="Arial" w:cs="Arial"/>
          <w:sz w:val="20"/>
          <w:szCs w:val="20"/>
        </w:rPr>
        <w:t xml:space="preserve">, </w:t>
      </w:r>
      <w:proofErr w:type="spellStart"/>
      <w:r w:rsidRPr="00D11AE6">
        <w:rPr>
          <w:rFonts w:ascii="Arial" w:hAnsi="Arial" w:cs="Arial"/>
          <w:sz w:val="20"/>
          <w:szCs w:val="20"/>
        </w:rPr>
        <w:t>University</w:t>
      </w:r>
      <w:proofErr w:type="spellEnd"/>
      <w:r w:rsidRPr="00D11AE6">
        <w:rPr>
          <w:rFonts w:ascii="Arial" w:hAnsi="Arial" w:cs="Arial"/>
          <w:sz w:val="20"/>
          <w:szCs w:val="20"/>
        </w:rPr>
        <w:t xml:space="preserve"> </w:t>
      </w:r>
      <w:proofErr w:type="spellStart"/>
      <w:r w:rsidRPr="00D11AE6">
        <w:rPr>
          <w:rFonts w:ascii="Arial" w:hAnsi="Arial" w:cs="Arial"/>
          <w:sz w:val="20"/>
          <w:szCs w:val="20"/>
        </w:rPr>
        <w:t>of</w:t>
      </w:r>
      <w:proofErr w:type="spellEnd"/>
      <w:r w:rsidRPr="00D11AE6">
        <w:rPr>
          <w:rFonts w:ascii="Arial" w:hAnsi="Arial" w:cs="Arial"/>
          <w:sz w:val="20"/>
          <w:szCs w:val="20"/>
        </w:rPr>
        <w:t xml:space="preserve"> Aveiro, Portugal</w:t>
      </w:r>
    </w:p>
    <w:p w14:paraId="0FC996BA" w14:textId="77777777" w:rsidR="00522D79" w:rsidRPr="00D11AE6" w:rsidRDefault="00522D79" w:rsidP="00183B06">
      <w:pPr>
        <w:spacing w:after="0" w:line="360" w:lineRule="auto"/>
        <w:ind w:firstLine="709"/>
        <w:rPr>
          <w:rFonts w:ascii="Arial" w:hAnsi="Arial" w:cs="Arial"/>
          <w:sz w:val="20"/>
          <w:szCs w:val="20"/>
          <w:lang w:val="en-US"/>
        </w:rPr>
      </w:pPr>
      <w:r w:rsidRPr="00D11AE6">
        <w:rPr>
          <w:rFonts w:ascii="Arial" w:hAnsi="Arial" w:cs="Arial"/>
          <w:sz w:val="20"/>
          <w:szCs w:val="20"/>
          <w:vertAlign w:val="superscript"/>
          <w:lang w:val="en-US"/>
        </w:rPr>
        <w:t>2</w:t>
      </w:r>
      <w:r w:rsidRPr="00D11AE6">
        <w:rPr>
          <w:rFonts w:ascii="Arial" w:hAnsi="Arial" w:cs="Arial"/>
          <w:sz w:val="20"/>
          <w:szCs w:val="20"/>
          <w:lang w:val="en-US"/>
        </w:rPr>
        <w:t xml:space="preserve"> São Paulo State University (UNESP), Institute of Chemistry, </w:t>
      </w:r>
      <w:proofErr w:type="spellStart"/>
      <w:r w:rsidRPr="00D11AE6">
        <w:rPr>
          <w:rFonts w:ascii="Arial" w:hAnsi="Arial" w:cs="Arial"/>
          <w:sz w:val="20"/>
          <w:szCs w:val="20"/>
          <w:lang w:val="en-US"/>
        </w:rPr>
        <w:t>Araraquara</w:t>
      </w:r>
      <w:proofErr w:type="spellEnd"/>
      <w:r w:rsidRPr="00D11AE6">
        <w:rPr>
          <w:rFonts w:ascii="Arial" w:hAnsi="Arial" w:cs="Arial"/>
          <w:sz w:val="20"/>
          <w:szCs w:val="20"/>
          <w:lang w:val="en-US"/>
        </w:rPr>
        <w:t>, Brazil</w:t>
      </w:r>
    </w:p>
    <w:p w14:paraId="43A8232E" w14:textId="77777777" w:rsidR="00522D79" w:rsidRPr="00D11AE6" w:rsidRDefault="00522D79" w:rsidP="00183B06">
      <w:pPr>
        <w:spacing w:after="0" w:line="360" w:lineRule="auto"/>
        <w:ind w:firstLine="709"/>
        <w:rPr>
          <w:rFonts w:ascii="Arial" w:hAnsi="Arial" w:cs="Arial"/>
          <w:sz w:val="20"/>
          <w:szCs w:val="20"/>
          <w:lang w:val="en-US"/>
        </w:rPr>
      </w:pPr>
      <w:r w:rsidRPr="00D11AE6">
        <w:rPr>
          <w:rFonts w:ascii="Arial" w:hAnsi="Arial" w:cs="Arial"/>
          <w:sz w:val="20"/>
          <w:szCs w:val="20"/>
          <w:vertAlign w:val="superscript"/>
          <w:lang w:val="en-US"/>
        </w:rPr>
        <w:t xml:space="preserve">3 </w:t>
      </w:r>
      <w:r w:rsidRPr="00D11AE6">
        <w:rPr>
          <w:rFonts w:ascii="Arial" w:hAnsi="Arial" w:cs="Arial"/>
          <w:sz w:val="20"/>
          <w:szCs w:val="20"/>
          <w:lang w:val="en-US"/>
        </w:rPr>
        <w:t xml:space="preserve">Department of Dental Materials and Prosthodontics, São Paulo State University (UNESP), School of Dentistry, </w:t>
      </w:r>
      <w:proofErr w:type="spellStart"/>
      <w:r w:rsidRPr="00D11AE6">
        <w:rPr>
          <w:rFonts w:ascii="Arial" w:hAnsi="Arial" w:cs="Arial"/>
          <w:sz w:val="20"/>
          <w:szCs w:val="20"/>
          <w:lang w:val="en-US"/>
        </w:rPr>
        <w:t>Araraquara</w:t>
      </w:r>
      <w:proofErr w:type="spellEnd"/>
      <w:r w:rsidRPr="00D11AE6">
        <w:rPr>
          <w:rFonts w:ascii="Arial" w:hAnsi="Arial" w:cs="Arial"/>
          <w:sz w:val="20"/>
          <w:szCs w:val="20"/>
          <w:lang w:val="en-US"/>
        </w:rPr>
        <w:t>, Brazil.</w:t>
      </w:r>
    </w:p>
    <w:p w14:paraId="245A6BBD" w14:textId="77777777" w:rsidR="00522D79" w:rsidRPr="00D11AE6" w:rsidRDefault="00522D79" w:rsidP="00183B06">
      <w:pPr>
        <w:spacing w:after="0" w:line="360" w:lineRule="auto"/>
        <w:ind w:firstLine="709"/>
        <w:rPr>
          <w:rFonts w:ascii="Arial" w:hAnsi="Arial" w:cs="Arial"/>
          <w:sz w:val="20"/>
          <w:szCs w:val="20"/>
          <w:lang w:val="en-US"/>
        </w:rPr>
      </w:pPr>
      <w:r w:rsidRPr="00D11AE6">
        <w:rPr>
          <w:rFonts w:ascii="Arial" w:hAnsi="Arial" w:cs="Arial"/>
          <w:sz w:val="20"/>
          <w:szCs w:val="20"/>
          <w:vertAlign w:val="superscript"/>
          <w:lang w:val="en-US"/>
        </w:rPr>
        <w:t xml:space="preserve">4 </w:t>
      </w:r>
      <w:r w:rsidRPr="00D11AE6">
        <w:rPr>
          <w:rFonts w:ascii="Arial" w:hAnsi="Arial" w:cs="Arial"/>
          <w:sz w:val="20"/>
          <w:szCs w:val="20"/>
          <w:lang w:val="en-US"/>
        </w:rPr>
        <w:t xml:space="preserve">Department of Morphology, Orthodontics and Pediatric Dentistry, São Paulo State University (UNESP), School of Dentistry, </w:t>
      </w:r>
      <w:proofErr w:type="spellStart"/>
      <w:r w:rsidRPr="00D11AE6">
        <w:rPr>
          <w:rFonts w:ascii="Arial" w:hAnsi="Arial" w:cs="Arial"/>
          <w:sz w:val="20"/>
          <w:szCs w:val="20"/>
          <w:lang w:val="en-US"/>
        </w:rPr>
        <w:t>Araraquara</w:t>
      </w:r>
      <w:proofErr w:type="spellEnd"/>
      <w:r w:rsidRPr="00D11AE6">
        <w:rPr>
          <w:rFonts w:ascii="Arial" w:hAnsi="Arial" w:cs="Arial"/>
          <w:sz w:val="20"/>
          <w:szCs w:val="20"/>
          <w:lang w:val="en-US"/>
        </w:rPr>
        <w:t>, Brazil.</w:t>
      </w:r>
    </w:p>
    <w:p w14:paraId="3BE3E4D6" w14:textId="77777777" w:rsidR="00522D79" w:rsidRPr="00D11AE6" w:rsidRDefault="00522D79" w:rsidP="00183B06">
      <w:pPr>
        <w:spacing w:after="0" w:line="360" w:lineRule="auto"/>
        <w:ind w:firstLine="709"/>
        <w:rPr>
          <w:rFonts w:ascii="Arial" w:hAnsi="Arial" w:cs="Arial"/>
          <w:sz w:val="20"/>
          <w:szCs w:val="20"/>
          <w:lang w:val="en-US"/>
        </w:rPr>
      </w:pPr>
      <w:r w:rsidRPr="00D11AE6">
        <w:rPr>
          <w:rFonts w:ascii="Arial" w:hAnsi="Arial" w:cs="Arial"/>
          <w:sz w:val="20"/>
          <w:szCs w:val="20"/>
          <w:vertAlign w:val="superscript"/>
          <w:lang w:val="en-US"/>
        </w:rPr>
        <w:t xml:space="preserve">5 </w:t>
      </w:r>
      <w:r w:rsidRPr="00D11AE6">
        <w:rPr>
          <w:rFonts w:ascii="Arial" w:hAnsi="Arial" w:cs="Arial"/>
          <w:sz w:val="20"/>
          <w:szCs w:val="20"/>
          <w:lang w:val="en-US"/>
        </w:rPr>
        <w:t xml:space="preserve">Department of Physiology and Pathology, São Paulo State University (UNESP), School of Dentistry, </w:t>
      </w:r>
      <w:proofErr w:type="spellStart"/>
      <w:r w:rsidRPr="00D11AE6">
        <w:rPr>
          <w:rFonts w:ascii="Arial" w:hAnsi="Arial" w:cs="Arial"/>
          <w:sz w:val="20"/>
          <w:szCs w:val="20"/>
          <w:lang w:val="en-US"/>
        </w:rPr>
        <w:t>Araraquara</w:t>
      </w:r>
      <w:proofErr w:type="spellEnd"/>
      <w:r w:rsidRPr="00D11AE6">
        <w:rPr>
          <w:rFonts w:ascii="Arial" w:hAnsi="Arial" w:cs="Arial"/>
          <w:sz w:val="20"/>
          <w:szCs w:val="20"/>
          <w:lang w:val="en-US"/>
        </w:rPr>
        <w:t>, Brazil.</w:t>
      </w:r>
    </w:p>
    <w:bookmarkEnd w:id="0"/>
    <w:p w14:paraId="7825AB11" w14:textId="77777777" w:rsidR="002B6D69" w:rsidRPr="00D11AE6" w:rsidRDefault="002B6D69" w:rsidP="00183B06">
      <w:pPr>
        <w:spacing w:after="0" w:line="360" w:lineRule="auto"/>
        <w:ind w:firstLine="709"/>
        <w:jc w:val="both"/>
        <w:rPr>
          <w:rFonts w:ascii="Arial" w:hAnsi="Arial" w:cs="Arial"/>
          <w:sz w:val="20"/>
          <w:szCs w:val="20"/>
          <w:lang w:val="en-US"/>
        </w:rPr>
      </w:pPr>
    </w:p>
    <w:p w14:paraId="7825AB12" w14:textId="77777777" w:rsidR="002B6D69" w:rsidRPr="00D11AE6" w:rsidRDefault="00391995" w:rsidP="00183B06">
      <w:pPr>
        <w:pStyle w:val="Ttulo3"/>
        <w:numPr>
          <w:ilvl w:val="0"/>
          <w:numId w:val="0"/>
        </w:numPr>
        <w:ind w:firstLine="709"/>
        <w:jc w:val="center"/>
        <w:rPr>
          <w:sz w:val="20"/>
          <w:szCs w:val="20"/>
          <w:lang w:val="en-US"/>
        </w:rPr>
      </w:pPr>
      <w:r w:rsidRPr="00D11AE6">
        <w:rPr>
          <w:sz w:val="20"/>
          <w:szCs w:val="20"/>
          <w:lang w:val="en-US"/>
        </w:rPr>
        <w:t>SUPPLEMENTARY INFORMATION</w:t>
      </w:r>
    </w:p>
    <w:p w14:paraId="7825AB13" w14:textId="77777777" w:rsidR="002B6D69" w:rsidRPr="00D11AE6" w:rsidRDefault="002B6D69" w:rsidP="00183B06">
      <w:pPr>
        <w:spacing w:after="0" w:line="360" w:lineRule="auto"/>
        <w:ind w:firstLine="709"/>
        <w:jc w:val="both"/>
        <w:rPr>
          <w:rFonts w:ascii="Arial" w:hAnsi="Arial" w:cs="Arial"/>
          <w:sz w:val="20"/>
          <w:szCs w:val="20"/>
          <w:lang w:val="en-US"/>
        </w:rPr>
      </w:pPr>
    </w:p>
    <w:p w14:paraId="7825AB14" w14:textId="77777777" w:rsidR="002B6D69" w:rsidRPr="00D11AE6" w:rsidRDefault="00391995" w:rsidP="00183B06">
      <w:pPr>
        <w:pStyle w:val="Ttulo3"/>
        <w:ind w:left="0" w:firstLine="709"/>
        <w:rPr>
          <w:sz w:val="20"/>
          <w:szCs w:val="20"/>
          <w:lang w:val="en-US"/>
        </w:rPr>
      </w:pPr>
      <w:r w:rsidRPr="00D11AE6">
        <w:rPr>
          <w:sz w:val="20"/>
          <w:szCs w:val="20"/>
          <w:lang w:val="en-US"/>
        </w:rPr>
        <w:t>Physicochemical characterization</w:t>
      </w:r>
    </w:p>
    <w:p w14:paraId="7825AB15" w14:textId="77777777" w:rsidR="002B6D69" w:rsidRPr="00D11AE6" w:rsidRDefault="00391995" w:rsidP="00183B06">
      <w:pPr>
        <w:pStyle w:val="Ttulo3"/>
        <w:ind w:left="0" w:firstLine="709"/>
        <w:rPr>
          <w:sz w:val="20"/>
          <w:szCs w:val="20"/>
          <w:lang w:val="en-US"/>
        </w:rPr>
      </w:pPr>
      <w:r w:rsidRPr="00D11AE6">
        <w:rPr>
          <w:sz w:val="20"/>
          <w:szCs w:val="20"/>
          <w:lang w:val="en-US"/>
        </w:rPr>
        <w:t>Fourier-transform infrared spectroscopy (FTIR)</w:t>
      </w:r>
    </w:p>
    <w:p w14:paraId="7825AB16" w14:textId="77777777" w:rsidR="002B6D69" w:rsidRPr="00D11AE6" w:rsidRDefault="002B6D69" w:rsidP="00183B06">
      <w:pPr>
        <w:spacing w:after="0" w:line="360" w:lineRule="auto"/>
        <w:ind w:firstLine="709"/>
        <w:jc w:val="both"/>
        <w:rPr>
          <w:rFonts w:ascii="Arial" w:hAnsi="Arial" w:cs="Arial"/>
          <w:sz w:val="20"/>
          <w:szCs w:val="20"/>
          <w:lang w:val="en-US"/>
        </w:rPr>
      </w:pPr>
    </w:p>
    <w:p w14:paraId="7825AB17" w14:textId="77777777" w:rsidR="002B6D69" w:rsidRPr="00D11AE6" w:rsidRDefault="00391995" w:rsidP="00183B06">
      <w:pPr>
        <w:autoSpaceDE w:val="0"/>
        <w:spacing w:after="0" w:line="360" w:lineRule="auto"/>
        <w:ind w:firstLine="709"/>
        <w:jc w:val="both"/>
        <w:rPr>
          <w:sz w:val="20"/>
          <w:szCs w:val="20"/>
          <w:lang w:val="en-US"/>
        </w:rPr>
      </w:pPr>
      <w:r w:rsidRPr="00D11AE6">
        <w:rPr>
          <w:rFonts w:ascii="Arial" w:hAnsi="Arial" w:cs="Arial"/>
          <w:sz w:val="20"/>
          <w:szCs w:val="20"/>
          <w:lang w:val="en-US"/>
        </w:rPr>
        <w:t>The Absorption Spectrophotometer in the mid-infrared region with Fourier transform - VERTEX 70 from BRUKER with ATR module (through attenuated total reflection (diamond crystal)) was used to obtain information about the composition of the samples in each stage of synthesis of the β-CPP. When collecting the spectra, 64 scans were performed with a resolution of 4 cm</w:t>
      </w:r>
      <w:r w:rsidRPr="00D11AE6">
        <w:rPr>
          <w:rFonts w:ascii="Arial" w:hAnsi="Arial" w:cs="Arial"/>
          <w:sz w:val="20"/>
          <w:szCs w:val="20"/>
          <w:vertAlign w:val="superscript"/>
          <w:lang w:val="en-US"/>
        </w:rPr>
        <w:t xml:space="preserve">-1 </w:t>
      </w:r>
      <w:r w:rsidRPr="00D11AE6">
        <w:rPr>
          <w:rFonts w:ascii="Arial" w:hAnsi="Arial" w:cs="Arial"/>
          <w:sz w:val="20"/>
          <w:szCs w:val="20"/>
          <w:lang w:val="en-US"/>
        </w:rPr>
        <w:t>in the range of 4000 to 400 cm</w:t>
      </w:r>
      <w:r w:rsidRPr="00D11AE6">
        <w:rPr>
          <w:rFonts w:ascii="Arial" w:hAnsi="Arial" w:cs="Arial"/>
          <w:sz w:val="20"/>
          <w:szCs w:val="20"/>
          <w:vertAlign w:val="superscript"/>
          <w:lang w:val="en-US"/>
        </w:rPr>
        <w:t>-1</w:t>
      </w:r>
      <w:r w:rsidRPr="00D11AE6">
        <w:rPr>
          <w:rFonts w:ascii="Arial" w:hAnsi="Arial" w:cs="Arial"/>
          <w:sz w:val="20"/>
          <w:szCs w:val="20"/>
          <w:lang w:val="en-US"/>
        </w:rPr>
        <w:t>.</w:t>
      </w:r>
    </w:p>
    <w:p w14:paraId="7825AB18" w14:textId="77777777" w:rsidR="002B6D69" w:rsidRPr="00D11AE6" w:rsidRDefault="002B6D69" w:rsidP="00183B06">
      <w:pPr>
        <w:spacing w:after="0" w:line="360" w:lineRule="auto"/>
        <w:ind w:firstLine="709"/>
        <w:jc w:val="both"/>
        <w:rPr>
          <w:rFonts w:ascii="Arial" w:hAnsi="Arial" w:cs="Arial"/>
          <w:sz w:val="20"/>
          <w:szCs w:val="20"/>
          <w:lang w:val="en-US"/>
        </w:rPr>
      </w:pPr>
    </w:p>
    <w:p w14:paraId="7825AB19" w14:textId="77777777" w:rsidR="002B6D69" w:rsidRPr="00D11AE6" w:rsidRDefault="00391995" w:rsidP="00183B06">
      <w:pPr>
        <w:pStyle w:val="Ttulo3"/>
        <w:ind w:left="0" w:firstLine="709"/>
        <w:rPr>
          <w:sz w:val="20"/>
          <w:szCs w:val="20"/>
          <w:lang w:val="en-US"/>
        </w:rPr>
      </w:pPr>
      <w:r w:rsidRPr="00D11AE6">
        <w:rPr>
          <w:sz w:val="20"/>
          <w:szCs w:val="20"/>
          <w:lang w:val="en-US"/>
        </w:rPr>
        <w:t>Raman spectroscopy</w:t>
      </w:r>
    </w:p>
    <w:p w14:paraId="7825AB1A" w14:textId="77777777" w:rsidR="002B6D69" w:rsidRPr="00D11AE6" w:rsidRDefault="002B6D69" w:rsidP="00183B06">
      <w:pPr>
        <w:spacing w:after="0" w:line="360" w:lineRule="auto"/>
        <w:ind w:firstLine="709"/>
        <w:jc w:val="both"/>
        <w:rPr>
          <w:rFonts w:ascii="Arial" w:hAnsi="Arial" w:cs="Arial"/>
          <w:sz w:val="20"/>
          <w:szCs w:val="20"/>
          <w:lang w:val="en-US"/>
        </w:rPr>
      </w:pPr>
    </w:p>
    <w:p w14:paraId="7825AB1B" w14:textId="77777777" w:rsidR="002B6D69" w:rsidRPr="00D11AE6" w:rsidRDefault="00391995" w:rsidP="00183B06">
      <w:pPr>
        <w:autoSpaceDE w:val="0"/>
        <w:spacing w:after="0" w:line="360" w:lineRule="auto"/>
        <w:ind w:firstLine="709"/>
        <w:jc w:val="both"/>
        <w:rPr>
          <w:rFonts w:ascii="Arial" w:hAnsi="Arial" w:cs="Arial"/>
          <w:sz w:val="20"/>
          <w:szCs w:val="20"/>
          <w:lang w:val="en-US"/>
        </w:rPr>
      </w:pPr>
      <w:proofErr w:type="gramStart"/>
      <w:r w:rsidRPr="00D11AE6">
        <w:rPr>
          <w:rFonts w:ascii="Arial" w:hAnsi="Arial" w:cs="Arial"/>
          <w:sz w:val="20"/>
          <w:szCs w:val="20"/>
          <w:lang w:val="en-US"/>
        </w:rPr>
        <w:t>In order to</w:t>
      </w:r>
      <w:proofErr w:type="gramEnd"/>
      <w:r w:rsidRPr="00D11AE6">
        <w:rPr>
          <w:rFonts w:ascii="Arial" w:hAnsi="Arial" w:cs="Arial"/>
          <w:sz w:val="20"/>
          <w:szCs w:val="20"/>
          <w:lang w:val="en-US"/>
        </w:rPr>
        <w:t xml:space="preserve"> establish information about the structural, molecular properties, the FT RAMAN Bruker MultiRAM, which has Nd-YAG laser at a wavelength of 1064 nm was used. The spectra were obtained from 500-2500 </w:t>
      </w:r>
      <w:proofErr w:type="gramStart"/>
      <w:r w:rsidRPr="00D11AE6">
        <w:rPr>
          <w:rFonts w:ascii="Arial" w:hAnsi="Arial" w:cs="Arial"/>
          <w:sz w:val="20"/>
          <w:szCs w:val="20"/>
          <w:lang w:val="en-US"/>
        </w:rPr>
        <w:t>cm</w:t>
      </w:r>
      <w:r w:rsidRPr="00D11AE6">
        <w:rPr>
          <w:rFonts w:ascii="Arial" w:hAnsi="Arial" w:cs="Arial"/>
          <w:sz w:val="20"/>
          <w:szCs w:val="20"/>
          <w:vertAlign w:val="superscript"/>
          <w:lang w:val="en-US"/>
        </w:rPr>
        <w:t>-1</w:t>
      </w:r>
      <w:proofErr w:type="gramEnd"/>
      <w:r w:rsidRPr="00D11AE6">
        <w:rPr>
          <w:rFonts w:ascii="Arial" w:hAnsi="Arial" w:cs="Arial"/>
          <w:sz w:val="20"/>
          <w:szCs w:val="20"/>
          <w:lang w:val="en-US"/>
        </w:rPr>
        <w:t>, with an integration time of 60 seconds.</w:t>
      </w:r>
    </w:p>
    <w:p w14:paraId="7825AB1C" w14:textId="77777777" w:rsidR="002B6D69" w:rsidRPr="00D11AE6" w:rsidRDefault="002B6D69" w:rsidP="00183B06">
      <w:pPr>
        <w:spacing w:after="0" w:line="360" w:lineRule="auto"/>
        <w:ind w:firstLine="709"/>
        <w:jc w:val="both"/>
        <w:rPr>
          <w:rFonts w:ascii="Arial" w:hAnsi="Arial" w:cs="Arial"/>
          <w:sz w:val="20"/>
          <w:szCs w:val="20"/>
          <w:lang w:val="en-US"/>
        </w:rPr>
      </w:pPr>
    </w:p>
    <w:p w14:paraId="7825AB1D" w14:textId="77777777" w:rsidR="002B6D69" w:rsidRPr="00D11AE6" w:rsidRDefault="00391995" w:rsidP="00183B06">
      <w:pPr>
        <w:pStyle w:val="Ttulo3"/>
        <w:ind w:left="0" w:firstLine="709"/>
        <w:rPr>
          <w:sz w:val="20"/>
          <w:szCs w:val="20"/>
          <w:lang w:val="en-US"/>
        </w:rPr>
      </w:pPr>
      <w:r w:rsidRPr="00D11AE6">
        <w:rPr>
          <w:sz w:val="20"/>
          <w:szCs w:val="20"/>
          <w:lang w:val="en-US"/>
        </w:rPr>
        <w:t>X-Ray diffraction analysis (XRD)</w:t>
      </w:r>
    </w:p>
    <w:p w14:paraId="7825AB1E" w14:textId="77777777" w:rsidR="002B6D69" w:rsidRPr="00D11AE6" w:rsidRDefault="002B6D69" w:rsidP="00183B06">
      <w:pPr>
        <w:autoSpaceDE w:val="0"/>
        <w:spacing w:after="0" w:line="360" w:lineRule="auto"/>
        <w:ind w:firstLine="709"/>
        <w:jc w:val="both"/>
        <w:rPr>
          <w:rFonts w:ascii="Arial" w:hAnsi="Arial" w:cs="Arial"/>
          <w:b/>
          <w:bCs/>
          <w:sz w:val="20"/>
          <w:szCs w:val="20"/>
          <w:lang w:val="en-US"/>
        </w:rPr>
      </w:pPr>
    </w:p>
    <w:p w14:paraId="7825AB1F" w14:textId="77777777" w:rsidR="002B6D69" w:rsidRPr="00D11AE6" w:rsidRDefault="00391995" w:rsidP="00183B06">
      <w:pPr>
        <w:spacing w:after="0" w:line="360" w:lineRule="auto"/>
        <w:ind w:firstLine="709"/>
        <w:jc w:val="both"/>
        <w:rPr>
          <w:sz w:val="20"/>
          <w:szCs w:val="20"/>
          <w:lang w:val="en-US"/>
        </w:rPr>
      </w:pPr>
      <w:r w:rsidRPr="00D11AE6">
        <w:rPr>
          <w:rFonts w:ascii="Arial" w:hAnsi="Arial" w:cs="Arial"/>
          <w:sz w:val="20"/>
          <w:szCs w:val="20"/>
          <w:lang w:val="en-US"/>
        </w:rPr>
        <w:t>To identify crystalline phases, present in the sintered samples, the X-ray diffractometer SIEMENS model D5005, Cu Kα radiation (α = 1.5418Å) was used. Measurements were made over a scan range of 5 to 60° (2θ), with a scan speed of 0.01° per second. The Determination of crystallinity index (IC) was made by comparison between the amorphous and crystalline region present in 10 a 60 2θ [1].</w:t>
      </w:r>
    </w:p>
    <w:p w14:paraId="7825AB20" w14:textId="77777777" w:rsidR="002B6D69" w:rsidRPr="00D11AE6" w:rsidRDefault="002B6D69" w:rsidP="00183B06">
      <w:pPr>
        <w:autoSpaceDE w:val="0"/>
        <w:spacing w:after="0" w:line="360" w:lineRule="auto"/>
        <w:ind w:firstLine="709"/>
        <w:jc w:val="both"/>
        <w:rPr>
          <w:rFonts w:ascii="Arial" w:hAnsi="Arial" w:cs="Arial"/>
          <w:sz w:val="20"/>
          <w:szCs w:val="20"/>
          <w:lang w:val="en-US"/>
        </w:rPr>
      </w:pPr>
    </w:p>
    <w:p w14:paraId="7825AB21" w14:textId="77777777" w:rsidR="002B6D69" w:rsidRPr="00D11AE6" w:rsidRDefault="00391995" w:rsidP="00183B06">
      <w:pPr>
        <w:pStyle w:val="Ttulo3"/>
        <w:ind w:left="0" w:firstLine="709"/>
        <w:rPr>
          <w:sz w:val="20"/>
          <w:szCs w:val="20"/>
          <w:lang w:val="en-US"/>
        </w:rPr>
      </w:pPr>
      <w:r w:rsidRPr="00D11AE6">
        <w:rPr>
          <w:sz w:val="20"/>
          <w:szCs w:val="20"/>
          <w:lang w:val="en-US"/>
        </w:rPr>
        <w:t>Scanning electron microscopy (SEM) and energy dispersive X-ray spectroscopy (EDS)</w:t>
      </w:r>
    </w:p>
    <w:p w14:paraId="7825AB22" w14:textId="77777777" w:rsidR="002B6D69" w:rsidRPr="00D11AE6" w:rsidRDefault="00391995" w:rsidP="00183B06">
      <w:pPr>
        <w:spacing w:after="0" w:line="360" w:lineRule="auto"/>
        <w:ind w:firstLine="709"/>
        <w:jc w:val="both"/>
        <w:rPr>
          <w:rFonts w:ascii="Arial" w:hAnsi="Arial" w:cs="Arial"/>
          <w:sz w:val="20"/>
          <w:szCs w:val="20"/>
          <w:lang w:val="en-US"/>
        </w:rPr>
      </w:pPr>
      <w:r w:rsidRPr="00D11AE6">
        <w:rPr>
          <w:rFonts w:ascii="Arial" w:hAnsi="Arial" w:cs="Arial"/>
          <w:sz w:val="20"/>
          <w:szCs w:val="20"/>
          <w:lang w:val="en-US"/>
        </w:rPr>
        <w:lastRenderedPageBreak/>
        <w:tab/>
      </w:r>
    </w:p>
    <w:p w14:paraId="7825AB23" w14:textId="77777777" w:rsidR="002B6D69" w:rsidRPr="00D11AE6" w:rsidRDefault="00391995" w:rsidP="00183B06">
      <w:pPr>
        <w:spacing w:after="0" w:line="360" w:lineRule="auto"/>
        <w:ind w:firstLine="709"/>
        <w:jc w:val="both"/>
        <w:rPr>
          <w:sz w:val="20"/>
          <w:szCs w:val="20"/>
          <w:lang w:val="en-US"/>
        </w:rPr>
      </w:pPr>
      <w:r w:rsidRPr="00D11AE6">
        <w:rPr>
          <w:rFonts w:ascii="Arial" w:hAnsi="Arial" w:cs="Arial"/>
          <w:sz w:val="20"/>
          <w:szCs w:val="20"/>
          <w:lang w:val="en-US"/>
        </w:rPr>
        <w:tab/>
        <w:t xml:space="preserve">The SEM and the EDS analysis were performed to the ceramics and the 3D Scaffolds composites, using two microscopes, the JEOL JSM 7500F and the Hitachi SU3800 with a 2.0 kV accelerating voltage and Brucker's 30 mm EDS. This technique was used to analyze the morphological properties of the </w:t>
      </w:r>
      <w:r w:rsidRPr="00D11AE6">
        <w:rPr>
          <w:rFonts w:ascii="Arial" w:hAnsi="Arial" w:cs="Arial"/>
          <w:sz w:val="20"/>
          <w:szCs w:val="20"/>
        </w:rPr>
        <w:t>β</w:t>
      </w:r>
      <w:r w:rsidRPr="00D11AE6">
        <w:rPr>
          <w:rFonts w:ascii="Arial" w:hAnsi="Arial" w:cs="Arial"/>
          <w:sz w:val="20"/>
          <w:szCs w:val="20"/>
          <w:lang w:val="en-US"/>
        </w:rPr>
        <w:t>-CPP and the 3D Scaffolds, as well as to determine the Ca/P ratio of each ceramic samples obtained.</w:t>
      </w:r>
    </w:p>
    <w:p w14:paraId="7825AB24" w14:textId="77777777" w:rsidR="002B6D69" w:rsidRPr="00D11AE6" w:rsidRDefault="002B6D69" w:rsidP="00183B06">
      <w:pPr>
        <w:spacing w:after="0" w:line="360" w:lineRule="auto"/>
        <w:ind w:firstLine="709"/>
        <w:jc w:val="both"/>
        <w:rPr>
          <w:rFonts w:ascii="Arial" w:hAnsi="Arial" w:cs="Arial"/>
          <w:sz w:val="20"/>
          <w:szCs w:val="20"/>
          <w:lang w:val="en-US"/>
        </w:rPr>
      </w:pPr>
    </w:p>
    <w:p w14:paraId="7825AB25" w14:textId="77777777" w:rsidR="002B6D69" w:rsidRPr="00D11AE6" w:rsidRDefault="00391995" w:rsidP="00183B06">
      <w:pPr>
        <w:pStyle w:val="Ttulo3"/>
        <w:ind w:left="0" w:firstLine="709"/>
        <w:rPr>
          <w:sz w:val="20"/>
          <w:szCs w:val="20"/>
          <w:lang w:val="en-US"/>
        </w:rPr>
      </w:pPr>
      <w:r w:rsidRPr="00D11AE6">
        <w:rPr>
          <w:sz w:val="20"/>
          <w:szCs w:val="20"/>
          <w:lang w:val="en-US"/>
        </w:rPr>
        <w:t>Thermogravimetry</w:t>
      </w:r>
    </w:p>
    <w:p w14:paraId="7825AB26" w14:textId="77777777" w:rsidR="002B6D69" w:rsidRPr="00D11AE6" w:rsidRDefault="002B6D69" w:rsidP="00183B06">
      <w:pPr>
        <w:spacing w:after="0" w:line="360" w:lineRule="auto"/>
        <w:ind w:firstLine="709"/>
        <w:jc w:val="both"/>
        <w:rPr>
          <w:rFonts w:ascii="Arial" w:hAnsi="Arial" w:cs="Arial"/>
          <w:sz w:val="20"/>
          <w:szCs w:val="20"/>
          <w:lang w:val="en-US"/>
        </w:rPr>
      </w:pPr>
    </w:p>
    <w:p w14:paraId="7825AB27" w14:textId="77777777" w:rsidR="002B6D69" w:rsidRPr="00D11AE6" w:rsidRDefault="00391995" w:rsidP="00183B06">
      <w:pPr>
        <w:spacing w:after="0" w:line="360" w:lineRule="auto"/>
        <w:ind w:firstLine="709"/>
        <w:jc w:val="both"/>
        <w:rPr>
          <w:sz w:val="20"/>
          <w:szCs w:val="20"/>
        </w:rPr>
      </w:pPr>
      <w:r w:rsidRPr="00D11AE6">
        <w:rPr>
          <w:rFonts w:ascii="Arial" w:hAnsi="Arial" w:cs="Arial"/>
          <w:sz w:val="20"/>
          <w:szCs w:val="20"/>
          <w:lang w:val="en-US"/>
        </w:rPr>
        <w:t xml:space="preserve">The thermal behavior of the synthesized 3D Scaffolds was carried out by thermogravimetric analysis on the METTLER TOLEDO </w:t>
      </w:r>
      <w:proofErr w:type="spellStart"/>
      <w:r w:rsidRPr="00D11AE6">
        <w:rPr>
          <w:rFonts w:ascii="Arial" w:hAnsi="Arial" w:cs="Arial"/>
          <w:sz w:val="20"/>
          <w:szCs w:val="20"/>
          <w:lang w:val="en-US"/>
        </w:rPr>
        <w:t>SCSTARe</w:t>
      </w:r>
      <w:proofErr w:type="spellEnd"/>
      <w:r w:rsidRPr="00D11AE6">
        <w:rPr>
          <w:rFonts w:ascii="Arial" w:hAnsi="Arial" w:cs="Arial"/>
          <w:sz w:val="20"/>
          <w:szCs w:val="20"/>
          <w:lang w:val="en-US"/>
        </w:rPr>
        <w:t xml:space="preserve"> System equipment, with a heating rate of 15 °C </w:t>
      </w:r>
      <w:proofErr w:type="gramStart"/>
      <w:r w:rsidRPr="00D11AE6">
        <w:rPr>
          <w:rFonts w:ascii="Arial" w:hAnsi="Arial" w:cs="Arial"/>
          <w:sz w:val="20"/>
          <w:szCs w:val="20"/>
          <w:lang w:val="en-US"/>
        </w:rPr>
        <w:t>min</w:t>
      </w:r>
      <w:r w:rsidRPr="00D11AE6">
        <w:rPr>
          <w:rFonts w:ascii="Arial" w:hAnsi="Arial" w:cs="Arial"/>
          <w:sz w:val="20"/>
          <w:szCs w:val="20"/>
          <w:vertAlign w:val="superscript"/>
          <w:lang w:val="en-US"/>
        </w:rPr>
        <w:t>-1</w:t>
      </w:r>
      <w:proofErr w:type="gramEnd"/>
      <w:r w:rsidRPr="00D11AE6">
        <w:rPr>
          <w:rFonts w:ascii="Arial" w:hAnsi="Arial" w:cs="Arial"/>
          <w:sz w:val="20"/>
          <w:szCs w:val="20"/>
          <w:lang w:val="en-US"/>
        </w:rPr>
        <w:t>, in the temperature range of 35 to 800 ºC and in a synthetic air atmosphere. 100µm</w:t>
      </w:r>
    </w:p>
    <w:p w14:paraId="7825AB28" w14:textId="77777777" w:rsidR="002B6D69" w:rsidRPr="00D11AE6" w:rsidRDefault="002B6D69" w:rsidP="00183B06">
      <w:pPr>
        <w:spacing w:after="0" w:line="360" w:lineRule="auto"/>
        <w:ind w:firstLine="709"/>
        <w:jc w:val="both"/>
        <w:rPr>
          <w:rFonts w:ascii="Arial" w:hAnsi="Arial" w:cs="Arial"/>
          <w:sz w:val="20"/>
          <w:szCs w:val="20"/>
          <w:lang w:val="en-US"/>
        </w:rPr>
      </w:pPr>
    </w:p>
    <w:p w14:paraId="7825AB29" w14:textId="77777777" w:rsidR="002B6D69" w:rsidRPr="00D11AE6" w:rsidRDefault="00391995" w:rsidP="00183B06">
      <w:pPr>
        <w:pStyle w:val="Ttulo3"/>
        <w:ind w:left="0" w:firstLine="709"/>
        <w:rPr>
          <w:sz w:val="20"/>
          <w:szCs w:val="20"/>
          <w:lang w:val="en-US"/>
        </w:rPr>
      </w:pPr>
      <w:r w:rsidRPr="00D11AE6">
        <w:rPr>
          <w:sz w:val="20"/>
          <w:szCs w:val="20"/>
          <w:lang w:val="en-US"/>
        </w:rPr>
        <w:t>Mechanical compression tests</w:t>
      </w:r>
    </w:p>
    <w:p w14:paraId="7825AB2A" w14:textId="77777777" w:rsidR="002B6D69" w:rsidRPr="00D11AE6" w:rsidRDefault="002B6D69" w:rsidP="00183B06">
      <w:pPr>
        <w:spacing w:after="0" w:line="360" w:lineRule="auto"/>
        <w:ind w:firstLine="709"/>
        <w:jc w:val="both"/>
        <w:rPr>
          <w:rFonts w:ascii="Arial" w:hAnsi="Arial" w:cs="Arial"/>
          <w:sz w:val="20"/>
          <w:szCs w:val="20"/>
          <w:lang w:val="en-US"/>
        </w:rPr>
      </w:pPr>
    </w:p>
    <w:p w14:paraId="7825AB2B" w14:textId="77777777" w:rsidR="002B6D69" w:rsidRPr="00D11AE6" w:rsidRDefault="00391995" w:rsidP="00183B06">
      <w:pPr>
        <w:spacing w:after="0" w:line="360" w:lineRule="auto"/>
        <w:ind w:firstLine="709"/>
        <w:jc w:val="both"/>
        <w:rPr>
          <w:rFonts w:ascii="Arial" w:hAnsi="Arial" w:cs="Arial"/>
          <w:sz w:val="20"/>
          <w:szCs w:val="20"/>
          <w:lang w:val="en-US"/>
        </w:rPr>
      </w:pPr>
      <w:r w:rsidRPr="00D11AE6">
        <w:rPr>
          <w:rFonts w:ascii="Arial" w:hAnsi="Arial" w:cs="Arial"/>
          <w:sz w:val="20"/>
          <w:szCs w:val="20"/>
          <w:lang w:val="en-US"/>
        </w:rPr>
        <w:t>To evaluate the vertical forces exerted and the respective mechanical resistance of the 3D Scaffolds obtained, the mechanical compression tests were carried out by the Instron model 5966 equipment (High Wycombe, Buckinghamshire, United Kingdom). The Scaffolds were submitted a compression range of 0 to 100 N with average dimensions of 16 mm thickness and 2.8mm in diameter.</w:t>
      </w:r>
    </w:p>
    <w:p w14:paraId="7825AB2C" w14:textId="77777777" w:rsidR="002B6D69" w:rsidRPr="00D11AE6" w:rsidRDefault="002B6D69" w:rsidP="00183B06">
      <w:pPr>
        <w:spacing w:after="0" w:line="360" w:lineRule="auto"/>
        <w:ind w:firstLine="709"/>
        <w:jc w:val="both"/>
        <w:rPr>
          <w:rFonts w:ascii="Arial" w:hAnsi="Arial" w:cs="Arial"/>
          <w:sz w:val="20"/>
          <w:szCs w:val="20"/>
          <w:lang w:val="en-US"/>
        </w:rPr>
      </w:pPr>
    </w:p>
    <w:p w14:paraId="7825AB2D" w14:textId="77777777" w:rsidR="002B6D69" w:rsidRPr="00D11AE6" w:rsidRDefault="00391995" w:rsidP="00183B06">
      <w:pPr>
        <w:pStyle w:val="Ttulo3"/>
        <w:ind w:left="0" w:firstLine="709"/>
        <w:rPr>
          <w:sz w:val="20"/>
          <w:szCs w:val="20"/>
          <w:lang w:val="en-US"/>
        </w:rPr>
      </w:pPr>
      <w:r w:rsidRPr="00D11AE6">
        <w:rPr>
          <w:sz w:val="20"/>
          <w:szCs w:val="20"/>
          <w:lang w:val="en-US"/>
        </w:rPr>
        <w:t>Swelling and degradation tests</w:t>
      </w:r>
    </w:p>
    <w:p w14:paraId="7825AB2E" w14:textId="77777777" w:rsidR="002B6D69" w:rsidRPr="00D11AE6" w:rsidRDefault="002B6D69" w:rsidP="00183B06">
      <w:pPr>
        <w:spacing w:after="0" w:line="360" w:lineRule="auto"/>
        <w:ind w:firstLine="709"/>
        <w:jc w:val="both"/>
        <w:rPr>
          <w:rFonts w:ascii="Arial" w:hAnsi="Arial" w:cs="Arial"/>
          <w:sz w:val="20"/>
          <w:szCs w:val="20"/>
          <w:lang w:val="en-US"/>
        </w:rPr>
      </w:pPr>
    </w:p>
    <w:p w14:paraId="7825AB2F" w14:textId="77777777" w:rsidR="002B6D69" w:rsidRPr="00D11AE6" w:rsidRDefault="00391995" w:rsidP="00183B06">
      <w:pPr>
        <w:spacing w:after="0" w:line="360" w:lineRule="auto"/>
        <w:ind w:firstLine="709"/>
        <w:jc w:val="both"/>
        <w:rPr>
          <w:rFonts w:ascii="Arial" w:hAnsi="Arial" w:cs="Arial"/>
          <w:sz w:val="20"/>
          <w:szCs w:val="20"/>
          <w:lang w:val="en-US"/>
        </w:rPr>
      </w:pPr>
      <w:r w:rsidRPr="00D11AE6">
        <w:rPr>
          <w:rFonts w:ascii="Arial" w:hAnsi="Arial" w:cs="Arial"/>
          <w:sz w:val="20"/>
          <w:szCs w:val="20"/>
          <w:lang w:val="en-US"/>
        </w:rPr>
        <w:t xml:space="preserve">The degree of swelling (SW) was determined by the gravimetric method, which consisted of incubating the different dry of the 3D Scaffolds in a specific solution and monitoring the weight as a function of time. Swelling was studied in PBS and calculated according to Equation 1, where Mt corresponds to the mass of the 3D Scaffold at time “t” and </w:t>
      </w:r>
      <w:proofErr w:type="spellStart"/>
      <w:r w:rsidRPr="00D11AE6">
        <w:rPr>
          <w:rFonts w:ascii="Arial" w:hAnsi="Arial" w:cs="Arial"/>
          <w:sz w:val="20"/>
          <w:szCs w:val="20"/>
          <w:lang w:val="en-US"/>
        </w:rPr>
        <w:t>Ms</w:t>
      </w:r>
      <w:proofErr w:type="spellEnd"/>
      <w:r w:rsidRPr="00D11AE6">
        <w:rPr>
          <w:rFonts w:ascii="Arial" w:hAnsi="Arial" w:cs="Arial"/>
          <w:sz w:val="20"/>
          <w:szCs w:val="20"/>
          <w:lang w:val="en-US"/>
        </w:rPr>
        <w:t xml:space="preserve"> to the mass of the dry scaffold [1].</w:t>
      </w:r>
    </w:p>
    <w:p w14:paraId="7825AB30" w14:textId="77777777" w:rsidR="002B6D69" w:rsidRPr="00D11AE6" w:rsidRDefault="002B6D69" w:rsidP="00183B06">
      <w:pPr>
        <w:spacing w:after="0" w:line="360" w:lineRule="auto"/>
        <w:ind w:firstLine="709"/>
        <w:jc w:val="both"/>
        <w:rPr>
          <w:rFonts w:ascii="Arial" w:hAnsi="Arial" w:cs="Arial"/>
          <w:sz w:val="20"/>
          <w:szCs w:val="20"/>
          <w:lang w:val="en-US"/>
        </w:rPr>
      </w:pPr>
    </w:p>
    <w:p w14:paraId="7825AB31" w14:textId="77777777" w:rsidR="002B6D69" w:rsidRPr="00D11AE6" w:rsidRDefault="00391995" w:rsidP="00183B06">
      <w:pPr>
        <w:spacing w:after="0" w:line="360" w:lineRule="auto"/>
        <w:ind w:firstLine="709"/>
        <w:jc w:val="center"/>
        <w:rPr>
          <w:sz w:val="20"/>
          <w:szCs w:val="20"/>
        </w:rPr>
      </w:pPr>
      <m:oMathPara>
        <m:oMathParaPr>
          <m:jc m:val="center"/>
        </m:oMathParaPr>
        <m:oMath>
          <m:r>
            <w:rPr>
              <w:rFonts w:ascii="Cambria Math" w:hAnsi="Cambria Math"/>
              <w:sz w:val="20"/>
              <w:szCs w:val="20"/>
            </w:rPr>
            <m:t xml:space="preserve">GI= </m:t>
          </m:r>
          <m:f>
            <m:fPr>
              <m:ctrlPr>
                <w:rPr>
                  <w:rFonts w:ascii="Cambria Math" w:hAnsi="Cambria Math"/>
                  <w:sz w:val="20"/>
                  <w:szCs w:val="20"/>
                </w:rPr>
              </m:ctrlPr>
            </m:fPr>
            <m:num>
              <m:r>
                <w:rPr>
                  <w:rFonts w:ascii="Cambria Math" w:hAnsi="Cambria Math"/>
                  <w:sz w:val="20"/>
                  <w:szCs w:val="20"/>
                </w:rPr>
                <m:t>Mt-Ms</m:t>
              </m:r>
            </m:num>
            <m:den>
              <m:r>
                <w:rPr>
                  <w:rFonts w:ascii="Cambria Math" w:hAnsi="Cambria Math"/>
                  <w:sz w:val="20"/>
                  <w:szCs w:val="20"/>
                </w:rPr>
                <m:t>Ms</m:t>
              </m:r>
            </m:den>
          </m:f>
          <m:r>
            <w:rPr>
              <w:rFonts w:ascii="Cambria Math" w:hAnsi="Cambria Math"/>
              <w:sz w:val="20"/>
              <w:szCs w:val="20"/>
            </w:rPr>
            <m:t xml:space="preserve"> x 100</m:t>
          </m:r>
        </m:oMath>
      </m:oMathPara>
    </w:p>
    <w:p w14:paraId="7825AB32" w14:textId="77777777" w:rsidR="002B6D69" w:rsidRPr="00D11AE6" w:rsidRDefault="00391995" w:rsidP="00183B06">
      <w:pPr>
        <w:spacing w:after="0" w:line="360" w:lineRule="auto"/>
        <w:ind w:firstLine="709"/>
        <w:jc w:val="both"/>
        <w:rPr>
          <w:rFonts w:ascii="Arial" w:hAnsi="Arial" w:cs="Arial"/>
          <w:sz w:val="20"/>
          <w:szCs w:val="20"/>
          <w:lang w:val="en-US"/>
        </w:rPr>
      </w:pPr>
      <w:r w:rsidRPr="00D11AE6">
        <w:rPr>
          <w:rFonts w:ascii="Arial" w:hAnsi="Arial" w:cs="Arial"/>
          <w:sz w:val="20"/>
          <w:szCs w:val="20"/>
          <w:lang w:val="en-US"/>
        </w:rPr>
        <w:t>Equation 1:</w:t>
      </w:r>
    </w:p>
    <w:p w14:paraId="7825AB33" w14:textId="77777777" w:rsidR="002B6D69" w:rsidRPr="00D11AE6" w:rsidRDefault="002B6D69" w:rsidP="00183B06">
      <w:pPr>
        <w:spacing w:after="0" w:line="360" w:lineRule="auto"/>
        <w:ind w:firstLine="709"/>
        <w:jc w:val="both"/>
        <w:rPr>
          <w:rFonts w:ascii="Arial" w:hAnsi="Arial" w:cs="Arial"/>
          <w:sz w:val="20"/>
          <w:szCs w:val="20"/>
          <w:lang w:val="en-US"/>
        </w:rPr>
      </w:pPr>
    </w:p>
    <w:p w14:paraId="7825AB35" w14:textId="1FDDC52D" w:rsidR="002B6D69" w:rsidRDefault="00391995" w:rsidP="00183B06">
      <w:pPr>
        <w:spacing w:after="0" w:line="360" w:lineRule="auto"/>
        <w:ind w:firstLine="709"/>
        <w:jc w:val="both"/>
        <w:rPr>
          <w:rFonts w:ascii="Arial" w:hAnsi="Arial" w:cs="Arial"/>
          <w:sz w:val="20"/>
          <w:szCs w:val="20"/>
          <w:lang w:val="en-US"/>
        </w:rPr>
      </w:pPr>
      <w:r w:rsidRPr="00D11AE6">
        <w:rPr>
          <w:rFonts w:ascii="Arial" w:hAnsi="Arial" w:cs="Arial"/>
          <w:sz w:val="20"/>
          <w:szCs w:val="20"/>
          <w:lang w:val="en-US"/>
        </w:rPr>
        <w:t>To evaluate the degradation degree of the 3D Scaffolds, triplicate aliquots from each group were separated, weighed, and then also placed in PBS (pH 7.4). After being removed from the medium, these groups were freeze-dried for 24 hours and weighed again to compare the weight, using the initial mass corresponding to 100%. Samples were measured on days 0, 7, 14 and 21.</w:t>
      </w:r>
    </w:p>
    <w:p w14:paraId="41A0E2A3" w14:textId="77777777" w:rsidR="00AE27BB" w:rsidRDefault="00AE27BB" w:rsidP="00183B06">
      <w:pPr>
        <w:spacing w:after="0" w:line="360" w:lineRule="auto"/>
        <w:ind w:firstLine="709"/>
        <w:jc w:val="both"/>
        <w:rPr>
          <w:rFonts w:ascii="Arial" w:hAnsi="Arial" w:cs="Arial"/>
          <w:sz w:val="20"/>
          <w:szCs w:val="20"/>
          <w:lang w:val="en-US"/>
        </w:rPr>
      </w:pPr>
    </w:p>
    <w:p w14:paraId="763A5DCF" w14:textId="77777777" w:rsidR="008F1CD9" w:rsidRPr="003566A1" w:rsidRDefault="008F1CD9" w:rsidP="00183B06">
      <w:pPr>
        <w:pStyle w:val="Ttulo3"/>
        <w:numPr>
          <w:ilvl w:val="0"/>
          <w:numId w:val="0"/>
        </w:numPr>
        <w:ind w:firstLine="709"/>
        <w:rPr>
          <w:sz w:val="20"/>
          <w:szCs w:val="20"/>
          <w:lang w:val="en-US"/>
        </w:rPr>
      </w:pPr>
      <w:r w:rsidRPr="003566A1">
        <w:rPr>
          <w:sz w:val="20"/>
          <w:szCs w:val="20"/>
          <w:lang w:val="en-US"/>
        </w:rPr>
        <w:t xml:space="preserve">Response of osteoblastic lineage cells cultured into β-CPP/alginate 3D </w:t>
      </w:r>
      <w:proofErr w:type="gramStart"/>
      <w:r w:rsidRPr="003566A1">
        <w:rPr>
          <w:sz w:val="20"/>
          <w:szCs w:val="20"/>
          <w:lang w:val="en-US"/>
        </w:rPr>
        <w:t>Scaffolds</w:t>
      </w:r>
      <w:proofErr w:type="gramEnd"/>
    </w:p>
    <w:p w14:paraId="382DB394" w14:textId="77777777" w:rsidR="008F1CD9" w:rsidRPr="003566A1" w:rsidRDefault="008F1CD9" w:rsidP="00183B06">
      <w:pPr>
        <w:spacing w:after="0" w:line="360" w:lineRule="auto"/>
        <w:ind w:firstLine="709"/>
        <w:rPr>
          <w:rFonts w:ascii="Arial" w:hAnsi="Arial" w:cs="Arial"/>
          <w:sz w:val="20"/>
          <w:szCs w:val="20"/>
          <w:lang w:val="en-US"/>
        </w:rPr>
      </w:pPr>
    </w:p>
    <w:p w14:paraId="4C4F0577" w14:textId="77777777" w:rsidR="008F1CD9" w:rsidRPr="003566A1" w:rsidRDefault="008F1CD9" w:rsidP="00183B06">
      <w:pPr>
        <w:spacing w:after="0" w:line="360" w:lineRule="auto"/>
        <w:ind w:firstLine="709"/>
        <w:jc w:val="both"/>
        <w:rPr>
          <w:rFonts w:ascii="Arial" w:hAnsi="Arial" w:cs="Arial"/>
          <w:sz w:val="20"/>
          <w:szCs w:val="20"/>
          <w:lang w:val="en-US"/>
        </w:rPr>
      </w:pPr>
      <w:r w:rsidRPr="003566A1">
        <w:rPr>
          <w:rFonts w:ascii="Arial" w:hAnsi="Arial" w:cs="Arial"/>
          <w:sz w:val="20"/>
          <w:szCs w:val="20"/>
          <w:lang w:val="en-US"/>
        </w:rPr>
        <w:t xml:space="preserve">Pre-osteoblastic MC3T3-E1 cells were used for the </w:t>
      </w:r>
      <w:r w:rsidRPr="00EC3BBB">
        <w:rPr>
          <w:rFonts w:ascii="Arial" w:hAnsi="Arial" w:cs="Arial"/>
          <w:i/>
          <w:iCs/>
          <w:sz w:val="20"/>
          <w:szCs w:val="20"/>
          <w:lang w:val="en-US"/>
        </w:rPr>
        <w:t>in vitro</w:t>
      </w:r>
      <w:r w:rsidRPr="003566A1">
        <w:rPr>
          <w:rFonts w:ascii="Arial" w:hAnsi="Arial" w:cs="Arial"/>
          <w:sz w:val="20"/>
          <w:szCs w:val="20"/>
          <w:lang w:val="en-US"/>
        </w:rPr>
        <w:t xml:space="preserve"> tests (European Cell Culture Collection, sold by Sigma-Aldrich, Merck, Darmstadt, Germany). Cells were grown up to 80% confluency at 37°C and 5% CO</w:t>
      </w:r>
      <w:r w:rsidRPr="003566A1">
        <w:rPr>
          <w:rFonts w:ascii="Arial" w:hAnsi="Arial" w:cs="Arial"/>
          <w:sz w:val="20"/>
          <w:szCs w:val="20"/>
          <w:vertAlign w:val="subscript"/>
          <w:lang w:val="en-US"/>
        </w:rPr>
        <w:t>2</w:t>
      </w:r>
      <w:r w:rsidRPr="003566A1">
        <w:rPr>
          <w:rFonts w:ascii="Arial" w:hAnsi="Arial" w:cs="Arial"/>
          <w:sz w:val="20"/>
          <w:szCs w:val="20"/>
          <w:lang w:val="en-US"/>
        </w:rPr>
        <w:t xml:space="preserve"> in complete α-MEM culture medium supplemented with 10% fetal bovine serum (FBS), 100 IU/mL penicillin, 100 µg/mL streptomycin, 2 mmol/L glutamine and 0.25 g/mL amphotericin B (all from Gibco, Life Technologies, Grand Island, NY, USA). The cells were cultured by trypsinization (0.25% trypsin, Gibco) until </w:t>
      </w:r>
      <w:proofErr w:type="gramStart"/>
      <w:r w:rsidRPr="003566A1">
        <w:rPr>
          <w:rFonts w:ascii="Arial" w:hAnsi="Arial" w:cs="Arial"/>
          <w:sz w:val="20"/>
          <w:szCs w:val="20"/>
          <w:lang w:val="en-US"/>
        </w:rPr>
        <w:t>sufficient number</w:t>
      </w:r>
      <w:proofErr w:type="gramEnd"/>
      <w:r w:rsidRPr="003566A1">
        <w:rPr>
          <w:rFonts w:ascii="Arial" w:hAnsi="Arial" w:cs="Arial"/>
          <w:sz w:val="20"/>
          <w:szCs w:val="20"/>
          <w:lang w:val="en-US"/>
        </w:rPr>
        <w:t xml:space="preserve">. Experiments used cells from passages #23 to #26 for the high viscosity </w:t>
      </w:r>
      <w:r w:rsidRPr="003566A1">
        <w:rPr>
          <w:rFonts w:ascii="Arial" w:hAnsi="Arial" w:cs="Arial"/>
          <w:sz w:val="20"/>
          <w:szCs w:val="20"/>
        </w:rPr>
        <w:t>β</w:t>
      </w:r>
      <w:r w:rsidRPr="003566A1">
        <w:rPr>
          <w:rFonts w:ascii="Arial" w:hAnsi="Arial" w:cs="Arial"/>
          <w:sz w:val="20"/>
          <w:szCs w:val="20"/>
          <w:lang w:val="en-US"/>
        </w:rPr>
        <w:t xml:space="preserve">-CPP/Alginate 3D </w:t>
      </w:r>
      <w:r w:rsidRPr="003566A1">
        <w:rPr>
          <w:rFonts w:ascii="Arial" w:hAnsi="Arial" w:cs="Arial"/>
          <w:sz w:val="20"/>
          <w:szCs w:val="20"/>
          <w:lang w:val="en-US"/>
        </w:rPr>
        <w:lastRenderedPageBreak/>
        <w:t>Scaffolds. The cell-related protocols were not carried out for the groups using a low viscosity matrix due to its high rate of degradation behavior.</w:t>
      </w:r>
    </w:p>
    <w:p w14:paraId="0E9171C3" w14:textId="3D95D26D" w:rsidR="008F1CD9" w:rsidRPr="003566A1" w:rsidRDefault="008F1CD9" w:rsidP="00183B06">
      <w:pPr>
        <w:spacing w:after="0" w:line="360" w:lineRule="auto"/>
        <w:ind w:firstLine="709"/>
        <w:jc w:val="both"/>
        <w:rPr>
          <w:rFonts w:ascii="Arial" w:hAnsi="Arial" w:cs="Arial"/>
          <w:sz w:val="20"/>
          <w:szCs w:val="20"/>
          <w:lang w:val="en-US"/>
        </w:rPr>
      </w:pPr>
      <w:r w:rsidRPr="003566A1">
        <w:rPr>
          <w:rFonts w:ascii="Arial" w:hAnsi="Arial" w:cs="Arial"/>
          <w:sz w:val="20"/>
          <w:szCs w:val="20"/>
          <w:lang w:val="en-US"/>
        </w:rPr>
        <w:t>The 3D Scaffolds were standardized to 6 mm in diameter and 5 mm in thickness, vacuum disinfected in 70% ethanol (1 h) and washed in sterilized phosphate buffer saline solution (PBS; 0.14 M NaCl, 0. 0017 M KH</w:t>
      </w:r>
      <w:r w:rsidRPr="003566A1">
        <w:rPr>
          <w:rFonts w:ascii="Arial" w:hAnsi="Arial" w:cs="Arial"/>
          <w:sz w:val="20"/>
          <w:szCs w:val="20"/>
          <w:vertAlign w:val="subscript"/>
          <w:lang w:val="en-US"/>
        </w:rPr>
        <w:t>2</w:t>
      </w:r>
      <w:r w:rsidRPr="003566A1">
        <w:rPr>
          <w:rFonts w:ascii="Arial" w:hAnsi="Arial" w:cs="Arial"/>
          <w:sz w:val="20"/>
          <w:szCs w:val="20"/>
          <w:lang w:val="en-US"/>
        </w:rPr>
        <w:t>PO</w:t>
      </w:r>
      <w:r w:rsidRPr="003566A1">
        <w:rPr>
          <w:rFonts w:ascii="Arial" w:hAnsi="Arial" w:cs="Arial"/>
          <w:sz w:val="20"/>
          <w:szCs w:val="20"/>
          <w:vertAlign w:val="subscript"/>
          <w:lang w:val="en-US"/>
        </w:rPr>
        <w:t>4</w:t>
      </w:r>
      <w:r w:rsidRPr="003566A1">
        <w:rPr>
          <w:rFonts w:ascii="Arial" w:hAnsi="Arial" w:cs="Arial"/>
          <w:sz w:val="20"/>
          <w:szCs w:val="20"/>
          <w:lang w:val="en-US"/>
        </w:rPr>
        <w:t xml:space="preserve">, 0.003 M </w:t>
      </w:r>
      <w:proofErr w:type="spellStart"/>
      <w:r w:rsidRPr="003566A1">
        <w:rPr>
          <w:rFonts w:ascii="Arial" w:hAnsi="Arial" w:cs="Arial"/>
          <w:sz w:val="20"/>
          <w:szCs w:val="20"/>
          <w:lang w:val="en-US"/>
        </w:rPr>
        <w:t>KCl</w:t>
      </w:r>
      <w:proofErr w:type="spellEnd"/>
      <w:r w:rsidRPr="003566A1">
        <w:rPr>
          <w:rFonts w:ascii="Arial" w:hAnsi="Arial" w:cs="Arial"/>
          <w:sz w:val="20"/>
          <w:szCs w:val="20"/>
          <w:lang w:val="en-US"/>
        </w:rPr>
        <w:t>, 0.01 M Na</w:t>
      </w:r>
      <w:r w:rsidRPr="003566A1">
        <w:rPr>
          <w:rFonts w:ascii="Arial" w:hAnsi="Arial" w:cs="Arial"/>
          <w:sz w:val="20"/>
          <w:szCs w:val="20"/>
          <w:vertAlign w:val="subscript"/>
          <w:lang w:val="en-US"/>
        </w:rPr>
        <w:t>2</w:t>
      </w:r>
      <w:r w:rsidRPr="003566A1">
        <w:rPr>
          <w:rFonts w:ascii="Arial" w:hAnsi="Arial" w:cs="Arial"/>
          <w:sz w:val="20"/>
          <w:szCs w:val="20"/>
          <w:lang w:val="en-US"/>
        </w:rPr>
        <w:t>HPO</w:t>
      </w:r>
      <w:r w:rsidRPr="003566A1">
        <w:rPr>
          <w:rFonts w:ascii="Arial" w:hAnsi="Arial" w:cs="Arial"/>
          <w:sz w:val="20"/>
          <w:szCs w:val="20"/>
          <w:vertAlign w:val="subscript"/>
          <w:lang w:val="en-US"/>
        </w:rPr>
        <w:t>4</w:t>
      </w:r>
      <w:r w:rsidRPr="003566A1">
        <w:rPr>
          <w:rFonts w:ascii="Arial" w:hAnsi="Arial" w:cs="Arial"/>
          <w:sz w:val="20"/>
          <w:szCs w:val="20"/>
          <w:lang w:val="en-US"/>
        </w:rPr>
        <w:t xml:space="preserve">; pH~7.2; three times for 10 min) </w:t>
      </w:r>
      <w:r w:rsidRPr="003566A1">
        <w:rPr>
          <w:rFonts w:ascii="Arial" w:hAnsi="Arial" w:cs="Arial"/>
          <w:sz w:val="20"/>
          <w:szCs w:val="20"/>
        </w:rPr>
        <w:fldChar w:fldCharType="begin" w:fldLock="1"/>
      </w:r>
      <w:r>
        <w:rPr>
          <w:rFonts w:ascii="Arial" w:hAnsi="Arial" w:cs="Arial"/>
          <w:sz w:val="20"/>
          <w:szCs w:val="20"/>
          <w:lang w:val="en-US"/>
        </w:rPr>
        <w:instrText>ADDIN CSL_CITATION {"citationItems":[{"id":"ITEM-1","itemData":{"DOI":"10.1016/j.dental.2022.09.014","ISSN":"01095641","PMID":"36182549","abstract":"Objectives: This study aimed to develop and characterize different formulations of porous chitosan scaffolds (SCH) associated with calcium silicate (CaSi) and evaluate their chemotactic and bioactive potential on human dental pulp cells (hDPCs). Methods: Different concentrations of CaSi suspensions (0.5%, 1.0%, and 2.0%, w/v) were incorporated (1:5; v/v) /or not, into 2% chitosan solution, giving rise to the following groups: SCH (control); SCH+ 0.5CaSi; SCH+ 1.0CaSi; SCH+ 2.0 CaSi. The resulting solutions were submitted to thermally induced phase separation followed by freeze-drying procedures to obtain porous scaffolds. The topography, pH, and calcium release kinetics of the scaffolds were assessed. Next, the study evaluated the influence of these scaffolds on cell migration (MG), viability (VB), proliferation (PL), adhesion and spreading (A&amp;S), and on total protein synthesis (TP), alkaline phosphatase (ALP) activity, mineralized matrix deposition (MMD), and gene expression (GE) of odontogenic differentiation markers (ALP, DSPP, and DMP-1). The data were analyzed with ANOVA complemented with the Tukey post-hoc test (α = 5%). Results: Incorporation of the CaSi suspension into the chitosan scaffold formulation increased pore diameter when compared with control. Increased amounts of CaSi in the CH scaffold resulted in higher pH values and Ca release. In Groups SCH+ 1.0CaSi and SCH+ 2.0CaSi, increased VB, PF, A&amp;S, GE of DSPP/DMP-1 and MMD values were shown. However, Group SCH+ 2.0CaSi was the only formulation capable of enhancing MG and showed the highest increase in TP, MMD, and GE of DMP-1 and DSPP values. Significance: SCH+ 2.0CaSi formulation had the highest chemotactic and bioactive potential on hDPCs and may be considered a potential biomaterial for pulp-dentin complex regeneration.","author":[{"dropping-particle":"","family":"Leite","given":"Maria Luísa","non-dropping-particle":"","parse-names":false,"suffix":""},{"dropping-particle":"","family":"Anselmi","given":"Caroline","non-dropping-particle":"","parse-names":false,"suffix":""},{"dropping-particle":"","family":"Soares","given":"Igor Paulino Mendes","non-dropping-particle":"","parse-names":false,"suffix":""},{"dropping-particle":"","family":"Manso","given":"Adriana Pigozzo","non-dropping-particle":"","parse-names":false,"suffix":""},{"dropping-particle":"","family":"Hebling","given":"Josimeri","non-dropping-particle":"","parse-names":false,"suffix":""},{"dropping-particle":"","family":"Carvalho","given":"Ricardo Marins","non-dropping-particle":"","parse-names":false,"suffix":""},{"dropping-particle":"","family":"Souza Costa","given":"Carlos Alberto","non-dropping-particle":"de","parse-names":false,"suffix":""}],"container-title":"Dental Materials","id":"ITEM-1","issue":"11","issued":{"date-parts":[["2022"]]},"page":"1763-1776","publisher":"Elsevier","title":"Calcium silicate-coated porous chitosan scaffold as a cell-free tissue engineering system for direct pulp capping","type":"article-journal","volume":"38"},"uris":["http://www.mendeley.com/documents/?uuid=ab0a83c2-5955-4d08-a068-548bdd3d2121"]}],"mendeley":{"formattedCitation":"&lt;sup&gt;1&lt;/sup&gt;","plainTextFormattedCitation":"1","previouslyFormattedCitation":"&lt;sup&gt;36&lt;/sup&gt;"},"properties":{"noteIndex":0},"schema":"https://github.com/citation-style-language/schema/raw/master/csl-citation.json"}</w:instrText>
      </w:r>
      <w:r w:rsidRPr="003566A1">
        <w:rPr>
          <w:rFonts w:ascii="Arial" w:hAnsi="Arial" w:cs="Arial"/>
          <w:sz w:val="20"/>
          <w:szCs w:val="20"/>
        </w:rPr>
        <w:fldChar w:fldCharType="separate"/>
      </w:r>
      <w:r w:rsidRPr="008F1CD9">
        <w:rPr>
          <w:rFonts w:ascii="Arial" w:hAnsi="Arial" w:cs="Arial"/>
          <w:noProof/>
          <w:sz w:val="20"/>
          <w:szCs w:val="20"/>
          <w:vertAlign w:val="superscript"/>
          <w:lang w:val="en-US"/>
        </w:rPr>
        <w:t>1</w:t>
      </w:r>
      <w:r w:rsidRPr="003566A1">
        <w:rPr>
          <w:rFonts w:ascii="Arial" w:hAnsi="Arial" w:cs="Arial"/>
          <w:sz w:val="20"/>
          <w:szCs w:val="20"/>
        </w:rPr>
        <w:fldChar w:fldCharType="end"/>
      </w:r>
      <w:r w:rsidRPr="003566A1">
        <w:rPr>
          <w:rFonts w:ascii="Arial" w:hAnsi="Arial" w:cs="Arial"/>
          <w:sz w:val="20"/>
          <w:szCs w:val="20"/>
          <w:lang w:val="en-US"/>
        </w:rPr>
        <w:t xml:space="preserve">. The Scaffolds were allocated individually in 24-compartment culture plates (Kasvi, São José dos </w:t>
      </w:r>
      <w:proofErr w:type="spellStart"/>
      <w:r w:rsidRPr="003566A1">
        <w:rPr>
          <w:rFonts w:ascii="Arial" w:hAnsi="Arial" w:cs="Arial"/>
          <w:sz w:val="20"/>
          <w:szCs w:val="20"/>
          <w:lang w:val="en-US"/>
        </w:rPr>
        <w:t>Pinhais</w:t>
      </w:r>
      <w:proofErr w:type="spellEnd"/>
      <w:r w:rsidRPr="003566A1">
        <w:rPr>
          <w:rFonts w:ascii="Arial" w:hAnsi="Arial" w:cs="Arial"/>
          <w:sz w:val="20"/>
          <w:szCs w:val="20"/>
          <w:lang w:val="en-US"/>
        </w:rPr>
        <w:t xml:space="preserve">, PR, Brazil) and incubated overnight in 1 mL of complete </w:t>
      </w:r>
      <w:r w:rsidRPr="003566A1">
        <w:rPr>
          <w:rFonts w:ascii="Arial" w:hAnsi="Arial" w:cs="Arial"/>
          <w:sz w:val="20"/>
          <w:szCs w:val="20"/>
        </w:rPr>
        <w:t>α</w:t>
      </w:r>
      <w:r w:rsidRPr="003566A1">
        <w:rPr>
          <w:rFonts w:ascii="Arial" w:hAnsi="Arial" w:cs="Arial"/>
          <w:sz w:val="20"/>
          <w:szCs w:val="20"/>
          <w:lang w:val="en-US"/>
        </w:rPr>
        <w:t>-MEM at 37 ºC and 5% CO</w:t>
      </w:r>
      <w:r w:rsidRPr="003566A1">
        <w:rPr>
          <w:rFonts w:ascii="Arial" w:hAnsi="Arial" w:cs="Arial"/>
          <w:sz w:val="20"/>
          <w:szCs w:val="20"/>
          <w:vertAlign w:val="subscript"/>
          <w:lang w:val="en-US"/>
        </w:rPr>
        <w:t>2</w:t>
      </w:r>
      <w:r w:rsidRPr="003566A1">
        <w:rPr>
          <w:rFonts w:ascii="Arial" w:hAnsi="Arial" w:cs="Arial"/>
          <w:sz w:val="20"/>
          <w:szCs w:val="20"/>
          <w:lang w:val="en-US"/>
        </w:rPr>
        <w:t>. The following day, the medium was aspirated to culture 5×10</w:t>
      </w:r>
      <w:r w:rsidRPr="003566A1">
        <w:rPr>
          <w:rFonts w:ascii="Arial" w:hAnsi="Arial" w:cs="Arial"/>
          <w:sz w:val="20"/>
          <w:szCs w:val="20"/>
          <w:vertAlign w:val="superscript"/>
          <w:lang w:val="en-US"/>
        </w:rPr>
        <w:t>4</w:t>
      </w:r>
      <w:r w:rsidRPr="003566A1">
        <w:rPr>
          <w:rFonts w:ascii="Arial" w:hAnsi="Arial" w:cs="Arial"/>
          <w:sz w:val="20"/>
          <w:szCs w:val="20"/>
          <w:lang w:val="en-US"/>
        </w:rPr>
        <w:t xml:space="preserve"> cells in 20 µL of complete medium on each Scaffold. </w:t>
      </w:r>
    </w:p>
    <w:p w14:paraId="7CC5FCE9" w14:textId="77777777" w:rsidR="008F1CD9" w:rsidRPr="003566A1" w:rsidRDefault="008F1CD9" w:rsidP="00183B06">
      <w:pPr>
        <w:spacing w:after="0" w:line="360" w:lineRule="auto"/>
        <w:ind w:firstLine="709"/>
        <w:jc w:val="both"/>
        <w:rPr>
          <w:rFonts w:ascii="Arial" w:hAnsi="Arial" w:cs="Arial"/>
          <w:sz w:val="20"/>
          <w:szCs w:val="20"/>
          <w:lang w:val="en-US"/>
        </w:rPr>
      </w:pPr>
      <w:r w:rsidRPr="003566A1">
        <w:rPr>
          <w:rFonts w:ascii="Arial" w:hAnsi="Arial" w:cs="Arial"/>
          <w:sz w:val="20"/>
          <w:szCs w:val="20"/>
          <w:lang w:val="en-US"/>
        </w:rPr>
        <w:t>After cell seeding, the samples were incubated for 30 min at 37 ºC and 5% CO</w:t>
      </w:r>
      <w:r w:rsidRPr="003566A1">
        <w:rPr>
          <w:rFonts w:ascii="Arial" w:hAnsi="Arial" w:cs="Arial"/>
          <w:sz w:val="20"/>
          <w:szCs w:val="20"/>
          <w:vertAlign w:val="subscript"/>
          <w:lang w:val="en-US"/>
        </w:rPr>
        <w:t>2</w:t>
      </w:r>
      <w:r w:rsidRPr="003566A1">
        <w:rPr>
          <w:rFonts w:ascii="Arial" w:hAnsi="Arial" w:cs="Arial"/>
          <w:sz w:val="20"/>
          <w:szCs w:val="20"/>
          <w:lang w:val="en-US"/>
        </w:rPr>
        <w:t xml:space="preserve"> for initial cell adhesion, followed by the addition of 1 mL of complete culture medium. The scaffold-cell sets were incubated at 37 ºC and 5% CO</w:t>
      </w:r>
      <w:r w:rsidRPr="003566A1">
        <w:rPr>
          <w:rFonts w:ascii="Arial" w:hAnsi="Arial" w:cs="Arial"/>
          <w:sz w:val="20"/>
          <w:szCs w:val="20"/>
          <w:vertAlign w:val="subscript"/>
          <w:lang w:val="en-US"/>
        </w:rPr>
        <w:t>2</w:t>
      </w:r>
      <w:r w:rsidRPr="003566A1">
        <w:rPr>
          <w:rFonts w:ascii="Arial" w:hAnsi="Arial" w:cs="Arial"/>
          <w:sz w:val="20"/>
          <w:szCs w:val="20"/>
          <w:lang w:val="en-US"/>
        </w:rPr>
        <w:t xml:space="preserve"> for up to 14 days, with renewal of the complete culture medium every 48h.</w:t>
      </w:r>
    </w:p>
    <w:p w14:paraId="528463E4" w14:textId="295B85CE" w:rsidR="008F1CD9" w:rsidRPr="003566A1" w:rsidRDefault="008F1CD9" w:rsidP="00183B06">
      <w:pPr>
        <w:spacing w:after="0" w:line="360" w:lineRule="auto"/>
        <w:ind w:firstLine="709"/>
        <w:jc w:val="both"/>
        <w:rPr>
          <w:rFonts w:ascii="Arial" w:hAnsi="Arial" w:cs="Arial"/>
          <w:iCs/>
          <w:sz w:val="20"/>
          <w:szCs w:val="20"/>
          <w:lang w:val="en-US"/>
        </w:rPr>
      </w:pPr>
      <w:r w:rsidRPr="003566A1">
        <w:rPr>
          <w:rFonts w:ascii="Arial" w:hAnsi="Arial" w:cs="Arial"/>
          <w:iCs/>
          <w:sz w:val="20"/>
          <w:szCs w:val="20"/>
          <w:lang w:val="en-US"/>
        </w:rPr>
        <w:t xml:space="preserve">Cell viability was assessed after 1, 7, and 14 days of culture. At these periods, cells cultured on scaffolds (n=8) were incubated with </w:t>
      </w:r>
      <w:proofErr w:type="spellStart"/>
      <w:r w:rsidRPr="003566A1">
        <w:rPr>
          <w:rFonts w:ascii="Arial" w:hAnsi="Arial" w:cs="Arial"/>
          <w:iCs/>
          <w:sz w:val="20"/>
          <w:szCs w:val="20"/>
          <w:lang w:val="en-US"/>
        </w:rPr>
        <w:t>alamarBlue</w:t>
      </w:r>
      <w:proofErr w:type="spellEnd"/>
      <w:r w:rsidRPr="003566A1">
        <w:rPr>
          <w:rFonts w:ascii="Arial" w:hAnsi="Arial" w:cs="Arial"/>
          <w:iCs/>
          <w:sz w:val="20"/>
          <w:szCs w:val="20"/>
          <w:lang w:val="en-US"/>
        </w:rPr>
        <w:t xml:space="preserve"> reagent (Invitrogen, Life Technologies) in </w:t>
      </w:r>
      <w:r w:rsidRPr="003566A1">
        <w:rPr>
          <w:rFonts w:ascii="Arial" w:hAnsi="Arial" w:cs="Arial"/>
          <w:iCs/>
          <w:sz w:val="20"/>
          <w:szCs w:val="20"/>
        </w:rPr>
        <w:t>α</w:t>
      </w:r>
      <w:r w:rsidRPr="003566A1">
        <w:rPr>
          <w:rFonts w:ascii="Arial" w:hAnsi="Arial" w:cs="Arial"/>
          <w:iCs/>
          <w:sz w:val="20"/>
          <w:szCs w:val="20"/>
          <w:lang w:val="en-US"/>
        </w:rPr>
        <w:t>-MEM medium without FBS (1:10) for 3 h at 37 °C and 5% CO</w:t>
      </w:r>
      <w:r w:rsidRPr="003566A1">
        <w:rPr>
          <w:rFonts w:ascii="Arial" w:hAnsi="Arial" w:cs="Arial"/>
          <w:iCs/>
          <w:sz w:val="20"/>
          <w:szCs w:val="20"/>
          <w:vertAlign w:val="subscript"/>
          <w:lang w:val="en-US"/>
        </w:rPr>
        <w:t>2</w:t>
      </w:r>
      <w:r w:rsidRPr="003566A1">
        <w:rPr>
          <w:rFonts w:ascii="Arial" w:hAnsi="Arial" w:cs="Arial"/>
          <w:iCs/>
          <w:sz w:val="20"/>
          <w:szCs w:val="20"/>
          <w:lang w:val="en-US"/>
        </w:rPr>
        <w:t xml:space="preserve">. After this period, the fluorescence of 100 µL of the solutions was determined with 560 nm of excitation and 590 nm of emission (Synergy H1, </w:t>
      </w:r>
      <w:proofErr w:type="spellStart"/>
      <w:r w:rsidRPr="003566A1">
        <w:rPr>
          <w:rFonts w:ascii="Arial" w:hAnsi="Arial" w:cs="Arial"/>
          <w:iCs/>
          <w:sz w:val="20"/>
          <w:szCs w:val="20"/>
          <w:lang w:val="en-US"/>
        </w:rPr>
        <w:t>BioTek</w:t>
      </w:r>
      <w:proofErr w:type="spellEnd"/>
      <w:r w:rsidRPr="003566A1">
        <w:rPr>
          <w:rFonts w:ascii="Arial" w:hAnsi="Arial" w:cs="Arial"/>
          <w:iCs/>
          <w:sz w:val="20"/>
          <w:szCs w:val="20"/>
          <w:lang w:val="en-US"/>
        </w:rPr>
        <w:t>, Winooski, VT, USA). The high viscosity pure alginate (</w:t>
      </w:r>
      <w:proofErr w:type="spellStart"/>
      <w:r w:rsidRPr="003566A1">
        <w:rPr>
          <w:rFonts w:ascii="Arial" w:hAnsi="Arial" w:cs="Arial"/>
          <w:iCs/>
          <w:sz w:val="20"/>
          <w:szCs w:val="20"/>
          <w:lang w:val="en-US"/>
        </w:rPr>
        <w:t>AlgA</w:t>
      </w:r>
      <w:proofErr w:type="spellEnd"/>
      <w:r w:rsidRPr="003566A1">
        <w:rPr>
          <w:rFonts w:ascii="Arial" w:hAnsi="Arial" w:cs="Arial"/>
          <w:iCs/>
          <w:sz w:val="20"/>
          <w:szCs w:val="20"/>
          <w:lang w:val="en-US"/>
        </w:rPr>
        <w:t xml:space="preserve">) at day 1 was set as the control and the mean absorbance considered 100% cell viability </w:t>
      </w:r>
      <w:r w:rsidRPr="003566A1">
        <w:rPr>
          <w:rFonts w:ascii="Arial" w:hAnsi="Arial" w:cs="Arial"/>
          <w:iCs/>
          <w:sz w:val="20"/>
          <w:szCs w:val="20"/>
        </w:rPr>
        <w:fldChar w:fldCharType="begin" w:fldLock="1"/>
      </w:r>
      <w:r>
        <w:rPr>
          <w:rFonts w:ascii="Arial" w:hAnsi="Arial" w:cs="Arial"/>
          <w:iCs/>
          <w:sz w:val="20"/>
          <w:szCs w:val="20"/>
          <w:lang w:val="en-US"/>
        </w:rPr>
        <w:instrText>ADDIN CSL_CITATION {"citationItems":[{"id":"ITEM-1","itemData":{"DOI":"10.1016/j.dental.2022.09.014","ISSN":"01095641","PMID":"36182549","abstract":"Objectives: This study aimed to develop and characterize different formulations of porous chitosan scaffolds (SCH) associated with calcium silicate (CaSi) and evaluate their chemotactic and bioactive potential on human dental pulp cells (hDPCs). Methods: Different concentrations of CaSi suspensions (0.5%, 1.0%, and 2.0%, w/v) were incorporated (1:5; v/v) /or not, into 2% chitosan solution, giving rise to the following groups: SCH (control); SCH+ 0.5CaSi; SCH+ 1.0CaSi; SCH+ 2.0 CaSi. The resulting solutions were submitted to thermally induced phase separation followed by freeze-drying procedures to obtain porous scaffolds. The topography, pH, and calcium release kinetics of the scaffolds were assessed. Next, the study evaluated the influence of these scaffolds on cell migration (MG), viability (VB), proliferation (PL), adhesion and spreading (A&amp;S), and on total protein synthesis (TP), alkaline phosphatase (ALP) activity, mineralized matrix deposition (MMD), and gene expression (GE) of odontogenic differentiation markers (ALP, DSPP, and DMP-1). The data were analyzed with ANOVA complemented with the Tukey post-hoc test (α = 5%). Results: Incorporation of the CaSi suspension into the chitosan scaffold formulation increased pore diameter when compared with control. Increased amounts of CaSi in the CH scaffold resulted in higher pH values and Ca release. In Groups SCH+ 1.0CaSi and SCH+ 2.0CaSi, increased VB, PF, A&amp;S, GE of DSPP/DMP-1 and MMD values were shown. However, Group SCH+ 2.0CaSi was the only formulation capable of enhancing MG and showed the highest increase in TP, MMD, and GE of DMP-1 and DSPP values. Significance: SCH+ 2.0CaSi formulation had the highest chemotactic and bioactive potential on hDPCs and may be considered a potential biomaterial for pulp-dentin complex regeneration.","author":[{"dropping-particle":"","family":"Leite","given":"Maria Luísa","non-dropping-particle":"","parse-names":false,"suffix":""},{"dropping-particle":"","family":"Anselmi","given":"Caroline","non-dropping-particle":"","parse-names":false,"suffix":""},{"dropping-particle":"","family":"Soares","given":"Igor Paulino Mendes","non-dropping-particle":"","parse-names":false,"suffix":""},{"dropping-particle":"","family":"Manso","given":"Adriana Pigozzo","non-dropping-particle":"","parse-names":false,"suffix":""},{"dropping-particle":"","family":"Hebling","given":"Josimeri","non-dropping-particle":"","parse-names":false,"suffix":""},{"dropping-particle":"","family":"Carvalho","given":"Ricardo Marins","non-dropping-particle":"","parse-names":false,"suffix":""},{"dropping-particle":"","family":"Souza Costa","given":"Carlos Alberto","non-dropping-particle":"de","parse-names":false,"suffix":""}],"container-title":"Dental Materials","id":"ITEM-1","issue":"11","issued":{"date-parts":[["2022"]]},"page":"1763-1776","publisher":"Elsevier","title":"Calcium silicate-coated porous chitosan scaffold as a cell-free tissue engineering system for direct pulp capping","type":"article-journal","volume":"38"},"uris":["http://www.mendeley.com/documents/?uuid=ab0a83c2-5955-4d08-a068-548bdd3d2121"]}],"mendeley":{"formattedCitation":"&lt;sup&gt;1&lt;/sup&gt;","plainTextFormattedCitation":"1","previouslyFormattedCitation":"&lt;sup&gt;36&lt;/sup&gt;"},"properties":{"noteIndex":0},"schema":"https://github.com/citation-style-language/schema/raw/master/csl-citation.json"}</w:instrText>
      </w:r>
      <w:r w:rsidRPr="003566A1">
        <w:rPr>
          <w:rFonts w:ascii="Arial" w:hAnsi="Arial" w:cs="Arial"/>
          <w:iCs/>
          <w:sz w:val="20"/>
          <w:szCs w:val="20"/>
        </w:rPr>
        <w:fldChar w:fldCharType="separate"/>
      </w:r>
      <w:r w:rsidRPr="008F1CD9">
        <w:rPr>
          <w:rFonts w:ascii="Arial" w:hAnsi="Arial" w:cs="Arial"/>
          <w:iCs/>
          <w:noProof/>
          <w:sz w:val="20"/>
          <w:szCs w:val="20"/>
          <w:vertAlign w:val="superscript"/>
          <w:lang w:val="en-US"/>
        </w:rPr>
        <w:t>1</w:t>
      </w:r>
      <w:r w:rsidRPr="003566A1">
        <w:rPr>
          <w:rFonts w:ascii="Arial" w:hAnsi="Arial" w:cs="Arial"/>
          <w:iCs/>
          <w:sz w:val="20"/>
          <w:szCs w:val="20"/>
        </w:rPr>
        <w:fldChar w:fldCharType="end"/>
      </w:r>
      <w:r w:rsidRPr="003566A1">
        <w:rPr>
          <w:rFonts w:ascii="Arial" w:hAnsi="Arial" w:cs="Arial"/>
          <w:iCs/>
          <w:sz w:val="20"/>
          <w:szCs w:val="20"/>
          <w:lang w:val="en-US"/>
        </w:rPr>
        <w:t>.</w:t>
      </w:r>
    </w:p>
    <w:p w14:paraId="3BF8F560" w14:textId="4230B421" w:rsidR="008F1CD9" w:rsidRPr="003566A1" w:rsidRDefault="008F1CD9" w:rsidP="00183B06">
      <w:pPr>
        <w:spacing w:after="0" w:line="360" w:lineRule="auto"/>
        <w:ind w:firstLine="709"/>
        <w:jc w:val="both"/>
        <w:rPr>
          <w:rFonts w:ascii="Arial" w:hAnsi="Arial" w:cs="Arial"/>
          <w:sz w:val="20"/>
          <w:szCs w:val="20"/>
          <w:lang w:val="en-US"/>
        </w:rPr>
      </w:pPr>
      <w:r w:rsidRPr="003566A1">
        <w:rPr>
          <w:rFonts w:ascii="Arial" w:hAnsi="Arial" w:cs="Arial"/>
          <w:sz w:val="20"/>
          <w:szCs w:val="20"/>
          <w:lang w:val="en-US"/>
        </w:rPr>
        <w:t xml:space="preserve">The viability and proliferation were also assessed by fluorescence microscopy. Cells were cultured on 3D Scaffolds (n=4) for 1, 7, and 14 days. After the periods, the samples were washed with PBS and incubated with SBF-free α-MEM supplemented with 4 </w:t>
      </w:r>
      <w:proofErr w:type="spellStart"/>
      <w:r w:rsidRPr="003566A1">
        <w:rPr>
          <w:rFonts w:ascii="Arial" w:hAnsi="Arial" w:cs="Arial"/>
          <w:sz w:val="20"/>
          <w:szCs w:val="20"/>
          <w:lang w:val="en-US"/>
        </w:rPr>
        <w:t>μM</w:t>
      </w:r>
      <w:proofErr w:type="spellEnd"/>
      <w:r w:rsidRPr="003566A1">
        <w:rPr>
          <w:rFonts w:ascii="Arial" w:hAnsi="Arial" w:cs="Arial"/>
          <w:sz w:val="20"/>
          <w:szCs w:val="20"/>
          <w:lang w:val="en-US"/>
        </w:rPr>
        <w:t xml:space="preserve"> ethidium homodimer-1 (EthD-1) and 2 </w:t>
      </w:r>
      <w:proofErr w:type="spellStart"/>
      <w:r w:rsidRPr="003566A1">
        <w:rPr>
          <w:rFonts w:ascii="Arial" w:hAnsi="Arial" w:cs="Arial"/>
          <w:sz w:val="20"/>
          <w:szCs w:val="20"/>
          <w:lang w:val="en-US"/>
        </w:rPr>
        <w:t>μM</w:t>
      </w:r>
      <w:proofErr w:type="spellEnd"/>
      <w:r w:rsidRPr="003566A1">
        <w:rPr>
          <w:rFonts w:ascii="Arial" w:hAnsi="Arial" w:cs="Arial"/>
          <w:sz w:val="20"/>
          <w:szCs w:val="20"/>
          <w:lang w:val="en-US"/>
        </w:rPr>
        <w:t xml:space="preserve"> </w:t>
      </w:r>
      <w:proofErr w:type="spellStart"/>
      <w:r w:rsidRPr="003566A1">
        <w:rPr>
          <w:rFonts w:ascii="Arial" w:hAnsi="Arial" w:cs="Arial"/>
          <w:sz w:val="20"/>
          <w:szCs w:val="20"/>
          <w:lang w:val="en-US"/>
        </w:rPr>
        <w:t>calcein</w:t>
      </w:r>
      <w:proofErr w:type="spellEnd"/>
      <w:r w:rsidRPr="003566A1">
        <w:rPr>
          <w:rFonts w:ascii="Arial" w:hAnsi="Arial" w:cs="Arial"/>
          <w:sz w:val="20"/>
          <w:szCs w:val="20"/>
          <w:lang w:val="en-US"/>
        </w:rPr>
        <w:t xml:space="preserve"> AM (live/dead viability/cytotoxicity kit; Invitrogen, Life Technologies). After 30 min of incubation, samples were evaluated in direct fluorescence under 40× magnification (Leica DM 5500B; Leica, Austin, TX, USA) </w:t>
      </w:r>
      <w:r w:rsidRPr="003566A1">
        <w:rPr>
          <w:rFonts w:ascii="Arial" w:hAnsi="Arial" w:cs="Arial"/>
          <w:sz w:val="20"/>
          <w:szCs w:val="20"/>
        </w:rPr>
        <w:fldChar w:fldCharType="begin" w:fldLock="1"/>
      </w:r>
      <w:r>
        <w:rPr>
          <w:rFonts w:ascii="Arial" w:hAnsi="Arial" w:cs="Arial"/>
          <w:sz w:val="20"/>
          <w:szCs w:val="20"/>
          <w:lang w:val="en-US"/>
        </w:rPr>
        <w:instrText>ADDIN CSL_CITATION {"citationItems":[{"id":"ITEM-1","itemData":{"DOI":"10.1016/j.dental.2022.03.006","ISSN":"01095641","PMID":"35331551","abstract":"Objectives: Targeting a tissue engineering-based vital pulp therapy (VPT), this study investigated the incorporation of nano-hydroxyapatite (nHA) into polycaprolactone (PCL) nanofibers, and the metabolism of human dental pulp cells (HDPCs) seeded on the scaffolds. Methods: PCL-based solutions (10% w/v) containing nHA (0 – control; 0.5; 1.0; or 2.0% w/v) were electrospun into nanofibrous scaffolds. The scaffolds were characterized for morphology and composition (MEV/EDS), solubility, the release of calcium/phosphate (C/P), and modulation of medium pH. Then, HDPCs were seeded on the scaffolds and evaluated for cell viability (alamarBlue and live/dead), adhesion and spreading (F-actin), total protein (TP; Lowry), alkaline phosphatase activity (ALP; thymolphthalein assay), expression of odontogenic genes (RT-qPCR), and formation of a mineralized matrix (Alizarin Red). Data were analyzed with ANOVA and post-hocs (α = 5%). Results: Higher nHA concentrations roughened fiber surfaces, whereas PCL+ 2%nHA increased the interfibrillar spaces. PCL+ 1%nHA or PCL+ 2%nHA significantly released more C/P but the medium pH was maintained below 8.0. HDPCs viability was not affected by nHA, while cell adhesion/spreading was favored, especially for PCL+ 2%nHA. Higher protein content and ALP activity were seen for scaffolds incorporated with nHA, after 21 days. PCL+ 1%nHA and PCL+ 2%nHA upregulated the expression of DSPP and DMP1 in 14 days, and COL1A1, ALPL, and DMP1 in 21 days. The formation of a mineralized matrix was nHA concentration-dependent, and it was about 9 × higher for PCL+ 2%nHA. Significance: nHA-incorporated PCL nanofibrous scaffolds are cytocompatible and can stimulate the adhesion and odontogenic potential of HDPCs. PCL+ 2%nHA formulation is a bioactive tissue engineering-based cell-homing strategy for VPT.","author":[{"dropping-particle":"","family":"Mendes Soares","given":"Igor Paulino","non-dropping-particle":"","parse-names":false,"suffix":""},{"dropping-particle":"","family":"Anselmi","given":"Caroline","non-dropping-particle":"","parse-names":false,"suffix":""},{"dropping-particle":"","family":"Kitagawa","given":"Fernanda Ali","non-dropping-particle":"","parse-names":false,"suffix":""},{"dropping-particle":"","family":"Ribeiro","given":"Rafael Antonio de Oliveira","non-dropping-particle":"","parse-names":false,"suffix":""},{"dropping-particle":"","family":"Leite","given":"Maria Luísa","non-dropping-particle":"","parse-names":false,"suffix":""},{"dropping-particle":"","family":"Souza Costa","given":"Carlos Alberto","non-dropping-particle":"de","parse-names":false,"suffix":""},{"dropping-particle":"","family":"Hebling","given":"Josimeri","non-dropping-particle":"","parse-names":false,"suffix":""}],"container-title":"Dental Materials","id":"ITEM-1","issue":"6","issued":{"date-parts":[["2022"]]},"page":"960-977","publisher":"Elsevier","title":"Nano-hydroxyapatite-incorporated polycaprolactone nanofibrous scaffold as a dentin tissue engineering-based strategy for vital pulp therapy","type":"article-journal","volume":"38"},"uris":["http://www.mendeley.com/documents/?uuid=bea9de60-faf1-4ca5-8c90-cdc4e97be903"]}],"mendeley":{"formattedCitation":"&lt;sup&gt;2&lt;/sup&gt;","plainTextFormattedCitation":"2","previouslyFormattedCitation":"&lt;sup&gt;37&lt;/sup&gt;"},"properties":{"noteIndex":0},"schema":"https://github.com/citation-style-language/schema/raw/master/csl-citation.json"}</w:instrText>
      </w:r>
      <w:r w:rsidRPr="003566A1">
        <w:rPr>
          <w:rFonts w:ascii="Arial" w:hAnsi="Arial" w:cs="Arial"/>
          <w:sz w:val="20"/>
          <w:szCs w:val="20"/>
        </w:rPr>
        <w:fldChar w:fldCharType="separate"/>
      </w:r>
      <w:r w:rsidRPr="008F1CD9">
        <w:rPr>
          <w:rFonts w:ascii="Arial" w:hAnsi="Arial" w:cs="Arial"/>
          <w:noProof/>
          <w:sz w:val="20"/>
          <w:szCs w:val="20"/>
          <w:vertAlign w:val="superscript"/>
          <w:lang w:val="en-US"/>
        </w:rPr>
        <w:t>2</w:t>
      </w:r>
      <w:r w:rsidRPr="003566A1">
        <w:rPr>
          <w:rFonts w:ascii="Arial" w:hAnsi="Arial" w:cs="Arial"/>
          <w:sz w:val="20"/>
          <w:szCs w:val="20"/>
        </w:rPr>
        <w:fldChar w:fldCharType="end"/>
      </w:r>
      <w:r w:rsidRPr="003566A1">
        <w:rPr>
          <w:rFonts w:ascii="Arial" w:hAnsi="Arial" w:cs="Arial"/>
          <w:sz w:val="20"/>
          <w:szCs w:val="20"/>
          <w:lang w:val="en-US"/>
        </w:rPr>
        <w:t>.</w:t>
      </w:r>
    </w:p>
    <w:p w14:paraId="2BE7B6D1" w14:textId="5A1FB57C" w:rsidR="008F1CD9" w:rsidRDefault="008F1CD9" w:rsidP="00183B06">
      <w:pPr>
        <w:spacing w:after="0" w:line="360" w:lineRule="auto"/>
        <w:ind w:firstLine="709"/>
        <w:jc w:val="both"/>
        <w:rPr>
          <w:rFonts w:ascii="Arial" w:hAnsi="Arial" w:cs="Arial"/>
          <w:sz w:val="20"/>
          <w:szCs w:val="20"/>
        </w:rPr>
      </w:pPr>
      <w:r w:rsidRPr="003566A1">
        <w:rPr>
          <w:rFonts w:ascii="Arial" w:hAnsi="Arial" w:cs="Arial"/>
          <w:sz w:val="20"/>
          <w:szCs w:val="20"/>
          <w:lang w:val="en-US"/>
        </w:rPr>
        <w:t xml:space="preserve">The biomineralization capacity of the high viscosity </w:t>
      </w:r>
      <w:r w:rsidRPr="003566A1">
        <w:rPr>
          <w:rFonts w:ascii="Arial" w:hAnsi="Arial" w:cs="Arial"/>
          <w:sz w:val="20"/>
          <w:szCs w:val="20"/>
        </w:rPr>
        <w:t>β</w:t>
      </w:r>
      <w:r w:rsidRPr="003566A1">
        <w:rPr>
          <w:rFonts w:ascii="Arial" w:hAnsi="Arial" w:cs="Arial"/>
          <w:sz w:val="20"/>
          <w:szCs w:val="20"/>
          <w:lang w:val="en-US"/>
        </w:rPr>
        <w:t xml:space="preserve">-CPP/Alginate 3D Scaffolds was evaluated after 14 days of pre-osteoblast culture on the surface of the 3D Scaffolds (n=8) cultured in osteogenic differentiation medium composed of complete α-MEM supplemented with 5 mM β-glycerophosphate (Santa Cruz Biotechnology Santa Cruz, CA, USA) and 50 </w:t>
      </w:r>
      <w:proofErr w:type="spellStart"/>
      <w:r w:rsidRPr="003566A1">
        <w:rPr>
          <w:rFonts w:ascii="Arial" w:hAnsi="Arial" w:cs="Arial"/>
          <w:sz w:val="20"/>
          <w:szCs w:val="20"/>
          <w:lang w:val="en-US"/>
        </w:rPr>
        <w:t>μg</w:t>
      </w:r>
      <w:proofErr w:type="spellEnd"/>
      <w:r w:rsidRPr="003566A1">
        <w:rPr>
          <w:rFonts w:ascii="Arial" w:hAnsi="Arial" w:cs="Arial"/>
          <w:sz w:val="20"/>
          <w:szCs w:val="20"/>
          <w:lang w:val="en-US"/>
        </w:rPr>
        <w:t xml:space="preserve">/mL ascorbic acid (Fisher Chemical, NJ, USA). Cells were fixed with ethanol (70% in water; Sigma-Aldrich) at 4 °C for 1 h and stained with alizarin red solution (40 mM in deionized water, pH~4.2; Sigma-Aldrich) for 15 min under agitation. The background staining was removed after five washes with 1 mL of deionized water. Then, 500 µL of </w:t>
      </w:r>
      <w:proofErr w:type="spellStart"/>
      <w:r w:rsidRPr="003566A1">
        <w:rPr>
          <w:rFonts w:ascii="Arial" w:hAnsi="Arial" w:cs="Arial"/>
          <w:sz w:val="20"/>
          <w:szCs w:val="20"/>
          <w:lang w:val="en-US"/>
        </w:rPr>
        <w:t>cetylpyridinium</w:t>
      </w:r>
      <w:proofErr w:type="spellEnd"/>
      <w:r w:rsidRPr="003566A1">
        <w:rPr>
          <w:rFonts w:ascii="Arial" w:hAnsi="Arial" w:cs="Arial"/>
          <w:sz w:val="20"/>
          <w:szCs w:val="20"/>
          <w:lang w:val="en-US"/>
        </w:rPr>
        <w:t xml:space="preserve"> chloride solution (10% in PBS; pH~7; Sigma-Aldrich) at 37 °C were used to solubilize the mineralized matrix for 20 min under shaking, and the absorbance of the resulting solution was determined at 570 nm (Synergy H1). Since the analyzed 3D Scaffolds have calcium in their composition, the 3D Scaffolds without cultured cells (n=6) were processed in the same way and used as a discount in the absorbance values ​​for each group. The control sample (</w:t>
      </w:r>
      <w:proofErr w:type="spellStart"/>
      <w:r w:rsidRPr="003566A1">
        <w:rPr>
          <w:rFonts w:ascii="Arial" w:hAnsi="Arial" w:cs="Arial"/>
          <w:sz w:val="20"/>
          <w:szCs w:val="20"/>
          <w:lang w:val="en-US"/>
        </w:rPr>
        <w:t>AlgA</w:t>
      </w:r>
      <w:proofErr w:type="spellEnd"/>
      <w:r w:rsidRPr="003566A1">
        <w:rPr>
          <w:rFonts w:ascii="Arial" w:hAnsi="Arial" w:cs="Arial"/>
          <w:sz w:val="20"/>
          <w:szCs w:val="20"/>
          <w:lang w:val="en-US"/>
        </w:rPr>
        <w:t xml:space="preserve">) was considered as 100% mineralized matrix formation </w:t>
      </w:r>
      <w:r w:rsidRPr="003566A1">
        <w:rPr>
          <w:rFonts w:ascii="Arial" w:hAnsi="Arial" w:cs="Arial"/>
          <w:sz w:val="20"/>
          <w:szCs w:val="20"/>
        </w:rPr>
        <w:fldChar w:fldCharType="begin" w:fldLock="1"/>
      </w:r>
      <w:r>
        <w:rPr>
          <w:rFonts w:ascii="Arial" w:hAnsi="Arial" w:cs="Arial"/>
          <w:sz w:val="20"/>
          <w:szCs w:val="20"/>
          <w:lang w:val="en-US"/>
        </w:rPr>
        <w:instrText>ADDIN CSL_CITATION {"citationItems":[{"id":"ITEM-1","itemData":{"DOI":"10.1016/j.dental.2022.03.006","ISSN":"01095641","PMID":"35331551","abstract":"Objectives: Targeting a tissue engineering-based vital pulp therapy (VPT), this study investigated the incorporation of nano-hydroxyapatite (nHA) into polycaprolactone (PCL) nanofibers, and the metabolism of human dental pulp cells (HDPCs) seeded on the scaffolds. Methods: PCL-based solutions (10% w/v) containing nHA (0 – control; 0.5; 1.0; or 2.0% w/v) were electrospun into nanofibrous scaffolds. The scaffolds were characterized for morphology and composition (MEV/EDS), solubility, the release of calcium/phosphate (C/P), and modulation of medium pH. Then, HDPCs were seeded on the scaffolds and evaluated for cell viability (alamarBlue and live/dead), adhesion and spreading (F-actin), total protein (TP; Lowry), alkaline phosphatase activity (ALP; thymolphthalein assay), expression of odontogenic genes (RT-qPCR), and formation of a mineralized matrix (Alizarin Red). Data were analyzed with ANOVA and post-hocs (α = 5%). Results: Higher nHA concentrations roughened fiber surfaces, whereas PCL+ 2%nHA increased the interfibrillar spaces. PCL+ 1%nHA or PCL+ 2%nHA significantly released more C/P but the medium pH was maintained below 8.0. HDPCs viability was not affected by nHA, while cell adhesion/spreading was favored, especially for PCL+ 2%nHA. Higher protein content and ALP activity were seen for scaffolds incorporated with nHA, after 21 days. PCL+ 1%nHA and PCL+ 2%nHA upregulated the expression of DSPP and DMP1 in 14 days, and COL1A1, ALPL, and DMP1 in 21 days. The formation of a mineralized matrix was nHA concentration-dependent, and it was about 9 × higher for PCL+ 2%nHA. Significance: nHA-incorporated PCL nanofibrous scaffolds are cytocompatible and can stimulate the adhesion and odontogenic potential of HDPCs. PCL+ 2%nHA formulation is a bioactive tissue engineering-based cell-homing strategy for VPT.","author":[{"dropping-particle":"","family":"Mendes Soares","given":"Igor Paulino","non-dropping-particle":"","parse-names":false,"suffix":""},{"dropping-particle":"","family":"Anselmi","given":"Caroline","non-dropping-particle":"","parse-names":false,"suffix":""},{"dropping-particle":"","family":"Kitagawa","given":"Fernanda Ali","non-dropping-particle":"","parse-names":false,"suffix":""},{"dropping-particle":"","family":"Ribeiro","given":"Rafael Antonio de Oliveira","non-dropping-particle":"","parse-names":false,"suffix":""},{"dropping-particle":"","family":"Leite","given":"Maria Luísa","non-dropping-particle":"","parse-names":false,"suffix":""},{"dropping-particle":"","family":"Souza Costa","given":"Carlos Alberto","non-dropping-particle":"de","parse-names":false,"suffix":""},{"dropping-particle":"","family":"Hebling","given":"Josimeri","non-dropping-particle":"","parse-names":false,"suffix":""}],"container-title":"Dental Materials","id":"ITEM-1","issue":"6","issued":{"date-parts":[["2022"]]},"page":"960-977","publisher":"Elsevier","title":"Nano-hydroxyapatite-incorporated polycaprolactone nanofibrous scaffold as a dentin tissue engineering-based strategy for vital pulp therapy","type":"article-journal","volume":"38"},"uris":["http://www.mendeley.com/documents/?uuid=bea9de60-faf1-4ca5-8c90-cdc4e97be903"]},{"id":"ITEM-2","itemData":{"DOI":"10.1016/j.dental.2022.09.014","ISSN":"01095641","PMID":"36182549","abstract":"Objectives: This study aimed to develop and characterize different formulations of porous chitosan scaffolds (SCH) associated with calcium silicate (CaSi) and evaluate their chemotactic and bioactive potential on human dental pulp cells (hDPCs). Methods: Different concentrations of CaSi suspensions (0.5%, 1.0%, and 2.0%, w/v) were incorporated (1:5; v/v) /or not, into 2% chitosan solution, giving rise to the following groups: SCH (control); SCH+ 0.5CaSi; SCH+ 1.0CaSi; SCH+ 2.0 CaSi. The resulting solutions were submitted to thermally induced phase separation followed by freeze-drying procedures to obtain porous scaffolds. The topography, pH, and calcium release kinetics of the scaffolds were assessed. Next, the study evaluated the influence of these scaffolds on cell migration (MG), viability (VB), proliferation (PL), adhesion and spreading (A&amp;S), and on total protein synthesis (TP), alkaline phosphatase (ALP) activity, mineralized matrix deposition (MMD), and gene expression (GE) of odontogenic differentiation markers (ALP, DSPP, and DMP-1). The data were analyzed with ANOVA complemented with the Tukey post-hoc test (α = 5%). Results: Incorporation of the CaSi suspension into the chitosan scaffold formulation increased pore diameter when compared with control. Increased amounts of CaSi in the CH scaffold resulted in higher pH values and Ca release. In Groups SCH+ 1.0CaSi and SCH+ 2.0CaSi, increased VB, PF, A&amp;S, GE of DSPP/DMP-1 and MMD values were shown. However, Group SCH+ 2.0CaSi was the only formulation capable of enhancing MG and showed the highest increase in TP, MMD, and GE of DMP-1 and DSPP values. Significance: SCH+ 2.0CaSi formulation had the highest chemotactic and bioactive potential on hDPCs and may be considered a potential biomaterial for pulp-dentin complex regeneration.","author":[{"dropping-particle":"","family":"Leite","given":"Maria Luísa","non-dropping-particle":"","parse-names":false,"suffix":""},{"dropping-particle":"","family":"Anselmi","given":"Caroline","non-dropping-particle":"","parse-names":false,"suffix":""},{"dropping-particle":"","family":"Soares","given":"Igor Paulino Mendes","non-dropping-particle":"","parse-names":false,"suffix":""},{"dropping-particle":"","family":"Manso","given":"Adriana Pigozzo","non-dropping-particle":"","parse-names":false,"suffix":""},{"dropping-particle":"","family":"Hebling","given":"Josimeri","non-dropping-particle":"","parse-names":false,"suffix":""},{"dropping-particle":"","family":"Carvalho","given":"Ricardo Marins","non-dropping-particle":"","parse-names":false,"suffix":""},{"dropping-particle":"","family":"Souza Costa","given":"Carlos Alberto","non-dropping-particle":"de","parse-names":false,"suffix":""}],"container-title":"Dental Materials","id":"ITEM-2","issue":"11","issued":{"date-parts":[["2022"]]},"page":"1763-1776","publisher":"Elsevier","title":"Calcium silicate-coated porous chitosan scaffold as a cell-free tissue engineering system for direct pulp capping","type":"article-journal","volume":"38"},"uris":["http://www.mendeley.com/documents/?uuid=ab0a83c2-5955-4d08-a068-548bdd3d2121"]}],"mendeley":{"formattedCitation":"&lt;sup&gt;1,2&lt;/sup&gt;","plainTextFormattedCitation":"1,2","previouslyFormattedCitation":"&lt;sup&gt;36,37&lt;/sup&gt;"},"properties":{"noteIndex":0},"schema":"https://github.com/citation-style-language/schema/raw/master/csl-citation.json"}</w:instrText>
      </w:r>
      <w:r w:rsidRPr="003566A1">
        <w:rPr>
          <w:rFonts w:ascii="Arial" w:hAnsi="Arial" w:cs="Arial"/>
          <w:sz w:val="20"/>
          <w:szCs w:val="20"/>
        </w:rPr>
        <w:fldChar w:fldCharType="separate"/>
      </w:r>
      <w:r w:rsidRPr="008F1CD9">
        <w:rPr>
          <w:rFonts w:ascii="Arial" w:hAnsi="Arial" w:cs="Arial"/>
          <w:noProof/>
          <w:sz w:val="20"/>
          <w:szCs w:val="20"/>
          <w:vertAlign w:val="superscript"/>
          <w:lang w:val="en-US"/>
        </w:rPr>
        <w:t>1,2</w:t>
      </w:r>
      <w:r w:rsidRPr="003566A1">
        <w:rPr>
          <w:rFonts w:ascii="Arial" w:hAnsi="Arial" w:cs="Arial"/>
          <w:sz w:val="20"/>
          <w:szCs w:val="20"/>
        </w:rPr>
        <w:fldChar w:fldCharType="end"/>
      </w:r>
    </w:p>
    <w:p w14:paraId="421A503C" w14:textId="77777777" w:rsidR="00183B06" w:rsidRDefault="00183B06" w:rsidP="00183B06">
      <w:pPr>
        <w:spacing w:after="0" w:line="360" w:lineRule="auto"/>
        <w:ind w:firstLine="709"/>
        <w:jc w:val="both"/>
        <w:rPr>
          <w:rFonts w:ascii="Arial" w:hAnsi="Arial" w:cs="Arial"/>
          <w:sz w:val="20"/>
          <w:szCs w:val="20"/>
        </w:rPr>
      </w:pPr>
    </w:p>
    <w:p w14:paraId="343EB180" w14:textId="478F9C5E" w:rsidR="00F43D64" w:rsidRPr="00183B06" w:rsidRDefault="00F43D64" w:rsidP="00183B06">
      <w:pPr>
        <w:spacing w:after="0" w:line="360" w:lineRule="auto"/>
        <w:ind w:firstLine="709"/>
        <w:jc w:val="both"/>
        <w:rPr>
          <w:rFonts w:ascii="Arial" w:hAnsi="Arial" w:cs="Arial"/>
          <w:b/>
          <w:bCs/>
          <w:sz w:val="20"/>
          <w:szCs w:val="20"/>
          <w:lang w:val="en-US"/>
        </w:rPr>
      </w:pPr>
      <w:r w:rsidRPr="00183B06">
        <w:rPr>
          <w:rFonts w:ascii="Arial" w:hAnsi="Arial" w:cs="Arial"/>
          <w:b/>
          <w:bCs/>
          <w:sz w:val="28"/>
          <w:szCs w:val="28"/>
          <w:lang w:val="en-US"/>
        </w:rPr>
        <w:t>RESULTS</w:t>
      </w:r>
    </w:p>
    <w:p w14:paraId="58DB4175" w14:textId="77777777" w:rsidR="00FC1F82" w:rsidRDefault="00FC1F82" w:rsidP="00183B06">
      <w:pPr>
        <w:spacing w:after="0" w:line="360" w:lineRule="auto"/>
        <w:ind w:firstLine="709"/>
        <w:jc w:val="both"/>
        <w:rPr>
          <w:rFonts w:ascii="Arial" w:hAnsi="Arial" w:cs="Arial"/>
          <w:sz w:val="20"/>
          <w:szCs w:val="20"/>
          <w:lang w:val="en-US"/>
        </w:rPr>
      </w:pPr>
    </w:p>
    <w:p w14:paraId="3A0E3E96" w14:textId="289BAC75" w:rsidR="00F43D64" w:rsidRPr="00FC1F82" w:rsidRDefault="00FC1F82" w:rsidP="00183B06">
      <w:pPr>
        <w:spacing w:after="0" w:line="360" w:lineRule="auto"/>
        <w:ind w:firstLine="709"/>
        <w:jc w:val="both"/>
        <w:rPr>
          <w:rFonts w:ascii="Arial" w:hAnsi="Arial" w:cs="Arial"/>
          <w:b/>
          <w:bCs/>
          <w:sz w:val="20"/>
          <w:szCs w:val="20"/>
          <w:lang w:val="en-US"/>
        </w:rPr>
      </w:pPr>
      <w:r w:rsidRPr="00FC1F82">
        <w:rPr>
          <w:rFonts w:ascii="Arial" w:hAnsi="Arial" w:cs="Arial"/>
          <w:b/>
          <w:bCs/>
          <w:sz w:val="20"/>
          <w:szCs w:val="20"/>
          <w:lang w:val="en-US"/>
        </w:rPr>
        <w:t>β-CPP characterization</w:t>
      </w:r>
    </w:p>
    <w:p w14:paraId="515399E9" w14:textId="58B1DCEE" w:rsidR="00376A24" w:rsidRDefault="00376A24" w:rsidP="00183B06">
      <w:pPr>
        <w:spacing w:after="0" w:line="360" w:lineRule="auto"/>
        <w:ind w:firstLine="709"/>
        <w:jc w:val="both"/>
        <w:rPr>
          <w:rFonts w:ascii="Arial" w:hAnsi="Arial" w:cs="Arial"/>
          <w:sz w:val="20"/>
          <w:szCs w:val="20"/>
          <w:lang w:val="en-US"/>
        </w:rPr>
      </w:pPr>
      <w:r w:rsidRPr="003566A1">
        <w:rPr>
          <w:rFonts w:ascii="Arial" w:hAnsi="Arial" w:cs="Arial"/>
          <w:sz w:val="20"/>
          <w:szCs w:val="20"/>
          <w:lang w:val="en-US"/>
        </w:rPr>
        <w:tab/>
        <w:t xml:space="preserve">A floccular morphology with varying sizes was observed in the sintered samples, presented in Figure </w:t>
      </w:r>
      <w:r w:rsidR="00F43D64">
        <w:rPr>
          <w:rFonts w:ascii="Arial" w:hAnsi="Arial" w:cs="Arial"/>
          <w:sz w:val="20"/>
          <w:szCs w:val="20"/>
          <w:lang w:val="en-US"/>
        </w:rPr>
        <w:t>1</w:t>
      </w:r>
      <w:r w:rsidRPr="003566A1">
        <w:rPr>
          <w:rFonts w:ascii="Arial" w:hAnsi="Arial" w:cs="Arial"/>
          <w:sz w:val="20"/>
          <w:szCs w:val="20"/>
          <w:lang w:val="en-US"/>
        </w:rPr>
        <w:t xml:space="preserve">. In addition to the phase change, sintering promoted the expected densification and coalescence of the precursor ceramic crystals, resulting in a modification of the texture and porosity of the biomaterial obtained. The occurrence of this phenomenon was more pronounced in the sample submitted at 1150°C, due </w:t>
      </w:r>
      <w:r w:rsidRPr="003566A1">
        <w:rPr>
          <w:rFonts w:ascii="Arial" w:hAnsi="Arial" w:cs="Arial"/>
          <w:sz w:val="20"/>
          <w:szCs w:val="20"/>
          <w:lang w:val="en-US"/>
        </w:rPr>
        <w:lastRenderedPageBreak/>
        <w:t xml:space="preserve">to the greater energy used. Since the presence of these pores is necessary for the circulation of physiological fluid through the biomaterial of interest, the </w:t>
      </w:r>
      <w:r w:rsidRPr="003566A1">
        <w:rPr>
          <w:rFonts w:ascii="Arial" w:hAnsi="Arial" w:cs="Arial"/>
          <w:sz w:val="20"/>
          <w:szCs w:val="20"/>
        </w:rPr>
        <w:t>β</w:t>
      </w:r>
      <w:r w:rsidRPr="003566A1">
        <w:rPr>
          <w:rFonts w:ascii="Arial" w:hAnsi="Arial" w:cs="Arial"/>
          <w:sz w:val="20"/>
          <w:szCs w:val="20"/>
          <w:lang w:val="en-US"/>
        </w:rPr>
        <w:t xml:space="preserve">-CPP synthesized shows an attractive morphology as a biomaterial. </w:t>
      </w:r>
    </w:p>
    <w:p w14:paraId="53561D03" w14:textId="77777777" w:rsidR="00D059E3" w:rsidRPr="003566A1" w:rsidRDefault="00D059E3" w:rsidP="00376A24">
      <w:pPr>
        <w:spacing w:after="0" w:line="360" w:lineRule="auto"/>
        <w:ind w:firstLine="567"/>
        <w:jc w:val="both"/>
        <w:rPr>
          <w:rFonts w:ascii="Arial" w:hAnsi="Arial" w:cs="Arial"/>
          <w:sz w:val="20"/>
          <w:szCs w:val="20"/>
          <w:lang w:val="en-US"/>
        </w:rPr>
      </w:pPr>
    </w:p>
    <w:bookmarkStart w:id="1" w:name="_Toc124343723"/>
    <w:p w14:paraId="3565CA34" w14:textId="10B54C0C" w:rsidR="0083117E" w:rsidRPr="003566A1" w:rsidRDefault="0083117E" w:rsidP="0083117E">
      <w:pPr>
        <w:pStyle w:val="Ttulo4"/>
        <w:spacing w:before="0" w:line="360" w:lineRule="auto"/>
        <w:jc w:val="both"/>
        <w:rPr>
          <w:rFonts w:ascii="Arial" w:hAnsi="Arial" w:cs="Arial"/>
          <w:sz w:val="20"/>
          <w:szCs w:val="20"/>
          <w:lang w:val="en-US"/>
        </w:rPr>
      </w:pPr>
      <w:r w:rsidRPr="003566A1">
        <w:rPr>
          <w:rFonts w:ascii="Arial" w:hAnsi="Arial" w:cs="Arial"/>
          <w:noProof/>
          <w:sz w:val="20"/>
          <w:szCs w:val="20"/>
        </w:rPr>
        <mc:AlternateContent>
          <mc:Choice Requires="wps">
            <w:drawing>
              <wp:anchor distT="45720" distB="45720" distL="114300" distR="114300" simplePos="0" relativeHeight="251659264" behindDoc="0" locked="0" layoutInCell="1" allowOverlap="1" wp14:anchorId="4839A632" wp14:editId="66A9A840">
                <wp:simplePos x="0" y="0"/>
                <wp:positionH relativeFrom="column">
                  <wp:posOffset>-38049</wp:posOffset>
                </wp:positionH>
                <wp:positionV relativeFrom="paragraph">
                  <wp:posOffset>243679</wp:posOffset>
                </wp:positionV>
                <wp:extent cx="472273" cy="296426"/>
                <wp:effectExtent l="0" t="0" r="0" b="0"/>
                <wp:wrapNone/>
                <wp:docPr id="2092041617" name="Caixa de texto 2092041617" descr="P1199TB37#y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273" cy="296426"/>
                        </a:xfrm>
                        <a:prstGeom prst="rect">
                          <a:avLst/>
                        </a:prstGeom>
                        <a:noFill/>
                        <a:ln w="9525">
                          <a:noFill/>
                          <a:miter lim="800000"/>
                          <a:headEnd/>
                          <a:tailEnd/>
                        </a:ln>
                      </wps:spPr>
                      <wps:txbx>
                        <w:txbxContent>
                          <w:p w14:paraId="1E4D8591" w14:textId="77777777" w:rsidR="0083117E" w:rsidRPr="00162926" w:rsidRDefault="0083117E" w:rsidP="0083117E">
                            <w:pPr>
                              <w:rPr>
                                <w:rFonts w:ascii="Arial" w:hAnsi="Arial" w:cs="Arial"/>
                                <w:sz w:val="32"/>
                                <w:szCs w:val="32"/>
                              </w:rPr>
                            </w:pPr>
                            <w:r>
                              <w:rPr>
                                <w:rFonts w:ascii="Arial" w:hAnsi="Arial" w:cs="Arial"/>
                                <w:b/>
                                <w:bCs/>
                                <w:color w:val="FFFFFF" w:themeColor="background1"/>
                                <w:sz w:val="32"/>
                                <w:szCs w:val="32"/>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39A632" id="_x0000_t202" coordsize="21600,21600" o:spt="202" path="m,l,21600r21600,l21600,xe">
                <v:stroke joinstyle="miter"/>
                <v:path gradientshapeok="t" o:connecttype="rect"/>
              </v:shapetype>
              <v:shape id="Caixa de texto 2092041617" o:spid="_x0000_s1026" type="#_x0000_t202" alt="P1199TB37#y1" style="position:absolute;left:0;text-align:left;margin-left:-3pt;margin-top:19.2pt;width:37.2pt;height:23.3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" filled="f" stroked="f">
                <v:textbox>
                  <w:txbxContent>
                    <w:p w14:paraId="1E4D8591" w14:textId="77777777" w:rsidR="0083117E" w:rsidRPr="00162926" w:rsidRDefault="0083117E" w:rsidP="0083117E">
                      <w:pPr>
                        <w:rPr>
                          <w:rFonts w:ascii="Arial" w:hAnsi="Arial" w:cs="Arial"/>
                          <w:sz w:val="32"/>
                          <w:szCs w:val="32"/>
                        </w:rPr>
                      </w:pPr>
                      <w:r>
                        <w:rPr>
                          <w:rFonts w:ascii="Arial" w:hAnsi="Arial" w:cs="Arial"/>
                          <w:b/>
                          <w:bCs/>
                          <w:color w:val="FFFFFF" w:themeColor="background1"/>
                          <w:sz w:val="32"/>
                          <w:szCs w:val="32"/>
                        </w:rPr>
                        <w:t>A</w:t>
                      </w:r>
                    </w:p>
                  </w:txbxContent>
                </v:textbox>
              </v:shape>
            </w:pict>
          </mc:Fallback>
        </mc:AlternateContent>
      </w:r>
      <w:r w:rsidRPr="003566A1">
        <w:rPr>
          <w:rFonts w:ascii="Arial" w:hAnsi="Arial" w:cs="Arial"/>
          <w:sz w:val="20"/>
          <w:szCs w:val="20"/>
          <w:lang w:val="en-US"/>
        </w:rPr>
        <w:t xml:space="preserve">Figure </w:t>
      </w:r>
      <w:r w:rsidR="00F43D64">
        <w:rPr>
          <w:rFonts w:ascii="Arial" w:hAnsi="Arial" w:cs="Arial"/>
          <w:sz w:val="20"/>
          <w:szCs w:val="20"/>
          <w:lang w:val="en-US"/>
        </w:rPr>
        <w:t>1</w:t>
      </w:r>
      <w:r w:rsidRPr="003566A1">
        <w:rPr>
          <w:rFonts w:ascii="Arial" w:hAnsi="Arial" w:cs="Arial"/>
          <w:sz w:val="20"/>
          <w:szCs w:val="20"/>
          <w:lang w:val="en-US"/>
        </w:rPr>
        <w:t xml:space="preserve">: </w:t>
      </w:r>
      <w:bookmarkEnd w:id="1"/>
      <w:r w:rsidRPr="003566A1">
        <w:rPr>
          <w:rFonts w:ascii="Arial" w:hAnsi="Arial" w:cs="Arial"/>
          <w:sz w:val="20"/>
          <w:szCs w:val="20"/>
          <w:lang w:val="en-US"/>
        </w:rPr>
        <w:t>SEM of sintered samples. 600°C (A), 750°C (B), 900°C (C) and 1150°C (D).</w:t>
      </w:r>
    </w:p>
    <w:p w14:paraId="1D0AF3DA" w14:textId="77777777" w:rsidR="0083117E" w:rsidRPr="008F1CD9" w:rsidRDefault="0083117E" w:rsidP="0083117E">
      <w:pPr>
        <w:spacing w:after="0" w:line="360" w:lineRule="auto"/>
        <w:jc w:val="both"/>
        <w:rPr>
          <w:rFonts w:ascii="Arial" w:hAnsi="Arial" w:cs="Arial"/>
          <w:sz w:val="20"/>
          <w:szCs w:val="20"/>
          <w:lang w:val="en-US"/>
        </w:rPr>
      </w:pPr>
      <w:r w:rsidRPr="003566A1">
        <w:rPr>
          <w:rFonts w:ascii="Arial" w:hAnsi="Arial" w:cs="Arial"/>
          <w:noProof/>
          <w:sz w:val="20"/>
          <w:szCs w:val="20"/>
        </w:rPr>
        <mc:AlternateContent>
          <mc:Choice Requires="wps">
            <w:drawing>
              <wp:anchor distT="45720" distB="45720" distL="114300" distR="114300" simplePos="0" relativeHeight="251661312" behindDoc="0" locked="0" layoutInCell="1" allowOverlap="1" wp14:anchorId="15A88229" wp14:editId="7C960960">
                <wp:simplePos x="0" y="0"/>
                <wp:positionH relativeFrom="column">
                  <wp:posOffset>2590165</wp:posOffset>
                </wp:positionH>
                <wp:positionV relativeFrom="paragraph">
                  <wp:posOffset>1881505</wp:posOffset>
                </wp:positionV>
                <wp:extent cx="472273" cy="296426"/>
                <wp:effectExtent l="0" t="0" r="0" b="0"/>
                <wp:wrapNone/>
                <wp:docPr id="1006977708" name="Caixa de texto 1006977708" descr="P1199TB37#y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273" cy="296426"/>
                        </a:xfrm>
                        <a:prstGeom prst="rect">
                          <a:avLst/>
                        </a:prstGeom>
                        <a:noFill/>
                        <a:ln w="9525">
                          <a:noFill/>
                          <a:miter lim="800000"/>
                          <a:headEnd/>
                          <a:tailEnd/>
                        </a:ln>
                      </wps:spPr>
                      <wps:txbx>
                        <w:txbxContent>
                          <w:p w14:paraId="1F09E0B9" w14:textId="77777777" w:rsidR="0083117E" w:rsidRPr="00162926" w:rsidRDefault="0083117E" w:rsidP="0083117E">
                            <w:pPr>
                              <w:rPr>
                                <w:rFonts w:ascii="Arial" w:hAnsi="Arial" w:cs="Arial"/>
                                <w:sz w:val="32"/>
                                <w:szCs w:val="32"/>
                              </w:rPr>
                            </w:pPr>
                            <w:r>
                              <w:rPr>
                                <w:rFonts w:ascii="Arial" w:hAnsi="Arial" w:cs="Arial"/>
                                <w:b/>
                                <w:bCs/>
                                <w:color w:val="FFFFFF" w:themeColor="background1"/>
                                <w:sz w:val="32"/>
                                <w:szCs w:val="32"/>
                              </w:rP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A88229" id="Caixa de texto 1006977708" o:spid="_x0000_s1027" type="#_x0000_t202" alt="P1199TB37#y1" style="position:absolute;left:0;text-align:left;margin-left:203.95pt;margin-top:148.15pt;width:37.2pt;height:23.3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" filled="f" stroked="f">
                <v:textbox>
                  <w:txbxContent>
                    <w:p w14:paraId="1F09E0B9" w14:textId="77777777" w:rsidR="0083117E" w:rsidRPr="00162926" w:rsidRDefault="0083117E" w:rsidP="0083117E">
                      <w:pPr>
                        <w:rPr>
                          <w:rFonts w:ascii="Arial" w:hAnsi="Arial" w:cs="Arial"/>
                          <w:sz w:val="32"/>
                          <w:szCs w:val="32"/>
                        </w:rPr>
                      </w:pPr>
                      <w:r>
                        <w:rPr>
                          <w:rFonts w:ascii="Arial" w:hAnsi="Arial" w:cs="Arial"/>
                          <w:b/>
                          <w:bCs/>
                          <w:color w:val="FFFFFF" w:themeColor="background1"/>
                          <w:sz w:val="32"/>
                          <w:szCs w:val="32"/>
                        </w:rPr>
                        <w:t>D</w:t>
                      </w:r>
                    </w:p>
                  </w:txbxContent>
                </v:textbox>
              </v:shape>
            </w:pict>
          </mc:Fallback>
        </mc:AlternateContent>
      </w:r>
      <w:r w:rsidRPr="003566A1">
        <w:rPr>
          <w:rFonts w:ascii="Arial" w:hAnsi="Arial" w:cs="Arial"/>
          <w:noProof/>
          <w:sz w:val="20"/>
          <w:szCs w:val="20"/>
        </w:rPr>
        <mc:AlternateContent>
          <mc:Choice Requires="wps">
            <w:drawing>
              <wp:anchor distT="45720" distB="45720" distL="114300" distR="114300" simplePos="0" relativeHeight="251660288" behindDoc="0" locked="0" layoutInCell="1" allowOverlap="1" wp14:anchorId="22F2A7B4" wp14:editId="521879BC">
                <wp:simplePos x="0" y="0"/>
                <wp:positionH relativeFrom="column">
                  <wp:posOffset>2628265</wp:posOffset>
                </wp:positionH>
                <wp:positionV relativeFrom="paragraph">
                  <wp:posOffset>34925</wp:posOffset>
                </wp:positionV>
                <wp:extent cx="472273" cy="296426"/>
                <wp:effectExtent l="0" t="0" r="0" b="0"/>
                <wp:wrapNone/>
                <wp:docPr id="849438871" name="Caixa de texto 849438871" descr="P1199TB37#y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273" cy="296426"/>
                        </a:xfrm>
                        <a:prstGeom prst="rect">
                          <a:avLst/>
                        </a:prstGeom>
                        <a:noFill/>
                        <a:ln w="9525">
                          <a:noFill/>
                          <a:miter lim="800000"/>
                          <a:headEnd/>
                          <a:tailEnd/>
                        </a:ln>
                      </wps:spPr>
                      <wps:txbx>
                        <w:txbxContent>
                          <w:p w14:paraId="58FED2E7" w14:textId="77777777" w:rsidR="0083117E" w:rsidRPr="00162926" w:rsidRDefault="0083117E" w:rsidP="0083117E">
                            <w:pPr>
                              <w:rPr>
                                <w:rFonts w:ascii="Arial" w:hAnsi="Arial" w:cs="Arial"/>
                                <w:sz w:val="32"/>
                                <w:szCs w:val="32"/>
                              </w:rPr>
                            </w:pPr>
                            <w:r>
                              <w:rPr>
                                <w:rFonts w:ascii="Arial" w:hAnsi="Arial" w:cs="Arial"/>
                                <w:b/>
                                <w:bCs/>
                                <w:color w:val="FFFFFF" w:themeColor="background1"/>
                                <w:sz w:val="32"/>
                                <w:szCs w:val="32"/>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F2A7B4" id="Caixa de texto 849438871" o:spid="_x0000_s1028" type="#_x0000_t202" alt="P1199TB37#y1" style="position:absolute;left:0;text-align:left;margin-left:206.95pt;margin-top:2.75pt;width:37.2pt;height:23.3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" filled="f" stroked="f">
                <v:textbox>
                  <w:txbxContent>
                    <w:p w14:paraId="58FED2E7" w14:textId="77777777" w:rsidR="0083117E" w:rsidRPr="00162926" w:rsidRDefault="0083117E" w:rsidP="0083117E">
                      <w:pPr>
                        <w:rPr>
                          <w:rFonts w:ascii="Arial" w:hAnsi="Arial" w:cs="Arial"/>
                          <w:sz w:val="32"/>
                          <w:szCs w:val="32"/>
                        </w:rPr>
                      </w:pPr>
                      <w:r>
                        <w:rPr>
                          <w:rFonts w:ascii="Arial" w:hAnsi="Arial" w:cs="Arial"/>
                          <w:b/>
                          <w:bCs/>
                          <w:color w:val="FFFFFF" w:themeColor="background1"/>
                          <w:sz w:val="32"/>
                          <w:szCs w:val="32"/>
                        </w:rPr>
                        <w:t>B</w:t>
                      </w:r>
                    </w:p>
                  </w:txbxContent>
                </v:textbox>
              </v:shape>
            </w:pict>
          </mc:Fallback>
        </mc:AlternateContent>
      </w:r>
      <w:r w:rsidRPr="003566A1">
        <w:rPr>
          <w:rFonts w:ascii="Arial" w:hAnsi="Arial" w:cs="Arial"/>
          <w:noProof/>
          <w:sz w:val="20"/>
          <w:szCs w:val="20"/>
        </w:rPr>
        <w:drawing>
          <wp:inline distT="0" distB="0" distL="0" distR="0" wp14:anchorId="1002F6DE" wp14:editId="5CC566C2">
            <wp:extent cx="2628900" cy="1799590"/>
            <wp:effectExtent l="0" t="0" r="0" b="0"/>
            <wp:docPr id="48" name="Imagem 48" descr="P1198#yI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m 48" descr="P1198#yIS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29499" cy="1800000"/>
                    </a:xfrm>
                    <a:prstGeom prst="rect">
                      <a:avLst/>
                    </a:prstGeom>
                    <a:noFill/>
                    <a:ln>
                      <a:noFill/>
                    </a:ln>
                  </pic:spPr>
                </pic:pic>
              </a:graphicData>
            </a:graphic>
          </wp:inline>
        </w:drawing>
      </w:r>
      <w:r w:rsidRPr="003566A1">
        <w:rPr>
          <w:rFonts w:ascii="Arial" w:hAnsi="Arial" w:cs="Arial"/>
          <w:noProof/>
          <w:sz w:val="20"/>
          <w:szCs w:val="20"/>
        </w:rPr>
        <w:drawing>
          <wp:inline distT="0" distB="0" distL="0" distR="0" wp14:anchorId="1C03FE97" wp14:editId="604A9FB9">
            <wp:extent cx="2634422" cy="1800000"/>
            <wp:effectExtent l="0" t="0" r="0" b="0"/>
            <wp:docPr id="362327661" name="Imagem 362327661" descr="Uma imagem com centáurea, recife, planta, naturez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327661" name="Imagem 1" descr="Uma imagem com centáurea, recife, planta, natureza&#10;&#10;Descrição gerada automaticamente"/>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8363"/>
                    <a:stretch/>
                  </pic:blipFill>
                  <pic:spPr bwMode="auto">
                    <a:xfrm>
                      <a:off x="0" y="0"/>
                      <a:ext cx="2634422" cy="1800000"/>
                    </a:xfrm>
                    <a:prstGeom prst="rect">
                      <a:avLst/>
                    </a:prstGeom>
                    <a:noFill/>
                    <a:ln>
                      <a:noFill/>
                    </a:ln>
                    <a:extLst>
                      <a:ext uri="{53640926-AAD7-44D8-BBD7-CCE9431645EC}">
                        <a14:shadowObscured xmlns:a14="http://schemas.microsoft.com/office/drawing/2010/main"/>
                      </a:ext>
                    </a:extLst>
                  </pic:spPr>
                </pic:pic>
              </a:graphicData>
            </a:graphic>
          </wp:inline>
        </w:drawing>
      </w:r>
      <w:r w:rsidRPr="003566A1">
        <w:rPr>
          <w:rFonts w:ascii="Arial" w:hAnsi="Arial" w:cs="Arial"/>
          <w:noProof/>
          <w:sz w:val="20"/>
          <w:szCs w:val="20"/>
        </w:rPr>
        <mc:AlternateContent>
          <mc:Choice Requires="wps">
            <w:drawing>
              <wp:anchor distT="45720" distB="45720" distL="114300" distR="114300" simplePos="0" relativeHeight="251662336" behindDoc="0" locked="0" layoutInCell="1" allowOverlap="1" wp14:anchorId="29DE773E" wp14:editId="569142BD">
                <wp:simplePos x="0" y="0"/>
                <wp:positionH relativeFrom="column">
                  <wp:posOffset>-635</wp:posOffset>
                </wp:positionH>
                <wp:positionV relativeFrom="paragraph">
                  <wp:posOffset>1882775</wp:posOffset>
                </wp:positionV>
                <wp:extent cx="472273" cy="296426"/>
                <wp:effectExtent l="0" t="0" r="0" b="0"/>
                <wp:wrapNone/>
                <wp:docPr id="640419451" name="Caixa de texto 640419451" descr="P1199TB37#y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273" cy="296426"/>
                        </a:xfrm>
                        <a:prstGeom prst="rect">
                          <a:avLst/>
                        </a:prstGeom>
                        <a:noFill/>
                        <a:ln w="9525">
                          <a:noFill/>
                          <a:miter lim="800000"/>
                          <a:headEnd/>
                          <a:tailEnd/>
                        </a:ln>
                      </wps:spPr>
                      <wps:txbx>
                        <w:txbxContent>
                          <w:p w14:paraId="42EDBC83" w14:textId="77777777" w:rsidR="0083117E" w:rsidRPr="00162926" w:rsidRDefault="0083117E" w:rsidP="0083117E">
                            <w:pPr>
                              <w:rPr>
                                <w:rFonts w:ascii="Arial" w:hAnsi="Arial" w:cs="Arial"/>
                                <w:sz w:val="32"/>
                                <w:szCs w:val="32"/>
                              </w:rPr>
                            </w:pPr>
                            <w:r w:rsidRPr="00162926">
                              <w:rPr>
                                <w:rFonts w:ascii="Arial" w:hAnsi="Arial" w:cs="Arial"/>
                                <w:b/>
                                <w:bCs/>
                                <w:color w:val="FFFFFF" w:themeColor="background1"/>
                                <w:sz w:val="32"/>
                                <w:szCs w:val="32"/>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DE773E" id="Caixa de texto 640419451" o:spid="_x0000_s1029" type="#_x0000_t202" alt="P1199TB37#y1" style="position:absolute;left:0;text-align:left;margin-left:-.05pt;margin-top:148.25pt;width:37.2pt;height:23.3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" filled="f" stroked="f">
                <v:textbox>
                  <w:txbxContent>
                    <w:p w14:paraId="42EDBC83" w14:textId="77777777" w:rsidR="0083117E" w:rsidRPr="00162926" w:rsidRDefault="0083117E" w:rsidP="0083117E">
                      <w:pPr>
                        <w:rPr>
                          <w:rFonts w:ascii="Arial" w:hAnsi="Arial" w:cs="Arial"/>
                          <w:sz w:val="32"/>
                          <w:szCs w:val="32"/>
                        </w:rPr>
                      </w:pPr>
                      <w:r w:rsidRPr="00162926">
                        <w:rPr>
                          <w:rFonts w:ascii="Arial" w:hAnsi="Arial" w:cs="Arial"/>
                          <w:b/>
                          <w:bCs/>
                          <w:color w:val="FFFFFF" w:themeColor="background1"/>
                          <w:sz w:val="32"/>
                          <w:szCs w:val="32"/>
                        </w:rPr>
                        <w:t>C</w:t>
                      </w:r>
                    </w:p>
                  </w:txbxContent>
                </v:textbox>
              </v:shape>
            </w:pict>
          </mc:Fallback>
        </mc:AlternateContent>
      </w:r>
      <w:r w:rsidRPr="003566A1">
        <w:rPr>
          <w:rFonts w:ascii="Arial" w:hAnsi="Arial" w:cs="Arial"/>
          <w:noProof/>
          <w:sz w:val="20"/>
          <w:szCs w:val="20"/>
        </w:rPr>
        <w:drawing>
          <wp:inline distT="0" distB="0" distL="0" distR="0" wp14:anchorId="1DBA35DD" wp14:editId="0BB113AA">
            <wp:extent cx="2642722" cy="1800000"/>
            <wp:effectExtent l="0" t="0" r="5715" b="0"/>
            <wp:docPr id="53" name="Imagem 53" descr="P1199#yI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m 53" descr="P1199#yIS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42722" cy="1800000"/>
                    </a:xfrm>
                    <a:prstGeom prst="rect">
                      <a:avLst/>
                    </a:prstGeom>
                    <a:noFill/>
                    <a:ln>
                      <a:noFill/>
                    </a:ln>
                  </pic:spPr>
                </pic:pic>
              </a:graphicData>
            </a:graphic>
          </wp:inline>
        </w:drawing>
      </w:r>
      <w:r w:rsidRPr="003566A1">
        <w:rPr>
          <w:rFonts w:ascii="Arial" w:hAnsi="Arial" w:cs="Arial"/>
          <w:noProof/>
          <w:sz w:val="20"/>
          <w:szCs w:val="20"/>
        </w:rPr>
        <w:drawing>
          <wp:inline distT="0" distB="0" distL="0" distR="0" wp14:anchorId="234C12F6" wp14:editId="388035AB">
            <wp:extent cx="2639462" cy="1799590"/>
            <wp:effectExtent l="0" t="0" r="8890" b="0"/>
            <wp:docPr id="56" name="Imagem 56" descr="P1200#yI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m 56" descr="P1200#yIS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41684" cy="1801105"/>
                    </a:xfrm>
                    <a:prstGeom prst="rect">
                      <a:avLst/>
                    </a:prstGeom>
                    <a:noFill/>
                    <a:ln>
                      <a:noFill/>
                    </a:ln>
                  </pic:spPr>
                </pic:pic>
              </a:graphicData>
            </a:graphic>
          </wp:inline>
        </w:drawing>
      </w:r>
    </w:p>
    <w:p w14:paraId="4E423F0F" w14:textId="77777777" w:rsidR="0083117E" w:rsidRPr="008F1CD9" w:rsidRDefault="0083117E" w:rsidP="0083117E">
      <w:pPr>
        <w:spacing w:after="0" w:line="360" w:lineRule="auto"/>
        <w:jc w:val="both"/>
        <w:rPr>
          <w:rFonts w:ascii="Arial" w:hAnsi="Arial" w:cs="Arial"/>
          <w:sz w:val="20"/>
          <w:szCs w:val="20"/>
          <w:lang w:val="en-US"/>
        </w:rPr>
      </w:pPr>
    </w:p>
    <w:p w14:paraId="725F54B9" w14:textId="7D8FAF2D" w:rsidR="0083117E" w:rsidRDefault="0083117E" w:rsidP="00E45797">
      <w:pPr>
        <w:spacing w:after="0" w:line="360" w:lineRule="auto"/>
        <w:ind w:firstLine="708"/>
        <w:jc w:val="both"/>
        <w:rPr>
          <w:rFonts w:ascii="Arial" w:hAnsi="Arial" w:cs="Arial"/>
          <w:sz w:val="20"/>
          <w:szCs w:val="20"/>
          <w:lang w:val="en-US"/>
        </w:rPr>
      </w:pPr>
      <w:r w:rsidRPr="003566A1">
        <w:rPr>
          <w:rFonts w:ascii="Arial" w:hAnsi="Arial" w:cs="Arial"/>
          <w:sz w:val="20"/>
          <w:szCs w:val="20"/>
          <w:lang w:val="en-US"/>
        </w:rPr>
        <w:t xml:space="preserve">Chemical elements such as oxygen, calcium and phosphorus were observed through EDS analysis, Figure </w:t>
      </w:r>
      <w:r w:rsidR="00F43D64">
        <w:rPr>
          <w:rFonts w:ascii="Arial" w:hAnsi="Arial" w:cs="Arial"/>
          <w:sz w:val="20"/>
          <w:szCs w:val="20"/>
          <w:lang w:val="en-US"/>
        </w:rPr>
        <w:t>2</w:t>
      </w:r>
      <w:r w:rsidRPr="003566A1">
        <w:rPr>
          <w:rFonts w:ascii="Arial" w:hAnsi="Arial" w:cs="Arial"/>
          <w:sz w:val="20"/>
          <w:szCs w:val="20"/>
          <w:lang w:val="en-US"/>
        </w:rPr>
        <w:t>. This is another indication of the presence of the main constituents of the calcium phosphates group, which can be found even after sintering treatment at different temperatures.</w:t>
      </w:r>
    </w:p>
    <w:p w14:paraId="437160EF" w14:textId="77777777" w:rsidR="00E45797" w:rsidRDefault="00E45797" w:rsidP="00E45797">
      <w:pPr>
        <w:spacing w:after="0" w:line="360" w:lineRule="auto"/>
        <w:ind w:firstLine="708"/>
        <w:jc w:val="both"/>
        <w:rPr>
          <w:rFonts w:ascii="Arial" w:hAnsi="Arial" w:cs="Arial"/>
          <w:sz w:val="20"/>
          <w:szCs w:val="20"/>
          <w:lang w:val="en-US"/>
        </w:rPr>
      </w:pPr>
    </w:p>
    <w:p w14:paraId="48CF8559" w14:textId="3309FC6F" w:rsidR="00843199" w:rsidRPr="003566A1" w:rsidRDefault="00843199" w:rsidP="00843199">
      <w:pPr>
        <w:pStyle w:val="Ttulo4"/>
        <w:spacing w:before="0" w:line="360" w:lineRule="auto"/>
        <w:jc w:val="both"/>
        <w:rPr>
          <w:rFonts w:ascii="Arial" w:hAnsi="Arial" w:cs="Arial"/>
          <w:sz w:val="20"/>
          <w:szCs w:val="20"/>
          <w:lang w:val="en-US"/>
        </w:rPr>
      </w:pPr>
      <w:r w:rsidRPr="003566A1">
        <w:rPr>
          <w:rFonts w:ascii="Arial" w:hAnsi="Arial" w:cs="Arial"/>
          <w:sz w:val="20"/>
          <w:szCs w:val="20"/>
          <w:lang w:val="en-US"/>
        </w:rPr>
        <w:lastRenderedPageBreak/>
        <w:t xml:space="preserve">Figure </w:t>
      </w:r>
      <w:r w:rsidR="00F43D64">
        <w:rPr>
          <w:rFonts w:ascii="Arial" w:hAnsi="Arial" w:cs="Arial"/>
          <w:sz w:val="20"/>
          <w:szCs w:val="20"/>
          <w:lang w:val="en-US"/>
        </w:rPr>
        <w:t>2</w:t>
      </w:r>
      <w:r w:rsidRPr="003566A1">
        <w:rPr>
          <w:rFonts w:ascii="Arial" w:hAnsi="Arial" w:cs="Arial"/>
          <w:sz w:val="20"/>
          <w:szCs w:val="20"/>
          <w:lang w:val="en-US"/>
        </w:rPr>
        <w:t>: EDS of the ceramic samples under different sintering temperatures.</w:t>
      </w:r>
    </w:p>
    <w:p w14:paraId="5C3B91A7" w14:textId="77777777" w:rsidR="00843199" w:rsidRDefault="00843199" w:rsidP="00843199">
      <w:pPr>
        <w:spacing w:after="0" w:line="360" w:lineRule="auto"/>
        <w:jc w:val="both"/>
        <w:rPr>
          <w:rFonts w:ascii="Arial" w:hAnsi="Arial" w:cs="Arial"/>
          <w:sz w:val="20"/>
          <w:szCs w:val="20"/>
          <w:lang w:val="en-US"/>
        </w:rPr>
      </w:pPr>
      <w:r w:rsidRPr="003566A1">
        <w:rPr>
          <w:rFonts w:ascii="Arial" w:hAnsi="Arial" w:cs="Arial"/>
          <w:noProof/>
          <w:sz w:val="20"/>
          <w:szCs w:val="20"/>
          <w:lang w:val="en-US"/>
        </w:rPr>
        <w:drawing>
          <wp:inline distT="0" distB="0" distL="0" distR="0" wp14:anchorId="744FAA34" wp14:editId="2F41745E">
            <wp:extent cx="2519427" cy="1635034"/>
            <wp:effectExtent l="0" t="0" r="0" b="3810"/>
            <wp:docPr id="92526086" name="Imagem 92526086" descr="Uma imagem com texto, diagrama, captura de ecrã&#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26086" name="Imagem 6" descr="Uma imagem com texto, diagrama, captura de ecrã&#10;&#10;Descrição gerada automaticamente"/>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979" t="3411" r="1627" b="11870"/>
                    <a:stretch/>
                  </pic:blipFill>
                  <pic:spPr bwMode="auto">
                    <a:xfrm>
                      <a:off x="0" y="0"/>
                      <a:ext cx="2523432" cy="1637633"/>
                    </a:xfrm>
                    <a:prstGeom prst="rect">
                      <a:avLst/>
                    </a:prstGeom>
                    <a:noFill/>
                    <a:ln>
                      <a:noFill/>
                    </a:ln>
                    <a:extLst>
                      <a:ext uri="{53640926-AAD7-44D8-BBD7-CCE9431645EC}">
                        <a14:shadowObscured xmlns:a14="http://schemas.microsoft.com/office/drawing/2010/main"/>
                      </a:ext>
                    </a:extLst>
                  </pic:spPr>
                </pic:pic>
              </a:graphicData>
            </a:graphic>
          </wp:inline>
        </w:drawing>
      </w:r>
      <w:r w:rsidRPr="003566A1">
        <w:rPr>
          <w:rFonts w:ascii="Arial" w:hAnsi="Arial" w:cs="Arial"/>
          <w:noProof/>
          <w:sz w:val="20"/>
          <w:szCs w:val="20"/>
          <w:lang w:val="en-US"/>
        </w:rPr>
        <w:drawing>
          <wp:inline distT="0" distB="0" distL="0" distR="0" wp14:anchorId="7D1A0E24" wp14:editId="6B9D6CAB">
            <wp:extent cx="2520000" cy="1640388"/>
            <wp:effectExtent l="0" t="0" r="0" b="0"/>
            <wp:docPr id="538557427" name="Imagem 538557427" descr="Uma imagem com texto, diagrama, mapa, captura de ecrã&#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557427" name="Imagem 5" descr="Uma imagem com texto, diagrama, mapa, captura de ecrã&#10;&#10;Descrição gerada automaticamente"/>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055" t="3689" r="931" b="4762"/>
                    <a:stretch/>
                  </pic:blipFill>
                  <pic:spPr bwMode="auto">
                    <a:xfrm>
                      <a:off x="0" y="0"/>
                      <a:ext cx="2520000" cy="1640388"/>
                    </a:xfrm>
                    <a:prstGeom prst="rect">
                      <a:avLst/>
                    </a:prstGeom>
                    <a:noFill/>
                    <a:ln>
                      <a:noFill/>
                    </a:ln>
                    <a:extLst>
                      <a:ext uri="{53640926-AAD7-44D8-BBD7-CCE9431645EC}">
                        <a14:shadowObscured xmlns:a14="http://schemas.microsoft.com/office/drawing/2010/main"/>
                      </a:ext>
                    </a:extLst>
                  </pic:spPr>
                </pic:pic>
              </a:graphicData>
            </a:graphic>
          </wp:inline>
        </w:drawing>
      </w:r>
      <w:r w:rsidRPr="003566A1">
        <w:rPr>
          <w:rFonts w:ascii="Arial" w:hAnsi="Arial" w:cs="Arial"/>
          <w:noProof/>
          <w:sz w:val="20"/>
          <w:szCs w:val="20"/>
          <w:lang w:val="en-US"/>
        </w:rPr>
        <w:drawing>
          <wp:inline distT="0" distB="0" distL="0" distR="0" wp14:anchorId="115EC40D" wp14:editId="7B93D7CC">
            <wp:extent cx="2519530" cy="1655335"/>
            <wp:effectExtent l="0" t="0" r="0" b="2540"/>
            <wp:docPr id="1961950862" name="Imagem 1961950862" descr="Uma imagem com texto, captura de ecrã, diagrama, file&#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950862" name="Imagem 4" descr="Uma imagem com texto, captura de ecrã, diagrama, file&#10;&#10;Descrição gerada automaticamente"/>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881" t="5534" r="1" b="5484"/>
                    <a:stretch/>
                  </pic:blipFill>
                  <pic:spPr bwMode="auto">
                    <a:xfrm>
                      <a:off x="0" y="0"/>
                      <a:ext cx="2523330" cy="1657832"/>
                    </a:xfrm>
                    <a:prstGeom prst="rect">
                      <a:avLst/>
                    </a:prstGeom>
                    <a:noFill/>
                    <a:ln>
                      <a:noFill/>
                    </a:ln>
                    <a:extLst>
                      <a:ext uri="{53640926-AAD7-44D8-BBD7-CCE9431645EC}">
                        <a14:shadowObscured xmlns:a14="http://schemas.microsoft.com/office/drawing/2010/main"/>
                      </a:ext>
                    </a:extLst>
                  </pic:spPr>
                </pic:pic>
              </a:graphicData>
            </a:graphic>
          </wp:inline>
        </w:drawing>
      </w:r>
      <w:r w:rsidRPr="003566A1">
        <w:rPr>
          <w:rFonts w:ascii="Arial" w:hAnsi="Arial" w:cs="Arial"/>
          <w:noProof/>
          <w:sz w:val="20"/>
          <w:szCs w:val="20"/>
          <w:lang w:val="en-US"/>
        </w:rPr>
        <w:drawing>
          <wp:inline distT="0" distB="0" distL="0" distR="0" wp14:anchorId="71CAAC56" wp14:editId="07424992">
            <wp:extent cx="2520000" cy="1650397"/>
            <wp:effectExtent l="0" t="0" r="0" b="6985"/>
            <wp:docPr id="1794280768" name="Imagem 1794280768" descr="Uma imagem com texto, captura de ecrã, diagrama, file&#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280768" name="Imagem 3" descr="Uma imagem com texto, captura de ecrã, diagrama, file&#10;&#10;Descrição gerada automaticamente"/>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783" t="3121" r="1607" b="4204"/>
                    <a:stretch/>
                  </pic:blipFill>
                  <pic:spPr bwMode="auto">
                    <a:xfrm>
                      <a:off x="0" y="0"/>
                      <a:ext cx="2520000" cy="1650397"/>
                    </a:xfrm>
                    <a:prstGeom prst="rect">
                      <a:avLst/>
                    </a:prstGeom>
                    <a:noFill/>
                    <a:ln>
                      <a:noFill/>
                    </a:ln>
                    <a:extLst>
                      <a:ext uri="{53640926-AAD7-44D8-BBD7-CCE9431645EC}">
                        <a14:shadowObscured xmlns:a14="http://schemas.microsoft.com/office/drawing/2010/main"/>
                      </a:ext>
                    </a:extLst>
                  </pic:spPr>
                </pic:pic>
              </a:graphicData>
            </a:graphic>
          </wp:inline>
        </w:drawing>
      </w:r>
    </w:p>
    <w:p w14:paraId="22D1264F" w14:textId="3B0B0AAA" w:rsidR="00AF6283" w:rsidRDefault="00AF6283" w:rsidP="00FC1F82">
      <w:pPr>
        <w:pStyle w:val="Ttulo2"/>
        <w:numPr>
          <w:ilvl w:val="0"/>
          <w:numId w:val="0"/>
        </w:numPr>
        <w:rPr>
          <w:b/>
          <w:bCs/>
          <w:sz w:val="20"/>
          <w:szCs w:val="20"/>
          <w:lang w:val="en-US"/>
        </w:rPr>
      </w:pPr>
      <w:r w:rsidRPr="00FC1F82">
        <w:rPr>
          <w:b/>
          <w:bCs/>
          <w:sz w:val="20"/>
          <w:szCs w:val="20"/>
        </w:rPr>
        <w:t>β</w:t>
      </w:r>
      <w:r w:rsidRPr="00FC1F82">
        <w:rPr>
          <w:b/>
          <w:bCs/>
          <w:sz w:val="20"/>
          <w:szCs w:val="20"/>
          <w:lang w:val="en-US"/>
        </w:rPr>
        <w:t>-CPP/Alginate 3D Scaffolds</w:t>
      </w:r>
    </w:p>
    <w:p w14:paraId="29B3EE75" w14:textId="77777777" w:rsidR="00FC1F82" w:rsidRPr="00FC1F82" w:rsidRDefault="00FC1F82" w:rsidP="00FC1F82">
      <w:pPr>
        <w:rPr>
          <w:lang w:val="en-US"/>
        </w:rPr>
      </w:pPr>
    </w:p>
    <w:p w14:paraId="6B2C011D" w14:textId="7B3601B0" w:rsidR="002918B7" w:rsidRDefault="0005589C" w:rsidP="0005589C">
      <w:pPr>
        <w:spacing w:after="0" w:line="360" w:lineRule="auto"/>
        <w:ind w:firstLine="708"/>
        <w:jc w:val="both"/>
        <w:rPr>
          <w:rFonts w:ascii="Arial" w:hAnsi="Arial" w:cs="Arial"/>
          <w:sz w:val="20"/>
          <w:szCs w:val="20"/>
          <w:lang w:val="en-US"/>
        </w:rPr>
      </w:pPr>
      <w:r w:rsidRPr="003566A1">
        <w:rPr>
          <w:rFonts w:ascii="Arial" w:hAnsi="Arial" w:cs="Arial"/>
          <w:sz w:val="20"/>
          <w:szCs w:val="20"/>
          <w:lang w:val="en-US"/>
        </w:rPr>
        <w:t xml:space="preserve">Figure </w:t>
      </w:r>
      <w:r w:rsidR="0056023C">
        <w:rPr>
          <w:rFonts w:ascii="Arial" w:hAnsi="Arial" w:cs="Arial"/>
          <w:sz w:val="20"/>
          <w:szCs w:val="20"/>
          <w:lang w:val="en-US"/>
        </w:rPr>
        <w:t>3:</w:t>
      </w:r>
      <w:r w:rsidRPr="003566A1">
        <w:rPr>
          <w:rFonts w:ascii="Arial" w:hAnsi="Arial" w:cs="Arial"/>
          <w:sz w:val="20"/>
          <w:szCs w:val="20"/>
          <w:lang w:val="en-US"/>
        </w:rPr>
        <w:t xml:space="preserve"> shows the chemical mapping of </w:t>
      </w:r>
      <w:r w:rsidRPr="003566A1">
        <w:rPr>
          <w:rFonts w:ascii="Arial" w:hAnsi="Arial" w:cs="Arial"/>
          <w:sz w:val="20"/>
          <w:szCs w:val="20"/>
        </w:rPr>
        <w:t>β</w:t>
      </w:r>
      <w:r w:rsidRPr="003566A1">
        <w:rPr>
          <w:rFonts w:ascii="Arial" w:hAnsi="Arial" w:cs="Arial"/>
          <w:sz w:val="20"/>
          <w:szCs w:val="20"/>
          <w:lang w:val="en-US"/>
        </w:rPr>
        <w:t>-CPP/Alginate 3D Scaffolds using the EDS. The main elements found for the 3D scaffolds standards (</w:t>
      </w:r>
      <w:proofErr w:type="spellStart"/>
      <w:r w:rsidRPr="003566A1">
        <w:rPr>
          <w:rFonts w:ascii="Arial" w:hAnsi="Arial" w:cs="Arial"/>
          <w:sz w:val="20"/>
          <w:szCs w:val="20"/>
          <w:lang w:val="en-US"/>
        </w:rPr>
        <w:t>AlgoA</w:t>
      </w:r>
      <w:proofErr w:type="spellEnd"/>
      <w:r w:rsidRPr="003566A1">
        <w:rPr>
          <w:rFonts w:ascii="Arial" w:hAnsi="Arial" w:cs="Arial"/>
          <w:sz w:val="20"/>
          <w:szCs w:val="20"/>
          <w:lang w:val="en-US"/>
        </w:rPr>
        <w:t xml:space="preserve"> and </w:t>
      </w:r>
      <w:proofErr w:type="spellStart"/>
      <w:r w:rsidRPr="003566A1">
        <w:rPr>
          <w:rFonts w:ascii="Arial" w:hAnsi="Arial" w:cs="Arial"/>
          <w:sz w:val="20"/>
          <w:szCs w:val="20"/>
          <w:lang w:val="en-US"/>
        </w:rPr>
        <w:t>AlgB</w:t>
      </w:r>
      <w:proofErr w:type="spellEnd"/>
      <w:r w:rsidRPr="003566A1">
        <w:rPr>
          <w:rFonts w:ascii="Arial" w:hAnsi="Arial" w:cs="Arial"/>
          <w:sz w:val="20"/>
          <w:szCs w:val="20"/>
          <w:lang w:val="en-US"/>
        </w:rPr>
        <w:t>) were attributed to the oxygen, chlorine, sodium and calcium, characteristic peaks of the sodium alginate polymeric matrix composition, cross-linked with a calcium chloride saline solution. In the groups with all three groups of different concentrations of   β-CPP (1:1,</w:t>
      </w:r>
      <w:r>
        <w:rPr>
          <w:rFonts w:ascii="Arial" w:hAnsi="Arial" w:cs="Arial"/>
          <w:sz w:val="20"/>
          <w:szCs w:val="20"/>
          <w:lang w:val="en-US"/>
        </w:rPr>
        <w:t xml:space="preserve"> 5</w:t>
      </w:r>
      <w:r w:rsidRPr="00593FD4">
        <w:rPr>
          <w:rFonts w:ascii="Arial" w:hAnsi="Arial" w:cs="Arial"/>
          <w:sz w:val="20"/>
          <w:szCs w:val="20"/>
          <w:lang w:val="en-US"/>
        </w:rPr>
        <w:t>:</w:t>
      </w:r>
      <w:r>
        <w:rPr>
          <w:rFonts w:ascii="Arial" w:hAnsi="Arial" w:cs="Arial"/>
          <w:sz w:val="20"/>
          <w:szCs w:val="20"/>
          <w:lang w:val="en-US"/>
        </w:rPr>
        <w:t>3</w:t>
      </w:r>
      <w:r w:rsidRPr="003566A1">
        <w:rPr>
          <w:rFonts w:ascii="Arial" w:hAnsi="Arial" w:cs="Arial"/>
          <w:sz w:val="20"/>
          <w:szCs w:val="20"/>
          <w:lang w:val="en-US"/>
        </w:rPr>
        <w:t xml:space="preserve"> and </w:t>
      </w:r>
      <w:r>
        <w:rPr>
          <w:rFonts w:ascii="Arial" w:hAnsi="Arial" w:cs="Arial"/>
          <w:sz w:val="20"/>
          <w:szCs w:val="20"/>
          <w:lang w:val="en-US"/>
        </w:rPr>
        <w:t>2</w:t>
      </w:r>
      <w:r w:rsidRPr="003566A1">
        <w:rPr>
          <w:rFonts w:ascii="Arial" w:hAnsi="Arial" w:cs="Arial"/>
          <w:sz w:val="20"/>
          <w:szCs w:val="20"/>
          <w:lang w:val="en-US"/>
        </w:rPr>
        <w:t>:</w:t>
      </w:r>
      <w:r>
        <w:rPr>
          <w:rFonts w:ascii="Arial" w:hAnsi="Arial" w:cs="Arial"/>
          <w:sz w:val="20"/>
          <w:szCs w:val="20"/>
          <w:lang w:val="en-US"/>
        </w:rPr>
        <w:t>1</w:t>
      </w:r>
      <w:r w:rsidRPr="003566A1">
        <w:rPr>
          <w:rFonts w:ascii="Arial" w:hAnsi="Arial" w:cs="Arial"/>
          <w:sz w:val="20"/>
          <w:szCs w:val="20"/>
          <w:lang w:val="en-US"/>
        </w:rPr>
        <w:t xml:space="preserve">) were observed the appearance of the signal related to the phosphorus element in the composition, corroborating a detectable amount of β-CPP </w:t>
      </w:r>
      <w:proofErr w:type="spellStart"/>
      <w:r w:rsidRPr="003566A1">
        <w:rPr>
          <w:rFonts w:ascii="Arial" w:hAnsi="Arial" w:cs="Arial"/>
          <w:sz w:val="20"/>
          <w:szCs w:val="20"/>
          <w:lang w:val="en-US"/>
        </w:rPr>
        <w:t>bioceramic</w:t>
      </w:r>
      <w:proofErr w:type="spellEnd"/>
      <w:r w:rsidRPr="003566A1">
        <w:rPr>
          <w:rFonts w:ascii="Arial" w:hAnsi="Arial" w:cs="Arial"/>
          <w:sz w:val="20"/>
          <w:szCs w:val="20"/>
          <w:lang w:val="en-US"/>
        </w:rPr>
        <w:t xml:space="preserve"> in the 3D structure.</w:t>
      </w:r>
    </w:p>
    <w:p w14:paraId="3A069ACC" w14:textId="22E9C52B" w:rsidR="0056023C" w:rsidRPr="0005589C" w:rsidRDefault="0056023C" w:rsidP="0005589C">
      <w:pPr>
        <w:spacing w:after="0" w:line="360" w:lineRule="auto"/>
        <w:ind w:firstLine="708"/>
        <w:jc w:val="both"/>
        <w:rPr>
          <w:rFonts w:ascii="Arial" w:hAnsi="Arial" w:cs="Arial"/>
          <w:sz w:val="20"/>
          <w:szCs w:val="20"/>
          <w:lang w:val="en-US"/>
        </w:rPr>
        <w:sectPr w:rsidR="0056023C" w:rsidRPr="0005589C" w:rsidSect="00385C18">
          <w:footerReference w:type="default" r:id="rId16"/>
          <w:pgSz w:w="11906" w:h="16838"/>
          <w:pgMar w:top="709" w:right="991" w:bottom="1417" w:left="1276" w:header="708" w:footer="708" w:gutter="0"/>
          <w:lnNumType w:countBy="1" w:restart="continuous"/>
          <w:cols w:space="708"/>
          <w:docGrid w:linePitch="360"/>
        </w:sectPr>
      </w:pPr>
    </w:p>
    <w:p w14:paraId="2A6D588E" w14:textId="3F444AD6" w:rsidR="002918B7" w:rsidRPr="003566A1" w:rsidRDefault="002918B7" w:rsidP="002918B7">
      <w:pPr>
        <w:pStyle w:val="Legenda2"/>
        <w:spacing w:after="0" w:line="360" w:lineRule="auto"/>
        <w:rPr>
          <w:sz w:val="20"/>
          <w:szCs w:val="20"/>
          <w:lang w:val="en-US"/>
        </w:rPr>
      </w:pPr>
      <w:bookmarkStart w:id="2" w:name="_Toc124343769"/>
      <w:r w:rsidRPr="003566A1">
        <w:rPr>
          <w:sz w:val="20"/>
          <w:szCs w:val="20"/>
          <w:lang w:val="en-US"/>
        </w:rPr>
        <w:lastRenderedPageBreak/>
        <w:t xml:space="preserve">Figure </w:t>
      </w:r>
      <w:r w:rsidR="0056023C">
        <w:rPr>
          <w:sz w:val="20"/>
          <w:szCs w:val="20"/>
          <w:lang w:val="en-US"/>
        </w:rPr>
        <w:t>3</w:t>
      </w:r>
      <w:r w:rsidRPr="003566A1">
        <w:rPr>
          <w:sz w:val="20"/>
          <w:szCs w:val="20"/>
          <w:lang w:val="en-US"/>
        </w:rPr>
        <w:t xml:space="preserve">: EDS </w:t>
      </w:r>
      <w:bookmarkEnd w:id="2"/>
      <w:r w:rsidRPr="003566A1">
        <w:rPr>
          <w:sz w:val="20"/>
          <w:szCs w:val="20"/>
          <w:lang w:val="en-US"/>
        </w:rPr>
        <w:t>β-CPP/Alginate 3D Scaffolds.</w:t>
      </w:r>
    </w:p>
    <w:p w14:paraId="3FEB0E43" w14:textId="77777777" w:rsidR="002918B7" w:rsidRPr="003566A1" w:rsidRDefault="002918B7" w:rsidP="002918B7">
      <w:pPr>
        <w:spacing w:after="0" w:line="360" w:lineRule="auto"/>
        <w:jc w:val="both"/>
        <w:rPr>
          <w:rFonts w:ascii="Arial" w:hAnsi="Arial" w:cs="Arial"/>
          <w:sz w:val="20"/>
          <w:szCs w:val="20"/>
        </w:rPr>
      </w:pPr>
      <w:r w:rsidRPr="003566A1">
        <w:rPr>
          <w:rFonts w:ascii="Arial" w:hAnsi="Arial" w:cs="Arial"/>
          <w:noProof/>
          <w:sz w:val="20"/>
          <w:szCs w:val="20"/>
        </w:rPr>
        <w:drawing>
          <wp:inline distT="0" distB="0" distL="0" distR="0" wp14:anchorId="297400B9" wp14:editId="624C7A8B">
            <wp:extent cx="2491982" cy="2019300"/>
            <wp:effectExtent l="0" t="0" r="3810" b="0"/>
            <wp:docPr id="1291432848" name="Imagem 1291432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6412" t="10001" r="12330" b="3870"/>
                    <a:stretch/>
                  </pic:blipFill>
                  <pic:spPr bwMode="auto">
                    <a:xfrm>
                      <a:off x="0" y="0"/>
                      <a:ext cx="2502255" cy="2027624"/>
                    </a:xfrm>
                    <a:prstGeom prst="rect">
                      <a:avLst/>
                    </a:prstGeom>
                    <a:noFill/>
                    <a:ln>
                      <a:noFill/>
                    </a:ln>
                    <a:extLst>
                      <a:ext uri="{53640926-AAD7-44D8-BBD7-CCE9431645EC}">
                        <a14:shadowObscured xmlns:a14="http://schemas.microsoft.com/office/drawing/2010/main"/>
                      </a:ext>
                    </a:extLst>
                  </pic:spPr>
                </pic:pic>
              </a:graphicData>
            </a:graphic>
          </wp:inline>
        </w:drawing>
      </w:r>
      <w:r w:rsidRPr="003566A1">
        <w:rPr>
          <w:rFonts w:ascii="Arial" w:hAnsi="Arial" w:cs="Arial"/>
          <w:noProof/>
          <w:sz w:val="20"/>
          <w:szCs w:val="20"/>
        </w:rPr>
        <w:drawing>
          <wp:inline distT="0" distB="0" distL="0" distR="0" wp14:anchorId="2B060F53" wp14:editId="22869B0D">
            <wp:extent cx="2476500" cy="2020610"/>
            <wp:effectExtent l="0" t="0" r="0" b="0"/>
            <wp:docPr id="369298027" name="Imagem 369298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7892" t="10001" r="13070" b="5645"/>
                    <a:stretch/>
                  </pic:blipFill>
                  <pic:spPr bwMode="auto">
                    <a:xfrm>
                      <a:off x="0" y="0"/>
                      <a:ext cx="2486060" cy="2028410"/>
                    </a:xfrm>
                    <a:prstGeom prst="rect">
                      <a:avLst/>
                    </a:prstGeom>
                    <a:noFill/>
                    <a:ln>
                      <a:noFill/>
                    </a:ln>
                    <a:extLst>
                      <a:ext uri="{53640926-AAD7-44D8-BBD7-CCE9431645EC}">
                        <a14:shadowObscured xmlns:a14="http://schemas.microsoft.com/office/drawing/2010/main"/>
                      </a:ext>
                    </a:extLst>
                  </pic:spPr>
                </pic:pic>
              </a:graphicData>
            </a:graphic>
          </wp:inline>
        </w:drawing>
      </w:r>
    </w:p>
    <w:p w14:paraId="378EEF8A" w14:textId="77777777" w:rsidR="002918B7" w:rsidRPr="00F60F4E" w:rsidRDefault="002918B7" w:rsidP="002918B7">
      <w:pPr>
        <w:spacing w:after="0" w:line="360" w:lineRule="auto"/>
        <w:jc w:val="both"/>
        <w:rPr>
          <w:rFonts w:ascii="Arial" w:hAnsi="Arial" w:cs="Arial"/>
          <w:sz w:val="20"/>
          <w:szCs w:val="20"/>
          <w:lang w:val="en-US"/>
        </w:rPr>
      </w:pPr>
      <w:r w:rsidRPr="003566A1">
        <w:rPr>
          <w:rFonts w:ascii="Arial" w:hAnsi="Arial" w:cs="Arial"/>
          <w:noProof/>
          <w:sz w:val="20"/>
          <w:szCs w:val="20"/>
        </w:rPr>
        <w:drawing>
          <wp:inline distT="0" distB="0" distL="0" distR="0" wp14:anchorId="20F70888" wp14:editId="400F15D5">
            <wp:extent cx="2479626" cy="1980000"/>
            <wp:effectExtent l="0" t="0" r="0" b="1270"/>
            <wp:docPr id="1899490622" name="Imagem 1899490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4809" t="8710" r="12576" b="5000"/>
                    <a:stretch/>
                  </pic:blipFill>
                  <pic:spPr bwMode="auto">
                    <a:xfrm>
                      <a:off x="0" y="0"/>
                      <a:ext cx="2479626" cy="1980000"/>
                    </a:xfrm>
                    <a:prstGeom prst="rect">
                      <a:avLst/>
                    </a:prstGeom>
                    <a:noFill/>
                    <a:ln>
                      <a:noFill/>
                    </a:ln>
                    <a:extLst>
                      <a:ext uri="{53640926-AAD7-44D8-BBD7-CCE9431645EC}">
                        <a14:shadowObscured xmlns:a14="http://schemas.microsoft.com/office/drawing/2010/main"/>
                      </a:ext>
                    </a:extLst>
                  </pic:spPr>
                </pic:pic>
              </a:graphicData>
            </a:graphic>
          </wp:inline>
        </w:drawing>
      </w:r>
      <w:r w:rsidRPr="00F60F4E">
        <w:rPr>
          <w:rFonts w:ascii="Arial" w:hAnsi="Arial" w:cs="Arial"/>
          <w:sz w:val="20"/>
          <w:szCs w:val="20"/>
          <w:lang w:val="en-US"/>
        </w:rPr>
        <w:t xml:space="preserve"> </w:t>
      </w:r>
      <w:r w:rsidRPr="003566A1">
        <w:rPr>
          <w:rFonts w:ascii="Arial" w:hAnsi="Arial" w:cs="Arial"/>
          <w:noProof/>
          <w:sz w:val="20"/>
          <w:szCs w:val="20"/>
        </w:rPr>
        <w:drawing>
          <wp:inline distT="0" distB="0" distL="0" distR="0" wp14:anchorId="1DC570B6" wp14:editId="3A81B1E9">
            <wp:extent cx="2491685" cy="1980000"/>
            <wp:effectExtent l="0" t="0" r="4445" b="0"/>
            <wp:docPr id="1627363638" name="Imagem 1627363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4439" t="9516" r="12700" b="4355"/>
                    <a:stretch/>
                  </pic:blipFill>
                  <pic:spPr bwMode="auto">
                    <a:xfrm>
                      <a:off x="0" y="0"/>
                      <a:ext cx="2491685" cy="1980000"/>
                    </a:xfrm>
                    <a:prstGeom prst="rect">
                      <a:avLst/>
                    </a:prstGeom>
                    <a:noFill/>
                    <a:ln>
                      <a:noFill/>
                    </a:ln>
                    <a:extLst>
                      <a:ext uri="{53640926-AAD7-44D8-BBD7-CCE9431645EC}">
                        <a14:shadowObscured xmlns:a14="http://schemas.microsoft.com/office/drawing/2010/main"/>
                      </a:ext>
                    </a:extLst>
                  </pic:spPr>
                </pic:pic>
              </a:graphicData>
            </a:graphic>
          </wp:inline>
        </w:drawing>
      </w:r>
    </w:p>
    <w:p w14:paraId="01885AC0" w14:textId="77777777" w:rsidR="002918B7" w:rsidRPr="00F60F4E" w:rsidRDefault="002918B7" w:rsidP="002918B7">
      <w:pPr>
        <w:spacing w:after="0" w:line="360" w:lineRule="auto"/>
        <w:jc w:val="both"/>
        <w:rPr>
          <w:rFonts w:ascii="Arial" w:hAnsi="Arial" w:cs="Arial"/>
          <w:sz w:val="20"/>
          <w:szCs w:val="20"/>
          <w:lang w:val="en-US"/>
        </w:rPr>
      </w:pPr>
      <w:r w:rsidRPr="0081581E">
        <w:rPr>
          <w:rFonts w:ascii="Arial" w:hAnsi="Arial" w:cs="Arial"/>
          <w:noProof/>
          <w:sz w:val="20"/>
          <w:szCs w:val="20"/>
        </w:rPr>
        <w:drawing>
          <wp:inline distT="0" distB="0" distL="0" distR="0" wp14:anchorId="1C930F8A" wp14:editId="50C7D715">
            <wp:extent cx="2440745" cy="1962953"/>
            <wp:effectExtent l="0" t="0" r="0" b="0"/>
            <wp:docPr id="849320239"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4963" t="8876" r="12502" b="4363"/>
                    <a:stretch/>
                  </pic:blipFill>
                  <pic:spPr bwMode="auto">
                    <a:xfrm>
                      <a:off x="0" y="0"/>
                      <a:ext cx="2449760" cy="1970203"/>
                    </a:xfrm>
                    <a:prstGeom prst="rect">
                      <a:avLst/>
                    </a:prstGeom>
                    <a:noFill/>
                    <a:ln>
                      <a:noFill/>
                    </a:ln>
                    <a:extLst>
                      <a:ext uri="{53640926-AAD7-44D8-BBD7-CCE9431645EC}">
                        <a14:shadowObscured xmlns:a14="http://schemas.microsoft.com/office/drawing/2010/main"/>
                      </a:ext>
                    </a:extLst>
                  </pic:spPr>
                </pic:pic>
              </a:graphicData>
            </a:graphic>
          </wp:inline>
        </w:drawing>
      </w:r>
      <w:r w:rsidRPr="0081581E">
        <w:rPr>
          <w:rFonts w:ascii="Arial" w:hAnsi="Arial" w:cs="Arial"/>
          <w:noProof/>
          <w:sz w:val="20"/>
          <w:szCs w:val="20"/>
        </w:rPr>
        <w:drawing>
          <wp:inline distT="0" distB="0" distL="0" distR="0" wp14:anchorId="1D931214" wp14:editId="2E294DC0">
            <wp:extent cx="2480330" cy="1940456"/>
            <wp:effectExtent l="0" t="0" r="0" b="3175"/>
            <wp:docPr id="1325761538"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5331" t="9889" r="11790" b="5358"/>
                    <a:stretch/>
                  </pic:blipFill>
                  <pic:spPr bwMode="auto">
                    <a:xfrm>
                      <a:off x="0" y="0"/>
                      <a:ext cx="2504560" cy="1959412"/>
                    </a:xfrm>
                    <a:prstGeom prst="rect">
                      <a:avLst/>
                    </a:prstGeom>
                    <a:noFill/>
                    <a:ln>
                      <a:noFill/>
                    </a:ln>
                    <a:extLst>
                      <a:ext uri="{53640926-AAD7-44D8-BBD7-CCE9431645EC}">
                        <a14:shadowObscured xmlns:a14="http://schemas.microsoft.com/office/drawing/2010/main"/>
                      </a:ext>
                    </a:extLst>
                  </pic:spPr>
                </pic:pic>
              </a:graphicData>
            </a:graphic>
          </wp:inline>
        </w:drawing>
      </w:r>
      <w:r w:rsidRPr="00F60F4E">
        <w:rPr>
          <w:rFonts w:ascii="Arial" w:hAnsi="Arial" w:cs="Arial"/>
          <w:sz w:val="20"/>
          <w:szCs w:val="20"/>
          <w:lang w:val="en-US"/>
        </w:rPr>
        <w:t xml:space="preserve"> </w:t>
      </w:r>
      <w:r w:rsidRPr="0081581E">
        <w:rPr>
          <w:rFonts w:ascii="Arial" w:hAnsi="Arial" w:cs="Arial"/>
          <w:noProof/>
          <w:sz w:val="20"/>
          <w:szCs w:val="20"/>
        </w:rPr>
        <w:drawing>
          <wp:inline distT="0" distB="0" distL="0" distR="0" wp14:anchorId="01989958" wp14:editId="563F693C">
            <wp:extent cx="2443514" cy="1996189"/>
            <wp:effectExtent l="0" t="0" r="0" b="4445"/>
            <wp:docPr id="1533746546"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6696" t="9822" r="13510" b="4972"/>
                    <a:stretch/>
                  </pic:blipFill>
                  <pic:spPr bwMode="auto">
                    <a:xfrm>
                      <a:off x="0" y="0"/>
                      <a:ext cx="2472937" cy="2020226"/>
                    </a:xfrm>
                    <a:prstGeom prst="rect">
                      <a:avLst/>
                    </a:prstGeom>
                    <a:noFill/>
                    <a:ln>
                      <a:noFill/>
                    </a:ln>
                    <a:extLst>
                      <a:ext uri="{53640926-AAD7-44D8-BBD7-CCE9431645EC}">
                        <a14:shadowObscured xmlns:a14="http://schemas.microsoft.com/office/drawing/2010/main"/>
                      </a:ext>
                    </a:extLst>
                  </pic:spPr>
                </pic:pic>
              </a:graphicData>
            </a:graphic>
          </wp:inline>
        </w:drawing>
      </w:r>
      <w:r w:rsidRPr="0081581E">
        <w:rPr>
          <w:rFonts w:ascii="Arial" w:hAnsi="Arial" w:cs="Arial"/>
          <w:noProof/>
          <w:sz w:val="20"/>
          <w:szCs w:val="20"/>
        </w:rPr>
        <w:drawing>
          <wp:inline distT="0" distB="0" distL="0" distR="0" wp14:anchorId="59B4F957" wp14:editId="0ECE5C0B">
            <wp:extent cx="2574387" cy="2095912"/>
            <wp:effectExtent l="0" t="0" r="0" b="0"/>
            <wp:docPr id="1536754899"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7242" t="9822" r="12690" b="4972"/>
                    <a:stretch/>
                  </pic:blipFill>
                  <pic:spPr bwMode="auto">
                    <a:xfrm>
                      <a:off x="0" y="0"/>
                      <a:ext cx="2587841" cy="2106865"/>
                    </a:xfrm>
                    <a:prstGeom prst="rect">
                      <a:avLst/>
                    </a:prstGeom>
                    <a:noFill/>
                    <a:ln>
                      <a:noFill/>
                    </a:ln>
                    <a:extLst>
                      <a:ext uri="{53640926-AAD7-44D8-BBD7-CCE9431645EC}">
                        <a14:shadowObscured xmlns:a14="http://schemas.microsoft.com/office/drawing/2010/main"/>
                      </a:ext>
                    </a:extLst>
                  </pic:spPr>
                </pic:pic>
              </a:graphicData>
            </a:graphic>
          </wp:inline>
        </w:drawing>
      </w:r>
    </w:p>
    <w:p w14:paraId="28E5493B" w14:textId="77777777" w:rsidR="0083117E" w:rsidRPr="0083117E" w:rsidRDefault="0083117E" w:rsidP="0083117E">
      <w:pPr>
        <w:spacing w:after="0" w:line="360" w:lineRule="auto"/>
        <w:jc w:val="both"/>
        <w:rPr>
          <w:rFonts w:ascii="Arial" w:hAnsi="Arial" w:cs="Arial"/>
          <w:sz w:val="20"/>
          <w:szCs w:val="20"/>
          <w:lang w:val="en-US"/>
        </w:rPr>
      </w:pPr>
    </w:p>
    <w:p w14:paraId="7825AB36" w14:textId="77777777" w:rsidR="002B6D69" w:rsidRPr="00D11AE6" w:rsidRDefault="00391995" w:rsidP="00522D79">
      <w:pPr>
        <w:spacing w:after="0" w:line="360" w:lineRule="auto"/>
        <w:jc w:val="both"/>
        <w:rPr>
          <w:rFonts w:ascii="Arial" w:hAnsi="Arial" w:cs="Arial"/>
          <w:sz w:val="20"/>
          <w:szCs w:val="20"/>
          <w:lang w:val="en-US"/>
        </w:rPr>
      </w:pPr>
      <w:r w:rsidRPr="00D11AE6">
        <w:rPr>
          <w:rFonts w:ascii="Arial" w:hAnsi="Arial" w:cs="Arial"/>
          <w:sz w:val="20"/>
          <w:szCs w:val="20"/>
          <w:lang w:val="en-US"/>
        </w:rPr>
        <w:lastRenderedPageBreak/>
        <w:t>REFERENCES</w:t>
      </w:r>
    </w:p>
    <w:p w14:paraId="7825AB37" w14:textId="77777777" w:rsidR="002B6D69" w:rsidRPr="00D11AE6" w:rsidRDefault="00391995" w:rsidP="00522D79">
      <w:pPr>
        <w:widowControl w:val="0"/>
        <w:autoSpaceDE w:val="0"/>
        <w:spacing w:after="0" w:line="360" w:lineRule="auto"/>
        <w:jc w:val="both"/>
        <w:rPr>
          <w:sz w:val="20"/>
          <w:szCs w:val="20"/>
          <w:lang w:val="en-US"/>
        </w:rPr>
      </w:pPr>
      <w:r w:rsidRPr="00D11AE6">
        <w:rPr>
          <w:rFonts w:ascii="Arial" w:hAnsi="Arial" w:cs="Arial"/>
          <w:sz w:val="20"/>
          <w:szCs w:val="20"/>
          <w:lang w:val="en-US"/>
        </w:rPr>
        <w:t>[1]</w:t>
      </w:r>
      <w:r w:rsidRPr="00D11AE6">
        <w:rPr>
          <w:rFonts w:ascii="Arial" w:hAnsi="Arial" w:cs="Arial"/>
          <w:sz w:val="20"/>
          <w:szCs w:val="20"/>
          <w:lang w:val="en-US"/>
        </w:rPr>
        <w:tab/>
        <w:t xml:space="preserve">R. Debone Piazza, J.V. Brandt, C. Carvalho dos Santos, R. Fernando Costa Marques, M. </w:t>
      </w:r>
      <w:proofErr w:type="spellStart"/>
      <w:r w:rsidRPr="00D11AE6">
        <w:rPr>
          <w:rFonts w:ascii="Arial" w:hAnsi="Arial" w:cs="Arial"/>
          <w:sz w:val="20"/>
          <w:szCs w:val="20"/>
          <w:lang w:val="en-US"/>
        </w:rPr>
        <w:t>Jafelicci</w:t>
      </w:r>
      <w:proofErr w:type="spellEnd"/>
      <w:r w:rsidRPr="00D11AE6">
        <w:rPr>
          <w:rFonts w:ascii="Arial" w:hAnsi="Arial" w:cs="Arial"/>
          <w:sz w:val="20"/>
          <w:szCs w:val="20"/>
          <w:lang w:val="en-US"/>
        </w:rPr>
        <w:t xml:space="preserve"> Junior, Gelatin/dextran</w:t>
      </w:r>
      <w:r w:rsidRPr="00D11AE6">
        <w:rPr>
          <w:rFonts w:ascii="Cambria Math" w:hAnsi="Cambria Math" w:cs="Cambria Math"/>
          <w:sz w:val="20"/>
          <w:szCs w:val="20"/>
          <w:lang w:val="en-US"/>
        </w:rPr>
        <w:t>‐</w:t>
      </w:r>
      <w:r w:rsidRPr="00D11AE6">
        <w:rPr>
          <w:rFonts w:ascii="Arial" w:hAnsi="Arial" w:cs="Arial"/>
          <w:sz w:val="20"/>
          <w:szCs w:val="20"/>
          <w:lang w:val="en-US"/>
        </w:rPr>
        <w:t>based hydrogel cross</w:t>
      </w:r>
      <w:r w:rsidRPr="00D11AE6">
        <w:rPr>
          <w:rFonts w:ascii="Cambria Math" w:hAnsi="Cambria Math" w:cs="Cambria Math"/>
          <w:sz w:val="20"/>
          <w:szCs w:val="20"/>
          <w:lang w:val="en-US"/>
        </w:rPr>
        <w:t>‐</w:t>
      </w:r>
      <w:r w:rsidRPr="00D11AE6">
        <w:rPr>
          <w:rFonts w:ascii="Arial" w:hAnsi="Arial" w:cs="Arial"/>
          <w:sz w:val="20"/>
          <w:szCs w:val="20"/>
          <w:lang w:val="en-US"/>
        </w:rPr>
        <w:t>linked by Diels–Alder click chemistry: the swelling and potassium diclofenac releasing, Med. Devices Sensors. 4 (2021) 1–14. https://doi.org/10.1002/mds3.10151.</w:t>
      </w:r>
    </w:p>
    <w:p w14:paraId="7825AB38" w14:textId="77777777" w:rsidR="002B6D69" w:rsidRPr="00D11AE6" w:rsidRDefault="00391995" w:rsidP="00522D79">
      <w:pPr>
        <w:widowControl w:val="0"/>
        <w:autoSpaceDE w:val="0"/>
        <w:spacing w:after="0" w:line="360" w:lineRule="auto"/>
        <w:jc w:val="both"/>
        <w:rPr>
          <w:rFonts w:ascii="Arial" w:hAnsi="Arial" w:cs="Arial"/>
          <w:sz w:val="20"/>
          <w:szCs w:val="20"/>
          <w:lang w:val="en-US"/>
        </w:rPr>
      </w:pPr>
      <w:r w:rsidRPr="00D11AE6">
        <w:rPr>
          <w:rFonts w:ascii="Arial" w:hAnsi="Arial" w:cs="Arial"/>
          <w:sz w:val="20"/>
          <w:szCs w:val="20"/>
          <w:lang w:val="en-US"/>
        </w:rPr>
        <w:t>[2]</w:t>
      </w:r>
      <w:r w:rsidRPr="00D11AE6">
        <w:rPr>
          <w:rFonts w:ascii="Arial" w:hAnsi="Arial" w:cs="Arial"/>
          <w:sz w:val="20"/>
          <w:szCs w:val="20"/>
          <w:lang w:val="en-US"/>
        </w:rPr>
        <w:tab/>
        <w:t xml:space="preserve">M.L. Leite, C. Anselmi, I.P.M. Soares, A.P. Manso, J. </w:t>
      </w:r>
      <w:proofErr w:type="spellStart"/>
      <w:r w:rsidRPr="00D11AE6">
        <w:rPr>
          <w:rFonts w:ascii="Arial" w:hAnsi="Arial" w:cs="Arial"/>
          <w:sz w:val="20"/>
          <w:szCs w:val="20"/>
          <w:lang w:val="en-US"/>
        </w:rPr>
        <w:t>Hebling</w:t>
      </w:r>
      <w:proofErr w:type="spellEnd"/>
      <w:r w:rsidRPr="00D11AE6">
        <w:rPr>
          <w:rFonts w:ascii="Arial" w:hAnsi="Arial" w:cs="Arial"/>
          <w:sz w:val="20"/>
          <w:szCs w:val="20"/>
          <w:lang w:val="en-US"/>
        </w:rPr>
        <w:t>, R.M. Carvalho, C.A. de Souza Costa, Calcium silicate-coated porous chitosan scaffold as a cell-free tissue engineering system for direct pulp capping, Dent. Mater. 38 (2022) 1763–1776. https://doi.org/10.1016/j.dental.2022.09.014.</w:t>
      </w:r>
    </w:p>
    <w:p w14:paraId="7825AB39" w14:textId="77777777" w:rsidR="002B6D69" w:rsidRPr="00D11AE6" w:rsidRDefault="00391995" w:rsidP="00522D79">
      <w:pPr>
        <w:widowControl w:val="0"/>
        <w:autoSpaceDE w:val="0"/>
        <w:spacing w:after="0" w:line="360" w:lineRule="auto"/>
        <w:jc w:val="both"/>
        <w:rPr>
          <w:sz w:val="20"/>
          <w:szCs w:val="20"/>
        </w:rPr>
      </w:pPr>
      <w:r w:rsidRPr="00D11AE6">
        <w:rPr>
          <w:rFonts w:ascii="Arial" w:hAnsi="Arial" w:cs="Arial"/>
          <w:sz w:val="20"/>
          <w:szCs w:val="20"/>
          <w:lang w:val="en-US"/>
        </w:rPr>
        <w:t>[3]</w:t>
      </w:r>
      <w:r w:rsidRPr="00D11AE6">
        <w:rPr>
          <w:rFonts w:ascii="Arial" w:hAnsi="Arial" w:cs="Arial"/>
          <w:sz w:val="20"/>
          <w:szCs w:val="20"/>
          <w:lang w:val="en-US"/>
        </w:rPr>
        <w:tab/>
        <w:t xml:space="preserve">I.P. Mendes Soares, C. Anselmi, F.A. Kitagawa, R.A. de O. Ribeiro, M.L. Leite, C.A. de Souza Costa, J. </w:t>
      </w:r>
      <w:proofErr w:type="spellStart"/>
      <w:r w:rsidRPr="00D11AE6">
        <w:rPr>
          <w:rFonts w:ascii="Arial" w:hAnsi="Arial" w:cs="Arial"/>
          <w:sz w:val="20"/>
          <w:szCs w:val="20"/>
          <w:lang w:val="en-US"/>
        </w:rPr>
        <w:t>Hebling</w:t>
      </w:r>
      <w:proofErr w:type="spellEnd"/>
      <w:r w:rsidRPr="00D11AE6">
        <w:rPr>
          <w:rFonts w:ascii="Arial" w:hAnsi="Arial" w:cs="Arial"/>
          <w:sz w:val="20"/>
          <w:szCs w:val="20"/>
          <w:lang w:val="en-US"/>
        </w:rPr>
        <w:t xml:space="preserve">, Nano-hydroxyapatite-incorporated polycaprolactone nanofibrous scaffold as a </w:t>
      </w:r>
      <w:proofErr w:type="spellStart"/>
      <w:r w:rsidRPr="00D11AE6">
        <w:rPr>
          <w:rFonts w:ascii="Arial" w:hAnsi="Arial" w:cs="Arial"/>
          <w:sz w:val="20"/>
          <w:szCs w:val="20"/>
          <w:lang w:val="en-US"/>
        </w:rPr>
        <w:t>dentin</w:t>
      </w:r>
      <w:proofErr w:type="spellEnd"/>
      <w:r w:rsidRPr="00D11AE6">
        <w:rPr>
          <w:rFonts w:ascii="Arial" w:hAnsi="Arial" w:cs="Arial"/>
          <w:sz w:val="20"/>
          <w:szCs w:val="20"/>
          <w:lang w:val="en-US"/>
        </w:rPr>
        <w:t xml:space="preserve"> tissue engineering-based strategy for vital pulp therapy, Dent. </w:t>
      </w:r>
      <w:r w:rsidRPr="00D11AE6">
        <w:rPr>
          <w:rFonts w:ascii="Arial" w:hAnsi="Arial" w:cs="Arial"/>
          <w:sz w:val="20"/>
          <w:szCs w:val="20"/>
        </w:rPr>
        <w:t>Mater. 38 (2022) 960–977. https://doi.org/10.1016/j.dental.2022.03.006.</w:t>
      </w:r>
    </w:p>
    <w:p w14:paraId="7825AB3A" w14:textId="77777777" w:rsidR="002B6D69" w:rsidRPr="00D11AE6" w:rsidRDefault="002B6D69" w:rsidP="00522D79">
      <w:pPr>
        <w:spacing w:after="0" w:line="360" w:lineRule="auto"/>
        <w:jc w:val="both"/>
        <w:rPr>
          <w:rFonts w:ascii="Arial" w:hAnsi="Arial" w:cs="Arial"/>
          <w:sz w:val="20"/>
          <w:szCs w:val="20"/>
        </w:rPr>
      </w:pPr>
    </w:p>
    <w:sectPr w:rsidR="002B6D69" w:rsidRPr="00D11AE6">
      <w:pgSz w:w="11906" w:h="16838"/>
      <w:pgMar w:top="1417" w:right="1701" w:bottom="1417"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4F1698" w14:textId="77777777" w:rsidR="00385C18" w:rsidRDefault="00385C18">
      <w:pPr>
        <w:spacing w:after="0" w:line="240" w:lineRule="auto"/>
      </w:pPr>
      <w:r>
        <w:separator/>
      </w:r>
    </w:p>
  </w:endnote>
  <w:endnote w:type="continuationSeparator" w:id="0">
    <w:p w14:paraId="09B86E90" w14:textId="77777777" w:rsidR="00385C18" w:rsidRDefault="00385C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1592521"/>
      <w:docPartObj>
        <w:docPartGallery w:val="Page Numbers (Bottom of Page)"/>
        <w:docPartUnique/>
      </w:docPartObj>
    </w:sdtPr>
    <w:sdtContent>
      <w:p w14:paraId="1DADD8E1" w14:textId="77777777" w:rsidR="002918B7" w:rsidRDefault="002918B7">
        <w:pPr>
          <w:pStyle w:val="Rodap"/>
          <w:jc w:val="right"/>
        </w:pPr>
        <w:r>
          <w:fldChar w:fldCharType="begin"/>
        </w:r>
        <w:r>
          <w:instrText>PAGE   \* MERGEFORMAT</w:instrText>
        </w:r>
        <w:r>
          <w:fldChar w:fldCharType="separate"/>
        </w:r>
        <w:r>
          <w:t>2</w:t>
        </w:r>
        <w:r>
          <w:fldChar w:fldCharType="end"/>
        </w:r>
      </w:p>
    </w:sdtContent>
  </w:sdt>
  <w:p w14:paraId="31660322" w14:textId="77777777" w:rsidR="002918B7" w:rsidRDefault="002918B7">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6231FC" w14:textId="77777777" w:rsidR="00385C18" w:rsidRDefault="00385C18">
      <w:pPr>
        <w:spacing w:after="0" w:line="240" w:lineRule="auto"/>
      </w:pPr>
      <w:r>
        <w:rPr>
          <w:color w:val="000000"/>
        </w:rPr>
        <w:separator/>
      </w:r>
    </w:p>
  </w:footnote>
  <w:footnote w:type="continuationSeparator" w:id="0">
    <w:p w14:paraId="1990216B" w14:textId="77777777" w:rsidR="00385C18" w:rsidRDefault="00385C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FE41C0"/>
    <w:multiLevelType w:val="multilevel"/>
    <w:tmpl w:val="3BE63CEA"/>
    <w:lvl w:ilvl="0">
      <w:start w:val="3"/>
      <w:numFmt w:val="decimal"/>
      <w:lvlText w:val="%1"/>
      <w:lvlJc w:val="left"/>
      <w:pPr>
        <w:ind w:left="530" w:hanging="530"/>
      </w:pPr>
      <w:rPr>
        <w:rFonts w:hint="default"/>
      </w:rPr>
    </w:lvl>
    <w:lvl w:ilvl="1">
      <w:start w:val="2"/>
      <w:numFmt w:val="decimal"/>
      <w:lvlText w:val="%1.%2"/>
      <w:lvlJc w:val="left"/>
      <w:pPr>
        <w:ind w:left="813" w:hanging="53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1" w15:restartNumberingAfterBreak="0">
    <w:nsid w:val="4FFB286C"/>
    <w:multiLevelType w:val="multilevel"/>
    <w:tmpl w:val="E4728D9E"/>
    <w:styleLink w:val="WWOutlineListStyle"/>
    <w:lvl w:ilvl="0">
      <w:start w:val="1"/>
      <w:numFmt w:val="none"/>
      <w:lvlText w:val="%1"/>
      <w:lvlJc w:val="left"/>
    </w:lvl>
    <w:lvl w:ilvl="1">
      <w:start w:val="1"/>
      <w:numFmt w:val="decimal"/>
      <w:lvlText w:val="%1.%2"/>
      <w:lvlJc w:val="left"/>
      <w:pPr>
        <w:ind w:left="360" w:hanging="360"/>
      </w:pPr>
    </w:lvl>
    <w:lvl w:ilvl="2">
      <w:start w:val="1"/>
      <w:numFmt w:val="decimal"/>
      <w:lvlText w:val="%1.%2.%3"/>
      <w:lvlJc w:val="left"/>
      <w:pPr>
        <w:ind w:left="1800" w:hanging="720"/>
      </w:pPr>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581F6691"/>
    <w:multiLevelType w:val="multilevel"/>
    <w:tmpl w:val="2968CF78"/>
    <w:styleLink w:val="WWOutlineListStyle2"/>
    <w:lvl w:ilvl="0">
      <w:start w:val="1"/>
      <w:numFmt w:val="none"/>
      <w:lvlText w:val="%1"/>
      <w:lvlJc w:val="left"/>
    </w:lvl>
    <w:lvl w:ilvl="1">
      <w:start w:val="1"/>
      <w:numFmt w:val="decimal"/>
      <w:pStyle w:val="Ttulo2"/>
      <w:lvlText w:val="%1.%2"/>
      <w:lvlJc w:val="left"/>
      <w:pPr>
        <w:ind w:left="360" w:hanging="360"/>
      </w:pPr>
    </w:lvl>
    <w:lvl w:ilvl="2">
      <w:start w:val="1"/>
      <w:numFmt w:val="decimal"/>
      <w:pStyle w:val="Ttulo3"/>
      <w:lvlText w:val="%1.%2.%3"/>
      <w:lvlJc w:val="left"/>
      <w:pPr>
        <w:ind w:left="1800" w:hanging="720"/>
      </w:pPr>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3" w15:restartNumberingAfterBreak="0">
    <w:nsid w:val="5FA86D19"/>
    <w:multiLevelType w:val="multilevel"/>
    <w:tmpl w:val="72E2ACCA"/>
    <w:styleLink w:val="WWOutlineListStyle1"/>
    <w:lvl w:ilvl="0">
      <w:start w:val="1"/>
      <w:numFmt w:val="none"/>
      <w:lvlText w:val="%1"/>
      <w:lvlJc w:val="left"/>
    </w:lvl>
    <w:lvl w:ilvl="1">
      <w:start w:val="1"/>
      <w:numFmt w:val="decimal"/>
      <w:lvlText w:val="%1.%2"/>
      <w:lvlJc w:val="left"/>
      <w:pPr>
        <w:ind w:left="360" w:hanging="360"/>
      </w:pPr>
    </w:lvl>
    <w:lvl w:ilvl="2">
      <w:start w:val="1"/>
      <w:numFmt w:val="decimal"/>
      <w:lvlText w:val="%1.%2.%3"/>
      <w:lvlJc w:val="left"/>
      <w:pPr>
        <w:ind w:left="1800" w:hanging="720"/>
      </w:pPr>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num w:numId="1" w16cid:durableId="1823153222">
    <w:abstractNumId w:val="2"/>
    <w:lvlOverride w:ilvl="2">
      <w:lvl w:ilvl="2">
        <w:start w:val="1"/>
        <w:numFmt w:val="decimal"/>
        <w:pStyle w:val="Ttulo3"/>
        <w:lvlText w:val="%1.%2.%3"/>
        <w:lvlJc w:val="left"/>
        <w:pPr>
          <w:ind w:left="1800" w:hanging="720"/>
        </w:pPr>
      </w:lvl>
    </w:lvlOverride>
  </w:num>
  <w:num w:numId="2" w16cid:durableId="974532756">
    <w:abstractNumId w:val="3"/>
  </w:num>
  <w:num w:numId="3" w16cid:durableId="1058477408">
    <w:abstractNumId w:val="1"/>
  </w:num>
  <w:num w:numId="4" w16cid:durableId="460610219">
    <w:abstractNumId w:val="2"/>
  </w:num>
  <w:num w:numId="5" w16cid:durableId="12535158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D69"/>
    <w:rsid w:val="0005589C"/>
    <w:rsid w:val="00183B06"/>
    <w:rsid w:val="002918B7"/>
    <w:rsid w:val="002B6D69"/>
    <w:rsid w:val="00376A24"/>
    <w:rsid w:val="00385C18"/>
    <w:rsid w:val="00391995"/>
    <w:rsid w:val="005047D2"/>
    <w:rsid w:val="00522D79"/>
    <w:rsid w:val="0056023C"/>
    <w:rsid w:val="0065300A"/>
    <w:rsid w:val="006E4A95"/>
    <w:rsid w:val="0083117E"/>
    <w:rsid w:val="00843199"/>
    <w:rsid w:val="008F1CD9"/>
    <w:rsid w:val="00AE27BB"/>
    <w:rsid w:val="00AF6283"/>
    <w:rsid w:val="00D059E3"/>
    <w:rsid w:val="00D11AE6"/>
    <w:rsid w:val="00E45797"/>
    <w:rsid w:val="00F43D64"/>
    <w:rsid w:val="00FC1F8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5AB0E"/>
  <w15:docId w15:val="{C65F826C-0F40-4593-9E1A-87AA2E472A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kern w:val="3"/>
        <w:sz w:val="22"/>
        <w:szCs w:val="22"/>
        <w:lang w:val="pt-BR" w:eastAsia="en-US" w:bidi="ar-SA"/>
      </w:rPr>
    </w:rPrDefault>
    <w:pPrDefault>
      <w:pPr>
        <w:autoSpaceDN w:val="0"/>
        <w:spacing w:after="160" w:line="251"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eastAsia="Times New Roman"/>
      <w:kern w:val="0"/>
      <w:lang w:eastAsia="pt-BR"/>
    </w:rPr>
  </w:style>
  <w:style w:type="paragraph" w:styleId="Ttulo1">
    <w:name w:val="heading 1"/>
    <w:basedOn w:val="Normal"/>
    <w:next w:val="Normal"/>
    <w:uiPriority w:val="9"/>
    <w:qFormat/>
    <w:pPr>
      <w:keepNext/>
      <w:keepLines/>
      <w:spacing w:before="240" w:after="0"/>
      <w:outlineLvl w:val="0"/>
    </w:pPr>
    <w:rPr>
      <w:rFonts w:ascii="Calibri Light" w:hAnsi="Calibri Light"/>
      <w:color w:val="2F5496"/>
      <w:sz w:val="32"/>
      <w:szCs w:val="32"/>
    </w:rPr>
  </w:style>
  <w:style w:type="paragraph" w:styleId="Ttulo2">
    <w:name w:val="heading 2"/>
    <w:basedOn w:val="PargrafodaLista"/>
    <w:next w:val="Normal"/>
    <w:uiPriority w:val="9"/>
    <w:unhideWhenUsed/>
    <w:qFormat/>
    <w:pPr>
      <w:numPr>
        <w:ilvl w:val="1"/>
        <w:numId w:val="1"/>
      </w:numPr>
      <w:spacing w:after="0" w:line="360" w:lineRule="auto"/>
      <w:jc w:val="both"/>
      <w:outlineLvl w:val="1"/>
    </w:pPr>
    <w:rPr>
      <w:rFonts w:ascii="Arial" w:hAnsi="Arial" w:cs="Arial"/>
      <w:i/>
      <w:sz w:val="24"/>
    </w:rPr>
  </w:style>
  <w:style w:type="paragraph" w:styleId="Ttulo3">
    <w:name w:val="heading 3"/>
    <w:basedOn w:val="PargrafodaLista"/>
    <w:next w:val="Normal"/>
    <w:uiPriority w:val="9"/>
    <w:unhideWhenUsed/>
    <w:qFormat/>
    <w:pPr>
      <w:numPr>
        <w:ilvl w:val="2"/>
        <w:numId w:val="1"/>
      </w:numPr>
      <w:spacing w:after="0" w:line="360" w:lineRule="auto"/>
      <w:jc w:val="both"/>
      <w:outlineLvl w:val="2"/>
    </w:pPr>
    <w:rPr>
      <w:rFonts w:ascii="Arial" w:hAnsi="Arial" w:cs="Arial"/>
      <w:i/>
      <w:sz w:val="24"/>
    </w:rPr>
  </w:style>
  <w:style w:type="paragraph" w:styleId="Ttulo4">
    <w:name w:val="heading 4"/>
    <w:aliases w:val="1.1.1.1 Titulo"/>
    <w:basedOn w:val="Normal"/>
    <w:next w:val="Normal"/>
    <w:link w:val="Ttulo4Carter"/>
    <w:uiPriority w:val="9"/>
    <w:unhideWhenUsed/>
    <w:qFormat/>
    <w:rsid w:val="00D059E3"/>
    <w:pPr>
      <w:keepNext/>
      <w:keepLines/>
      <w:suppressAutoHyphens w:val="0"/>
      <w:autoSpaceDN/>
      <w:spacing w:before="40" w:after="0" w:line="259" w:lineRule="auto"/>
      <w:outlineLvl w:val="3"/>
    </w:pPr>
    <w:rPr>
      <w:rFonts w:asciiTheme="majorHAnsi" w:eastAsiaTheme="majorEastAsia" w:hAnsiTheme="majorHAnsi" w:cstheme="majorBidi"/>
      <w:i/>
      <w:iCs/>
      <w:color w:val="2F5496" w:themeColor="accent1" w:themeShade="BF"/>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numbering" w:customStyle="1" w:styleId="WWOutlineListStyle2">
    <w:name w:val="WW_OutlineListStyle_2"/>
    <w:basedOn w:val="Semlista"/>
    <w:pPr>
      <w:numPr>
        <w:numId w:val="4"/>
      </w:numPr>
    </w:pPr>
  </w:style>
  <w:style w:type="character" w:customStyle="1" w:styleId="Ttulo2Carter">
    <w:name w:val="Título 2 Caráter"/>
    <w:basedOn w:val="Tipodeletrapredefinidodopargrafo"/>
    <w:rPr>
      <w:rFonts w:ascii="Arial" w:eastAsia="Times New Roman" w:hAnsi="Arial" w:cs="Arial"/>
      <w:i/>
      <w:kern w:val="0"/>
      <w:sz w:val="24"/>
      <w:lang w:eastAsia="pt-BR"/>
    </w:rPr>
  </w:style>
  <w:style w:type="character" w:customStyle="1" w:styleId="Ttulo3Carter">
    <w:name w:val="Título 3 Caráter"/>
    <w:basedOn w:val="Tipodeletrapredefinidodopargrafo"/>
    <w:rPr>
      <w:rFonts w:ascii="Arial" w:eastAsia="Times New Roman" w:hAnsi="Arial" w:cs="Arial"/>
      <w:i/>
      <w:kern w:val="0"/>
      <w:sz w:val="24"/>
      <w:lang w:eastAsia="pt-BR"/>
    </w:rPr>
  </w:style>
  <w:style w:type="paragraph" w:customStyle="1" w:styleId="LegendaFigura">
    <w:name w:val="Legenda Figura"/>
    <w:basedOn w:val="Legenda"/>
    <w:pPr>
      <w:keepNext/>
      <w:spacing w:after="80" w:line="360" w:lineRule="auto"/>
      <w:jc w:val="both"/>
      <w:textAlignment w:val="baseline"/>
    </w:pPr>
    <w:rPr>
      <w:rFonts w:ascii="Arial" w:hAnsi="Arial"/>
      <w:i w:val="0"/>
      <w:color w:val="auto"/>
      <w:sz w:val="22"/>
    </w:rPr>
  </w:style>
  <w:style w:type="character" w:customStyle="1" w:styleId="LegendaFiguraChar">
    <w:name w:val="Legenda Figura Char"/>
    <w:rPr>
      <w:rFonts w:ascii="Arial" w:eastAsia="Times New Roman" w:hAnsi="Arial" w:cs="Times New Roman"/>
      <w:iCs/>
      <w:kern w:val="0"/>
      <w:szCs w:val="18"/>
      <w:lang w:eastAsia="pt-BR"/>
    </w:rPr>
  </w:style>
  <w:style w:type="paragraph" w:styleId="Textodecomentrio">
    <w:name w:val="annotation text"/>
    <w:basedOn w:val="Normal"/>
    <w:pPr>
      <w:spacing w:line="240" w:lineRule="auto"/>
    </w:pPr>
    <w:rPr>
      <w:sz w:val="20"/>
      <w:szCs w:val="20"/>
    </w:rPr>
  </w:style>
  <w:style w:type="character" w:customStyle="1" w:styleId="TextodecomentrioCarter">
    <w:name w:val="Texto de comentário Caráter"/>
    <w:basedOn w:val="Tipodeletrapredefinidodopargrafo"/>
    <w:rPr>
      <w:rFonts w:eastAsia="Times New Roman"/>
      <w:kern w:val="0"/>
      <w:sz w:val="20"/>
      <w:szCs w:val="20"/>
      <w:lang w:eastAsia="pt-BR"/>
    </w:rPr>
  </w:style>
  <w:style w:type="character" w:styleId="Refdecomentrio">
    <w:name w:val="annotation reference"/>
    <w:basedOn w:val="Tipodeletrapredefinidodopargrafo"/>
    <w:rPr>
      <w:sz w:val="16"/>
      <w:szCs w:val="16"/>
    </w:rPr>
  </w:style>
  <w:style w:type="paragraph" w:styleId="PargrafodaLista">
    <w:name w:val="List Paragraph"/>
    <w:basedOn w:val="Normal"/>
    <w:pPr>
      <w:ind w:left="720"/>
      <w:contextualSpacing/>
    </w:pPr>
  </w:style>
  <w:style w:type="paragraph" w:styleId="Legenda">
    <w:name w:val="caption"/>
    <w:basedOn w:val="Normal"/>
    <w:next w:val="Normal"/>
    <w:pPr>
      <w:spacing w:after="200" w:line="240" w:lineRule="auto"/>
    </w:pPr>
    <w:rPr>
      <w:i/>
      <w:iCs/>
      <w:color w:val="44546A"/>
      <w:sz w:val="18"/>
      <w:szCs w:val="18"/>
    </w:rPr>
  </w:style>
  <w:style w:type="character" w:customStyle="1" w:styleId="Ttulo1Carter">
    <w:name w:val="Título 1 Caráter"/>
    <w:basedOn w:val="Tipodeletrapredefinidodopargrafo"/>
    <w:rPr>
      <w:rFonts w:ascii="Calibri Light" w:eastAsia="Times New Roman" w:hAnsi="Calibri Light" w:cs="Times New Roman"/>
      <w:color w:val="2F5496"/>
      <w:kern w:val="0"/>
      <w:sz w:val="32"/>
      <w:szCs w:val="32"/>
      <w:lang w:eastAsia="pt-BR"/>
    </w:rPr>
  </w:style>
  <w:style w:type="numbering" w:customStyle="1" w:styleId="WWOutlineListStyle1">
    <w:name w:val="WW_OutlineListStyle_1"/>
    <w:basedOn w:val="Semlista"/>
    <w:pPr>
      <w:numPr>
        <w:numId w:val="2"/>
      </w:numPr>
    </w:pPr>
  </w:style>
  <w:style w:type="numbering" w:customStyle="1" w:styleId="WWOutlineListStyle">
    <w:name w:val="WW_OutlineListStyle"/>
    <w:basedOn w:val="Semlista"/>
    <w:pPr>
      <w:numPr>
        <w:numId w:val="3"/>
      </w:numPr>
    </w:pPr>
  </w:style>
  <w:style w:type="character" w:customStyle="1" w:styleId="Ttulo4Carter">
    <w:name w:val="Título 4 Caráter"/>
    <w:aliases w:val="1.1.1.1 Titulo Caráter"/>
    <w:basedOn w:val="Tipodeletrapredefinidodopargrafo"/>
    <w:link w:val="Ttulo4"/>
    <w:uiPriority w:val="9"/>
    <w:rsid w:val="00D059E3"/>
    <w:rPr>
      <w:rFonts w:asciiTheme="majorHAnsi" w:eastAsiaTheme="majorEastAsia" w:hAnsiTheme="majorHAnsi" w:cstheme="majorBidi"/>
      <w:i/>
      <w:iCs/>
      <w:color w:val="2F5496" w:themeColor="accent1" w:themeShade="BF"/>
      <w:kern w:val="0"/>
      <w:lang w:eastAsia="pt-BR"/>
    </w:rPr>
  </w:style>
  <w:style w:type="paragraph" w:styleId="Rodap">
    <w:name w:val="footer"/>
    <w:basedOn w:val="Normal"/>
    <w:link w:val="RodapCarter"/>
    <w:uiPriority w:val="99"/>
    <w:unhideWhenUsed/>
    <w:rsid w:val="002918B7"/>
    <w:pPr>
      <w:tabs>
        <w:tab w:val="center" w:pos="4252"/>
        <w:tab w:val="right" w:pos="8504"/>
      </w:tabs>
      <w:suppressAutoHyphens w:val="0"/>
      <w:autoSpaceDN/>
      <w:spacing w:after="0" w:line="240" w:lineRule="auto"/>
    </w:pPr>
    <w:rPr>
      <w:rFonts w:asciiTheme="minorHAnsi" w:eastAsiaTheme="minorEastAsia" w:hAnsiTheme="minorHAnsi" w:cstheme="minorBidi"/>
    </w:rPr>
  </w:style>
  <w:style w:type="character" w:customStyle="1" w:styleId="RodapCarter">
    <w:name w:val="Rodapé Caráter"/>
    <w:basedOn w:val="Tipodeletrapredefinidodopargrafo"/>
    <w:link w:val="Rodap"/>
    <w:uiPriority w:val="99"/>
    <w:rsid w:val="002918B7"/>
    <w:rPr>
      <w:rFonts w:asciiTheme="minorHAnsi" w:eastAsiaTheme="minorEastAsia" w:hAnsiTheme="minorHAnsi" w:cstheme="minorBidi"/>
      <w:kern w:val="0"/>
      <w:lang w:eastAsia="pt-BR"/>
    </w:rPr>
  </w:style>
  <w:style w:type="paragraph" w:customStyle="1" w:styleId="Legenda2">
    <w:name w:val="Legenda 2"/>
    <w:basedOn w:val="Legenda"/>
    <w:link w:val="Legenda2Carter"/>
    <w:qFormat/>
    <w:rsid w:val="002918B7"/>
    <w:pPr>
      <w:suppressAutoHyphens w:val="0"/>
      <w:autoSpaceDN/>
      <w:jc w:val="both"/>
    </w:pPr>
    <w:rPr>
      <w:rFonts w:ascii="Arial" w:eastAsiaTheme="minorEastAsia" w:hAnsi="Arial" w:cs="Arial"/>
      <w:color w:val="44546A" w:themeColor="text2"/>
      <w:sz w:val="24"/>
      <w:szCs w:val="24"/>
    </w:rPr>
  </w:style>
  <w:style w:type="character" w:customStyle="1" w:styleId="Legenda2Carter">
    <w:name w:val="Legenda 2 Caráter"/>
    <w:basedOn w:val="Tipodeletrapredefinidodopargrafo"/>
    <w:link w:val="Legenda2"/>
    <w:rsid w:val="002918B7"/>
    <w:rPr>
      <w:rFonts w:ascii="Arial" w:eastAsiaTheme="minorEastAsia" w:hAnsi="Arial" w:cs="Arial"/>
      <w:i/>
      <w:iCs/>
      <w:color w:val="44546A" w:themeColor="text2"/>
      <w:kern w:val="0"/>
      <w:sz w:val="24"/>
      <w:szCs w:val="24"/>
      <w:lang w:eastAsia="pt-BR"/>
    </w:rPr>
  </w:style>
  <w:style w:type="character" w:styleId="Nmerodelinha">
    <w:name w:val="line number"/>
    <w:basedOn w:val="Tipodeletrapredefinidodopargrafo"/>
    <w:uiPriority w:val="99"/>
    <w:semiHidden/>
    <w:unhideWhenUsed/>
    <w:rsid w:val="002918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0.em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emf"/><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e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emf"/><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5.emf"/><Relationship Id="rId10" Type="http://schemas.openxmlformats.org/officeDocument/2006/relationships/image" Target="media/image3.png"/><Relationship Id="rId19" Type="http://schemas.openxmlformats.org/officeDocument/2006/relationships/image" Target="media/image11.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A3F014-7A06-44A2-827E-40D1C3B2C9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7</Pages>
  <Words>4409</Words>
  <Characters>23814</Characters>
  <Application>Microsoft Office Word</Application>
  <DocSecurity>0</DocSecurity>
  <Lines>198</Lines>
  <Paragraphs>56</Paragraphs>
  <ScaleCrop>false</ScaleCrop>
  <Company/>
  <LinksUpToDate>false</LinksUpToDate>
  <CharactersWithSpaces>28167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Cardoso Pinto</dc:creator>
  <dc:description/>
  <cp:lastModifiedBy>Gabriel Cardoso Pinto</cp:lastModifiedBy>
  <cp:revision>21</cp:revision>
  <dcterms:created xsi:type="dcterms:W3CDTF">2023-11-21T09:53:00Z</dcterms:created>
  <dcterms:modified xsi:type="dcterms:W3CDTF">2024-02-05T14:54:00Z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ddc8bd00-3456-31ee-997b-7beb26dbbda9</vt:lpwstr>
  </property>
  <property fmtid="{D5CDD505-2E9C-101B-9397-08002B2CF9AE}" pid="4" name="Mendeley Citation Style_1">
    <vt:lpwstr>http://www.zotero.org/styles/nature</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 6th edition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http://www.zotero.org/styles/harvard-cite-them-right</vt:lpwstr>
  </property>
  <property fmtid="{D5CDD505-2E9C-101B-9397-08002B2CF9AE}" pid="12" name="Mendeley Recent Style Name 3_1">
    <vt:lpwstr>Cite Them Right 12th edition - Harvard</vt:lpwstr>
  </property>
  <property fmtid="{D5CDD505-2E9C-101B-9397-08002B2CF9AE}" pid="13" name="Mendeley Recent Style Id 4_1">
    <vt:lpwstr>http://www.zotero.org/styles/ieee</vt:lpwstr>
  </property>
  <property fmtid="{D5CDD505-2E9C-101B-9397-08002B2CF9AE}" pid="14" name="Mendeley Recent Style Name 4_1">
    <vt:lpwstr>IEEE</vt:lpwstr>
  </property>
  <property fmtid="{D5CDD505-2E9C-101B-9397-08002B2CF9AE}" pid="15" name="Mendeley Recent Style Id 5_1">
    <vt:lpwstr>http://www.zotero.org/styles/materials-today-communications</vt:lpwstr>
  </property>
  <property fmtid="{D5CDD505-2E9C-101B-9397-08002B2CF9AE}" pid="16" name="Mendeley Recent Style Name 5_1">
    <vt:lpwstr>Materials Today Communications</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9th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http://www.zotero.org/styles/scientific-reports</vt:lpwstr>
  </property>
  <property fmtid="{D5CDD505-2E9C-101B-9397-08002B2CF9AE}" pid="24" name="Mendeley Recent Style Name 9_1">
    <vt:lpwstr>Scientific Reports</vt:lpwstr>
  </property>
</Properties>
</file>