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vertAnchor="page" w:horzAnchor="margin" w:tblpY="210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"/>
        <w:gridCol w:w="7843"/>
      </w:tblGrid>
      <w:tr w:rsidR="00DF4192" w:rsidRPr="003064B0" w14:paraId="62477396" w14:textId="77777777" w:rsidTr="00DF4192">
        <w:tc>
          <w:tcPr>
            <w:tcW w:w="453" w:type="dxa"/>
          </w:tcPr>
          <w:p w14:paraId="03A45CFF" w14:textId="77777777" w:rsidR="00DF4192" w:rsidRPr="003064B0" w:rsidRDefault="00DF4192" w:rsidP="00DF4192">
            <w:pPr>
              <w:rPr>
                <w:rFonts w:ascii="Arial" w:hAnsi="Arial" w:cs="Arial"/>
              </w:rPr>
            </w:pPr>
            <w:r w:rsidRPr="003064B0">
              <w:rPr>
                <w:rFonts w:ascii="Arial" w:hAnsi="Arial" w:cs="Arial"/>
              </w:rPr>
              <w:t>#1</w:t>
            </w:r>
          </w:p>
        </w:tc>
        <w:tc>
          <w:tcPr>
            <w:tcW w:w="7843" w:type="dxa"/>
          </w:tcPr>
          <w:p w14:paraId="53904F85" w14:textId="77777777" w:rsidR="00DF4192" w:rsidRPr="003064B0" w:rsidRDefault="00DF4192" w:rsidP="00DF4192">
            <w:pPr>
              <w:rPr>
                <w:rFonts w:ascii="Arial" w:hAnsi="Arial" w:cs="Arial"/>
                <w:color w:val="333333"/>
                <w:szCs w:val="21"/>
                <w:shd w:val="clear" w:color="auto" w:fill="F8F8F8"/>
              </w:rPr>
            </w:pPr>
            <w:r w:rsidRPr="003064B0">
              <w:rPr>
                <w:rFonts w:ascii="Arial" w:hAnsi="Arial" w:cs="Arial"/>
                <w:color w:val="333333"/>
                <w:szCs w:val="21"/>
                <w:shd w:val="clear" w:color="auto" w:fill="F8F8F8"/>
              </w:rPr>
              <w:t>(TS=("palliative care" OR "end of life care" OR "end-of-life care" OR "terminal care" OR hospice) ) Indexes=SCI-EXPANDED, CPCI-S Timespan=2010-2019</w:t>
            </w:r>
          </w:p>
        </w:tc>
      </w:tr>
      <w:tr w:rsidR="00DF4192" w:rsidRPr="003064B0" w14:paraId="2EA63EE7" w14:textId="77777777" w:rsidTr="00DF4192">
        <w:tc>
          <w:tcPr>
            <w:tcW w:w="453" w:type="dxa"/>
          </w:tcPr>
          <w:p w14:paraId="6A2A2C43" w14:textId="77777777" w:rsidR="00DF4192" w:rsidRPr="003064B0" w:rsidRDefault="00DF4192" w:rsidP="00DF4192">
            <w:pPr>
              <w:rPr>
                <w:rFonts w:ascii="Arial" w:hAnsi="Arial" w:cs="Arial"/>
              </w:rPr>
            </w:pPr>
            <w:r w:rsidRPr="003064B0">
              <w:rPr>
                <w:rFonts w:ascii="Arial" w:hAnsi="Arial" w:cs="Arial"/>
              </w:rPr>
              <w:t>#2</w:t>
            </w:r>
          </w:p>
        </w:tc>
        <w:tc>
          <w:tcPr>
            <w:tcW w:w="7843" w:type="dxa"/>
          </w:tcPr>
          <w:p w14:paraId="6EF10052" w14:textId="77777777" w:rsidR="00DF4192" w:rsidRPr="003064B0" w:rsidRDefault="00DF4192" w:rsidP="00DF4192">
            <w:pPr>
              <w:widowControl/>
              <w:shd w:val="clear" w:color="auto" w:fill="F8F8F8"/>
              <w:spacing w:line="270" w:lineRule="atLeast"/>
              <w:jc w:val="left"/>
              <w:rPr>
                <w:rFonts w:ascii="Arial" w:hAnsi="Arial" w:cs="Arial"/>
                <w:color w:val="333333"/>
                <w:szCs w:val="21"/>
                <w:shd w:val="clear" w:color="auto" w:fill="F8F8F8"/>
              </w:rPr>
            </w:pPr>
            <w:r w:rsidRPr="003064B0">
              <w:rPr>
                <w:rFonts w:ascii="Arial" w:hAnsi="Arial" w:cs="Arial"/>
                <w:color w:val="333333"/>
                <w:szCs w:val="21"/>
                <w:shd w:val="clear" w:color="auto" w:fill="F8F8F8"/>
              </w:rPr>
              <w:t>((AD=China OR CU=China) OR (AD=Chinese OR CU=Chinese))</w:t>
            </w:r>
          </w:p>
        </w:tc>
      </w:tr>
      <w:tr w:rsidR="00DF4192" w:rsidRPr="004D0385" w14:paraId="13BD2972" w14:textId="77777777" w:rsidTr="00DF4192">
        <w:tc>
          <w:tcPr>
            <w:tcW w:w="453" w:type="dxa"/>
          </w:tcPr>
          <w:p w14:paraId="3AC7FA29" w14:textId="77777777" w:rsidR="00DF4192" w:rsidRPr="004D0385" w:rsidRDefault="00DF4192" w:rsidP="00DF4192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#3</w:t>
            </w:r>
          </w:p>
        </w:tc>
        <w:tc>
          <w:tcPr>
            <w:tcW w:w="7843" w:type="dxa"/>
          </w:tcPr>
          <w:p w14:paraId="24D4D35C" w14:textId="77777777" w:rsidR="00DF4192" w:rsidRPr="004D0385" w:rsidRDefault="00DF4192" w:rsidP="00DF4192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color w:val="333333"/>
                <w:sz w:val="20"/>
                <w:szCs w:val="20"/>
                <w:shd w:val="clear" w:color="auto" w:fill="F8F8F8"/>
              </w:rPr>
              <w:t>(#1 AND #2) </w:t>
            </w:r>
          </w:p>
        </w:tc>
      </w:tr>
    </w:tbl>
    <w:p w14:paraId="0290714D" w14:textId="3B0EE2A5" w:rsidR="00062700" w:rsidRPr="004D0385" w:rsidRDefault="00DF4192">
      <w:pPr>
        <w:rPr>
          <w:rFonts w:ascii="Arial" w:hAnsi="Arial" w:cs="Arial"/>
          <w:b/>
          <w:bCs/>
          <w:sz w:val="20"/>
          <w:szCs w:val="20"/>
        </w:rPr>
      </w:pPr>
      <w:r w:rsidRPr="004D0385">
        <w:rPr>
          <w:rFonts w:ascii="Arial" w:hAnsi="Arial" w:cs="Arial"/>
          <w:b/>
          <w:bCs/>
          <w:sz w:val="20"/>
          <w:szCs w:val="20"/>
        </w:rPr>
        <w:t>Search strategy used in Web of Science</w:t>
      </w:r>
    </w:p>
    <w:p w14:paraId="4519B725" w14:textId="77777777" w:rsidR="00DF4192" w:rsidRPr="004D0385" w:rsidRDefault="00DF4192">
      <w:pPr>
        <w:rPr>
          <w:rFonts w:ascii="Arial" w:hAnsi="Arial" w:cs="Arial"/>
          <w:sz w:val="20"/>
          <w:szCs w:val="20"/>
        </w:rPr>
      </w:pPr>
    </w:p>
    <w:p w14:paraId="0EFBC9C6" w14:textId="53BC5B8D" w:rsidR="00E34353" w:rsidRPr="004D0385" w:rsidRDefault="007071F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Note: </w:t>
      </w:r>
      <w:r w:rsidR="00DF4192" w:rsidRPr="004D0385">
        <w:rPr>
          <w:rFonts w:ascii="Arial" w:hAnsi="Arial" w:cs="Arial"/>
          <w:sz w:val="20"/>
          <w:szCs w:val="20"/>
        </w:rPr>
        <w:t>#1 was the search strategy for HPC. #2 was for China. The search strategies utilized in other databases were adapted from the structure of search strategy in Web of Science.</w:t>
      </w:r>
      <w:r w:rsidR="00E65F5A" w:rsidRPr="004D0385">
        <w:rPr>
          <w:rFonts w:ascii="Arial" w:hAnsi="Arial" w:cs="Arial"/>
          <w:sz w:val="20"/>
          <w:szCs w:val="20"/>
        </w:rPr>
        <w:t xml:space="preserve"> </w:t>
      </w:r>
    </w:p>
    <w:p w14:paraId="5FC251B2" w14:textId="77777777" w:rsidR="00E34353" w:rsidRPr="004D0385" w:rsidRDefault="00E34353">
      <w:pPr>
        <w:rPr>
          <w:rFonts w:ascii="Arial" w:hAnsi="Arial" w:cs="Arial"/>
          <w:sz w:val="20"/>
          <w:szCs w:val="20"/>
        </w:rPr>
      </w:pPr>
    </w:p>
    <w:p w14:paraId="6D704E7F" w14:textId="77777777" w:rsidR="00E34353" w:rsidRPr="004D0385" w:rsidRDefault="00E34353">
      <w:pPr>
        <w:rPr>
          <w:rFonts w:ascii="Arial" w:hAnsi="Arial" w:cs="Arial"/>
          <w:sz w:val="20"/>
          <w:szCs w:val="20"/>
        </w:rPr>
      </w:pPr>
    </w:p>
    <w:p w14:paraId="3B20F5DC" w14:textId="46555549" w:rsidR="00E34353" w:rsidRPr="004D0385" w:rsidRDefault="00E34353">
      <w:pPr>
        <w:rPr>
          <w:rFonts w:ascii="Arial" w:hAnsi="Arial" w:cs="Arial"/>
          <w:b/>
          <w:bCs/>
          <w:sz w:val="20"/>
          <w:szCs w:val="20"/>
        </w:rPr>
      </w:pPr>
      <w:r w:rsidRPr="004D0385">
        <w:rPr>
          <w:rFonts w:ascii="Arial" w:hAnsi="Arial" w:cs="Arial"/>
          <w:b/>
          <w:bCs/>
          <w:sz w:val="20"/>
          <w:szCs w:val="20"/>
        </w:rPr>
        <w:t>Theme categories used in the study</w:t>
      </w:r>
    </w:p>
    <w:p w14:paraId="52B5B061" w14:textId="77777777" w:rsidR="003064B0" w:rsidRPr="004D0385" w:rsidRDefault="003064B0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a7"/>
        <w:tblW w:w="8364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5103"/>
      </w:tblGrid>
      <w:tr w:rsidR="003064B0" w:rsidRPr="004D0385" w14:paraId="76E05DFA" w14:textId="54AE24D5" w:rsidTr="003064B0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70B022E" w14:textId="3BAF6BD4" w:rsidR="003064B0" w:rsidRPr="004D0385" w:rsidRDefault="003064B0" w:rsidP="007557EB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Theme category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58274DCC" w14:textId="2B4101E4" w:rsidR="003064B0" w:rsidRPr="004D0385" w:rsidRDefault="003064B0" w:rsidP="007557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Example of publications</w:t>
            </w:r>
          </w:p>
        </w:tc>
      </w:tr>
      <w:tr w:rsidR="003064B0" w:rsidRPr="004D0385" w14:paraId="5BDCAAA8" w14:textId="0BDBE8E1" w:rsidTr="003064B0">
        <w:tc>
          <w:tcPr>
            <w:tcW w:w="3261" w:type="dxa"/>
            <w:tcBorders>
              <w:top w:val="single" w:sz="4" w:space="0" w:color="auto"/>
            </w:tcBorders>
          </w:tcPr>
          <w:p w14:paraId="18823BFB" w14:textId="67A5FC41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in Cancer patients</w:t>
            </w:r>
            <w:r w:rsidRPr="004D03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14:paraId="5CFFC95C" w14:textId="07DD1254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Leng A, Jing J, Nicholas S, Wang J: Catastrophic health expenditure of cancer patients at the end-of-life: A retrospective observational study in China. BMC Palliative Care 2019, 18(1). </w:t>
            </w:r>
            <w:r w:rsidRPr="004D0385">
              <w:rPr>
                <w:rFonts w:ascii="Arial" w:hAnsi="Arial" w:cs="Arial"/>
                <w:sz w:val="20"/>
                <w:szCs w:val="20"/>
                <w:vertAlign w:val="superscript"/>
              </w:rPr>
              <w:t>#</w:t>
            </w:r>
          </w:p>
        </w:tc>
      </w:tr>
      <w:tr w:rsidR="003064B0" w:rsidRPr="004D0385" w14:paraId="2D278E35" w14:textId="1EA2EF3A" w:rsidTr="003064B0">
        <w:tc>
          <w:tcPr>
            <w:tcW w:w="3261" w:type="dxa"/>
          </w:tcPr>
          <w:p w14:paraId="3B8BDFE0" w14:textId="742C0E1D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Pain and symptom management</w:t>
            </w:r>
          </w:p>
        </w:tc>
        <w:tc>
          <w:tcPr>
            <w:tcW w:w="5103" w:type="dxa"/>
          </w:tcPr>
          <w:p w14:paraId="41B3E366" w14:textId="09CCBA0B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Ji YB, Bo CL, Xue XJ, Weng EM, Gao GC, Dai BB, Ding KW, Xu CP: Association of Inflammatory Cytokines With the Symptom Cluster of Pain, Fatigue, Depression, and Sleep Disturbance in Chinese Patients With Cancer. J Pain Symptom Manage 2017, 54(6):843-852.</w:t>
            </w:r>
          </w:p>
        </w:tc>
      </w:tr>
      <w:tr w:rsidR="003064B0" w:rsidRPr="004D0385" w14:paraId="61F1DCFE" w14:textId="4A6A2D26" w:rsidTr="003064B0">
        <w:tc>
          <w:tcPr>
            <w:tcW w:w="3261" w:type="dxa"/>
          </w:tcPr>
          <w:p w14:paraId="618759AC" w14:textId="0C559029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40171404"/>
            <w:r w:rsidRPr="004D0385">
              <w:rPr>
                <w:rFonts w:ascii="Arial" w:hAnsi="Arial" w:cs="Arial"/>
                <w:sz w:val="20"/>
                <w:szCs w:val="20"/>
              </w:rPr>
              <w:t xml:space="preserve">Assessment of needs and implementation of HPC </w:t>
            </w:r>
            <w:bookmarkEnd w:id="0"/>
          </w:p>
        </w:tc>
        <w:tc>
          <w:tcPr>
            <w:tcW w:w="5103" w:type="dxa"/>
          </w:tcPr>
          <w:p w14:paraId="1F7B8D8B" w14:textId="1BA7665C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Leng A, Jing J, Nicholas S, Wang J: Catastrophic health expenditure of cancer patients at the end-of-life: A retrospective observational study in China. BMC Palliative Care 2019, 18(1). </w:t>
            </w:r>
            <w:r w:rsidRPr="004D0385">
              <w:rPr>
                <w:rFonts w:ascii="Arial" w:hAnsi="Arial" w:cs="Arial"/>
                <w:sz w:val="20"/>
                <w:szCs w:val="20"/>
                <w:vertAlign w:val="superscript"/>
              </w:rPr>
              <w:t>#</w:t>
            </w:r>
          </w:p>
        </w:tc>
      </w:tr>
      <w:tr w:rsidR="003064B0" w:rsidRPr="004D0385" w14:paraId="7DF1ACFC" w14:textId="158D5A71" w:rsidTr="003064B0">
        <w:tc>
          <w:tcPr>
            <w:tcW w:w="3261" w:type="dxa"/>
          </w:tcPr>
          <w:p w14:paraId="16B7F1C4" w14:textId="2E068D5D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Policy and program advocacy</w:t>
            </w:r>
          </w:p>
        </w:tc>
        <w:tc>
          <w:tcPr>
            <w:tcW w:w="5103" w:type="dxa"/>
          </w:tcPr>
          <w:p w14:paraId="2960B44D" w14:textId="2144A4F4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Guan SY. On the Effective Ways of Getting Chinese Hospice Care Out of Difficult Situations: from the Perspective of Nation and Market. Medicine and philosophy,2011,32(3):22-24.</w:t>
            </w:r>
          </w:p>
        </w:tc>
      </w:tr>
      <w:tr w:rsidR="003064B0" w:rsidRPr="004D0385" w14:paraId="572FF169" w14:textId="4C5822EF" w:rsidTr="003064B0">
        <w:tc>
          <w:tcPr>
            <w:tcW w:w="3261" w:type="dxa"/>
          </w:tcPr>
          <w:p w14:paraId="3B863689" w14:textId="4C69EF38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Spiritual and psychological care</w:t>
            </w:r>
          </w:p>
        </w:tc>
        <w:tc>
          <w:tcPr>
            <w:tcW w:w="5103" w:type="dxa"/>
          </w:tcPr>
          <w:p w14:paraId="03B87A14" w14:textId="154F94AD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Deng D, Deng Q, Liu X, Xie C, Hua Md P, Wu X: Expectation in Life Review: A Term of Spiritual Needs Easily Understood by Chinese Hospice Patients. The American journal of hospice &amp; palliative care 2015, 32(7):725-731.</w:t>
            </w:r>
          </w:p>
        </w:tc>
      </w:tr>
      <w:tr w:rsidR="003064B0" w:rsidRPr="004D0385" w14:paraId="36CA84D9" w14:textId="15234205" w:rsidTr="003064B0">
        <w:tc>
          <w:tcPr>
            <w:tcW w:w="3261" w:type="dxa"/>
          </w:tcPr>
          <w:p w14:paraId="1B659170" w14:textId="170B074C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Nursing in HPC</w:t>
            </w:r>
          </w:p>
        </w:tc>
        <w:tc>
          <w:tcPr>
            <w:tcW w:w="5103" w:type="dxa"/>
          </w:tcPr>
          <w:p w14:paraId="067AF9B7" w14:textId="1666DE1E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Yang B, Zhao Y, Meng AF, et al: Effect of a multidisciplinary nursing-team-based approach in providing hospice care for patients with advanced cancer. Chinese Journal of Nursing,2018,33(24):1-4. </w:t>
            </w:r>
          </w:p>
        </w:tc>
      </w:tr>
      <w:tr w:rsidR="003064B0" w:rsidRPr="004D0385" w14:paraId="43AC57C1" w14:textId="4D449E9B" w:rsidTr="003064B0">
        <w:tc>
          <w:tcPr>
            <w:tcW w:w="3261" w:type="dxa"/>
          </w:tcPr>
          <w:p w14:paraId="77F52A2E" w14:textId="1D239AD2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Humanity and art</w:t>
            </w:r>
          </w:p>
        </w:tc>
        <w:tc>
          <w:tcPr>
            <w:tcW w:w="5103" w:type="dxa"/>
          </w:tcPr>
          <w:p w14:paraId="67BC739E" w14:textId="1287DE82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Zheng JL. Christian Wisdom of Life and Death and Hospice Care. Medicine and philosophy,2011,32(3):25-27.</w:t>
            </w:r>
          </w:p>
        </w:tc>
      </w:tr>
      <w:tr w:rsidR="003064B0" w:rsidRPr="004D0385" w14:paraId="7C5BC27A" w14:textId="092184AB" w:rsidTr="003064B0">
        <w:tc>
          <w:tcPr>
            <w:tcW w:w="3261" w:type="dxa"/>
          </w:tcPr>
          <w:p w14:paraId="76706236" w14:textId="79F72435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lastRenderedPageBreak/>
              <w:t>Education and training</w:t>
            </w:r>
          </w:p>
        </w:tc>
        <w:tc>
          <w:tcPr>
            <w:tcW w:w="5103" w:type="dxa"/>
          </w:tcPr>
          <w:p w14:paraId="2704C08E" w14:textId="511B25B1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Jiang X, Liao ZL, Hao J, Guo Y, Zhou YY, Ning LH, Bai JY, Zhang PB, Tang CL, Zhao XY et al: Palliative Care Education in China: Insight </w:t>
            </w:r>
            <w:r w:rsidR="00414E6D">
              <w:rPr>
                <w:rFonts w:ascii="Arial" w:hAnsi="Arial" w:cs="Arial"/>
                <w:sz w:val="20"/>
                <w:szCs w:val="20"/>
              </w:rPr>
              <w:t>i</w:t>
            </w:r>
            <w:r w:rsidRPr="004D0385">
              <w:rPr>
                <w:rFonts w:ascii="Arial" w:hAnsi="Arial" w:cs="Arial"/>
                <w:sz w:val="20"/>
                <w:szCs w:val="20"/>
              </w:rPr>
              <w:t>nto One Medical University. J Pain Symptom Manage 2011, 41(4):796-800.</w:t>
            </w:r>
          </w:p>
        </w:tc>
      </w:tr>
      <w:tr w:rsidR="003064B0" w:rsidRPr="004D0385" w14:paraId="71274917" w14:textId="0E4908B5" w:rsidTr="003064B0">
        <w:tc>
          <w:tcPr>
            <w:tcW w:w="3261" w:type="dxa"/>
          </w:tcPr>
          <w:p w14:paraId="6B007446" w14:textId="1934EEC1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in non-cancer patients</w:t>
            </w:r>
          </w:p>
        </w:tc>
        <w:tc>
          <w:tcPr>
            <w:tcW w:w="5103" w:type="dxa"/>
          </w:tcPr>
          <w:p w14:paraId="4FAE6A0D" w14:textId="1981E154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Zhou K, Mao Y: Palliative care in heart failure: A meta-analysis of randomized controlled trials. Herz 2019, 44(5):440-444.</w:t>
            </w:r>
          </w:p>
        </w:tc>
      </w:tr>
      <w:tr w:rsidR="003064B0" w:rsidRPr="004D0385" w14:paraId="09239872" w14:textId="7A63EC05" w:rsidTr="003064B0">
        <w:tc>
          <w:tcPr>
            <w:tcW w:w="3261" w:type="dxa"/>
          </w:tcPr>
          <w:p w14:paraId="5B648145" w14:textId="1EB8325D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in primary care</w:t>
            </w:r>
          </w:p>
        </w:tc>
        <w:tc>
          <w:tcPr>
            <w:tcW w:w="5103" w:type="dxa"/>
          </w:tcPr>
          <w:p w14:paraId="1913013F" w14:textId="509DABE0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Lai XB, Chen LQ, Chen SH, Xia HO: An examination of home-based end-of-life care for cancer patients: a qualitative study. Bmc Palliative Care 2019, 18(1).</w:t>
            </w:r>
          </w:p>
        </w:tc>
      </w:tr>
      <w:tr w:rsidR="003064B0" w:rsidRPr="004D0385" w14:paraId="3D1C27AB" w14:textId="688ABC99" w:rsidTr="003064B0">
        <w:tc>
          <w:tcPr>
            <w:tcW w:w="3261" w:type="dxa"/>
          </w:tcPr>
          <w:p w14:paraId="45431BC3" w14:textId="1B70E1DE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Aging and geriatric HPC</w:t>
            </w:r>
          </w:p>
        </w:tc>
        <w:tc>
          <w:tcPr>
            <w:tcW w:w="5103" w:type="dxa"/>
          </w:tcPr>
          <w:p w14:paraId="4AD73514" w14:textId="3BA09A53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Chen Q, Flaherty JH, Guo JH, Zhou Y, Zhang XM, Hu XY: Attitudes of Older Chinese Patients Toward Death and Dying. Journal of palliative medicine 2017, 20(12):1389-1394.</w:t>
            </w:r>
          </w:p>
        </w:tc>
      </w:tr>
      <w:tr w:rsidR="003064B0" w:rsidRPr="004D0385" w14:paraId="46A6B173" w14:textId="11D7C8ED" w:rsidTr="003064B0">
        <w:tc>
          <w:tcPr>
            <w:tcW w:w="3261" w:type="dxa"/>
          </w:tcPr>
          <w:p w14:paraId="5B986AA8" w14:textId="5495D172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Communication and advanced care planning</w:t>
            </w:r>
          </w:p>
        </w:tc>
        <w:tc>
          <w:tcPr>
            <w:tcW w:w="5103" w:type="dxa"/>
          </w:tcPr>
          <w:p w14:paraId="2359C9FD" w14:textId="6458CC73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Xue D, Wheeler JL, Abernethy AP: Cultural differences in truth-telling to cancer patients: Chinese and American approaches to the disclosure of 'bad news'. Progress in Palliative Care 2011, 19(3):125-131.</w:t>
            </w:r>
          </w:p>
        </w:tc>
      </w:tr>
      <w:tr w:rsidR="003064B0" w:rsidRPr="004D0385" w14:paraId="3609CDBB" w14:textId="30C48F75" w:rsidTr="003064B0">
        <w:tc>
          <w:tcPr>
            <w:tcW w:w="3261" w:type="dxa"/>
          </w:tcPr>
          <w:p w14:paraId="7F799BE8" w14:textId="1290ED6A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Complementary therapy</w:t>
            </w:r>
          </w:p>
        </w:tc>
        <w:tc>
          <w:tcPr>
            <w:tcW w:w="5103" w:type="dxa"/>
          </w:tcPr>
          <w:p w14:paraId="17ABD4A7" w14:textId="1F044159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Lv C, Shi C, Li L, Wen X, Xian CJ: Chinese herbal medicines in the prevention and treatment of chemotherapy-induced nausea and vomiting. Current Opinion in Supportive and Palliative Care 2018, 12(2):174-180.</w:t>
            </w:r>
          </w:p>
        </w:tc>
      </w:tr>
      <w:tr w:rsidR="003064B0" w:rsidRPr="004D0385" w14:paraId="6DC42FF5" w14:textId="102C876E" w:rsidTr="003064B0">
        <w:tc>
          <w:tcPr>
            <w:tcW w:w="3261" w:type="dxa"/>
          </w:tcPr>
          <w:p w14:paraId="0CC692AA" w14:textId="5CF0BDAB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Ethics</w:t>
            </w:r>
          </w:p>
        </w:tc>
        <w:tc>
          <w:tcPr>
            <w:tcW w:w="5103" w:type="dxa"/>
          </w:tcPr>
          <w:p w14:paraId="3448F3F8" w14:textId="5EB0EB51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Liu J, Chen XX, Wang XL: Ethical issues in neonatal intensive care units. Journal of Maternal-Fetal and Neonatal Medicine 2016, 29(14):2322-2326.</w:t>
            </w:r>
          </w:p>
        </w:tc>
      </w:tr>
      <w:tr w:rsidR="003064B0" w:rsidRPr="004D0385" w14:paraId="5377AB83" w14:textId="151EEEB1" w:rsidTr="003064B0">
        <w:tc>
          <w:tcPr>
            <w:tcW w:w="3261" w:type="dxa"/>
          </w:tcPr>
          <w:p w14:paraId="4A5B6ACE" w14:textId="1AA931E0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Family care givers and volunteers</w:t>
            </w:r>
          </w:p>
        </w:tc>
        <w:tc>
          <w:tcPr>
            <w:tcW w:w="5103" w:type="dxa"/>
          </w:tcPr>
          <w:p w14:paraId="6B2A5E7C" w14:textId="5C977575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Yu H, Li L, Liu C, Huang W, Zhou J, Fu W, Ma Y, Li S, Chang Y, Liu G et al: Factors associated with the quality of life of family caregivers for leukemia patients in China. Health and Quality of Life Outcomes 2017, 15(1).</w:t>
            </w:r>
          </w:p>
        </w:tc>
      </w:tr>
      <w:tr w:rsidR="003064B0" w:rsidRPr="004D0385" w14:paraId="0437E890" w14:textId="476C3C23" w:rsidTr="003064B0">
        <w:tc>
          <w:tcPr>
            <w:tcW w:w="3261" w:type="dxa"/>
          </w:tcPr>
          <w:p w14:paraId="6C45DC00" w14:textId="67EB0F4D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in other specialties</w:t>
            </w:r>
          </w:p>
        </w:tc>
        <w:tc>
          <w:tcPr>
            <w:tcW w:w="5103" w:type="dxa"/>
          </w:tcPr>
          <w:p w14:paraId="137B8206" w14:textId="141953D8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Rao J, Fu Q, Wu Q, Yu S: Comparison of the Treatments of Patients </w:t>
            </w:r>
            <w:r w:rsidR="00C97849">
              <w:rPr>
                <w:rFonts w:ascii="Arial" w:hAnsi="Arial" w:cs="Arial"/>
                <w:sz w:val="20"/>
                <w:szCs w:val="20"/>
              </w:rPr>
              <w:t>w</w:t>
            </w:r>
            <w:r w:rsidRPr="004D0385">
              <w:rPr>
                <w:rFonts w:ascii="Arial" w:hAnsi="Arial" w:cs="Arial"/>
                <w:sz w:val="20"/>
                <w:szCs w:val="20"/>
              </w:rPr>
              <w:t>ith Cancer in Their Last 6 Months Between ICU and Cancer Center. American Journal of Hospice and Palliative Medicine 2016, 33(3):245-251.</w:t>
            </w:r>
          </w:p>
        </w:tc>
      </w:tr>
      <w:tr w:rsidR="003064B0" w:rsidRPr="004D0385" w14:paraId="46AC527D" w14:textId="622F9A60" w:rsidTr="003064B0">
        <w:tc>
          <w:tcPr>
            <w:tcW w:w="3261" w:type="dxa"/>
          </w:tcPr>
          <w:p w14:paraId="17A71D4A" w14:textId="3FB6EE44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Pediatric HPC</w:t>
            </w:r>
          </w:p>
        </w:tc>
        <w:tc>
          <w:tcPr>
            <w:tcW w:w="5103" w:type="dxa"/>
          </w:tcPr>
          <w:p w14:paraId="1156B6B7" w14:textId="22A8AEB3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Liu J, Chen XX, Wang XL: Ethical issues in neonatal intensive care units. Journal of Maternal-Fetal and Neonatal Medicine 2016, 29(14):2322-2326.</w:t>
            </w:r>
          </w:p>
        </w:tc>
      </w:tr>
      <w:tr w:rsidR="003064B0" w:rsidRPr="004D0385" w14:paraId="41034580" w14:textId="22C75FFB" w:rsidTr="003064B0">
        <w:tc>
          <w:tcPr>
            <w:tcW w:w="3261" w:type="dxa"/>
          </w:tcPr>
          <w:p w14:paraId="5C7366EE" w14:textId="67DF72C1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lastRenderedPageBreak/>
              <w:t>Self-care of the HPC team</w:t>
            </w:r>
          </w:p>
        </w:tc>
        <w:tc>
          <w:tcPr>
            <w:tcW w:w="5103" w:type="dxa"/>
          </w:tcPr>
          <w:p w14:paraId="11E60966" w14:textId="0CBFE265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Ma S, Huang Y, Yang Y, Ma Y, Zhou T, Zhao H, Chen L, Zhou N, Zhang L: Prevalence of Burnout and Career Satisfaction Among Oncologists in China: A National Survey. Oncologist 2019, 24(7):e480-e489.</w:t>
            </w:r>
          </w:p>
        </w:tc>
      </w:tr>
      <w:tr w:rsidR="003064B0" w:rsidRPr="004D0385" w14:paraId="3917929D" w14:textId="564CFCCE" w:rsidTr="003064B0">
        <w:tc>
          <w:tcPr>
            <w:tcW w:w="3261" w:type="dxa"/>
          </w:tcPr>
          <w:p w14:paraId="654D200F" w14:textId="02423DF8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Rehabilitation and nutrition</w:t>
            </w:r>
          </w:p>
        </w:tc>
        <w:tc>
          <w:tcPr>
            <w:tcW w:w="5103" w:type="dxa"/>
          </w:tcPr>
          <w:p w14:paraId="0B82EF00" w14:textId="38F36448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Cao YQ, Feng WM. Application of structured triglyceride in alleviative treatment of malignant obstructive jaundice. Parenteral &amp; Enteral Nutrition,2014,21(2):87-90.</w:t>
            </w:r>
          </w:p>
        </w:tc>
      </w:tr>
      <w:tr w:rsidR="003064B0" w:rsidRPr="004D0385" w14:paraId="61AC7813" w14:textId="15A25DD5" w:rsidTr="00DB3481">
        <w:tc>
          <w:tcPr>
            <w:tcW w:w="3261" w:type="dxa"/>
          </w:tcPr>
          <w:p w14:paraId="5860730A" w14:textId="424FFD21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screening and timing</w:t>
            </w:r>
          </w:p>
        </w:tc>
        <w:tc>
          <w:tcPr>
            <w:tcW w:w="5103" w:type="dxa"/>
          </w:tcPr>
          <w:p w14:paraId="798AECD4" w14:textId="7631229A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Gu X, Cheng W, Chen M, Liu M, Zhang Z: Timing of referral to inpatient palliative care services for advanced cancer patients and earlier referral predictors in mainland China. Palliative and Supportive Care 2016, 14(5):503-509.</w:t>
            </w:r>
          </w:p>
        </w:tc>
      </w:tr>
      <w:tr w:rsidR="003064B0" w:rsidRPr="004D0385" w14:paraId="644CA2AF" w14:textId="56D5DB6C" w:rsidTr="00DB3481">
        <w:tc>
          <w:tcPr>
            <w:tcW w:w="3261" w:type="dxa"/>
            <w:tcBorders>
              <w:bottom w:val="single" w:sz="4" w:space="0" w:color="auto"/>
            </w:tcBorders>
          </w:tcPr>
          <w:p w14:paraId="23CD029B" w14:textId="11AEB103" w:rsidR="003064B0" w:rsidRPr="004D0385" w:rsidRDefault="003064B0" w:rsidP="003064B0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Bereavement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4143E247" w14:textId="0814B36D" w:rsidR="003064B0" w:rsidRPr="004D0385" w:rsidRDefault="003064B0" w:rsidP="00DB3481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Tang Y: Caregiver burden and bereavement among family caregivers who lost terminally ill cancer patients. Palliative and Supportive Care 2019, 17(5):515-522.</w:t>
            </w:r>
          </w:p>
        </w:tc>
      </w:tr>
    </w:tbl>
    <w:p w14:paraId="7376837C" w14:textId="15403653" w:rsidR="003064B0" w:rsidRPr="004D0385" w:rsidRDefault="003064B0">
      <w:pPr>
        <w:rPr>
          <w:rFonts w:ascii="Arial" w:hAnsi="Arial" w:cs="Arial"/>
          <w:sz w:val="20"/>
          <w:szCs w:val="20"/>
        </w:rPr>
      </w:pPr>
      <w:r w:rsidRPr="004D0385">
        <w:rPr>
          <w:rFonts w:ascii="Arial" w:hAnsi="Arial" w:cs="Arial"/>
          <w:sz w:val="20"/>
          <w:szCs w:val="20"/>
        </w:rPr>
        <w:t xml:space="preserve">Note: # </w:t>
      </w:r>
      <w:r w:rsidR="004D0385">
        <w:rPr>
          <w:rFonts w:ascii="Arial" w:hAnsi="Arial" w:cs="Arial"/>
          <w:sz w:val="20"/>
          <w:szCs w:val="20"/>
        </w:rPr>
        <w:t>T</w:t>
      </w:r>
      <w:r w:rsidRPr="004D0385">
        <w:rPr>
          <w:rFonts w:ascii="Arial" w:hAnsi="Arial" w:cs="Arial"/>
          <w:sz w:val="20"/>
          <w:szCs w:val="20"/>
        </w:rPr>
        <w:t xml:space="preserve">his is a good example of the inevitable overlap of the categories. </w:t>
      </w:r>
    </w:p>
    <w:sectPr w:rsidR="003064B0" w:rsidRPr="004D0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C1658A" w14:textId="77777777" w:rsidR="003E19B3" w:rsidRDefault="003E19B3" w:rsidP="00DF4192">
      <w:r>
        <w:separator/>
      </w:r>
    </w:p>
  </w:endnote>
  <w:endnote w:type="continuationSeparator" w:id="0">
    <w:p w14:paraId="6699FCB7" w14:textId="77777777" w:rsidR="003E19B3" w:rsidRDefault="003E19B3" w:rsidP="00DF4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73F7D2" w14:textId="77777777" w:rsidR="003E19B3" w:rsidRDefault="003E19B3" w:rsidP="00DF4192">
      <w:r>
        <w:separator/>
      </w:r>
    </w:p>
  </w:footnote>
  <w:footnote w:type="continuationSeparator" w:id="0">
    <w:p w14:paraId="2172B9B4" w14:textId="77777777" w:rsidR="003E19B3" w:rsidRDefault="003E19B3" w:rsidP="00DF41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EB40F9"/>
    <w:multiLevelType w:val="multilevel"/>
    <w:tmpl w:val="97ECC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3413E3"/>
    <w:multiLevelType w:val="hybridMultilevel"/>
    <w:tmpl w:val="4B0C7D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020"/>
    <w:rsid w:val="00062700"/>
    <w:rsid w:val="00295758"/>
    <w:rsid w:val="003064B0"/>
    <w:rsid w:val="003E19B3"/>
    <w:rsid w:val="003E1CE9"/>
    <w:rsid w:val="00414E6D"/>
    <w:rsid w:val="004D0385"/>
    <w:rsid w:val="00560020"/>
    <w:rsid w:val="005D54DA"/>
    <w:rsid w:val="007071F1"/>
    <w:rsid w:val="007557EB"/>
    <w:rsid w:val="009153D5"/>
    <w:rsid w:val="00AC4BCF"/>
    <w:rsid w:val="00B003AF"/>
    <w:rsid w:val="00B548F3"/>
    <w:rsid w:val="00C01F73"/>
    <w:rsid w:val="00C97849"/>
    <w:rsid w:val="00D03504"/>
    <w:rsid w:val="00D150B5"/>
    <w:rsid w:val="00DB3481"/>
    <w:rsid w:val="00DC274F"/>
    <w:rsid w:val="00DF4192"/>
    <w:rsid w:val="00E34353"/>
    <w:rsid w:val="00E65F5A"/>
    <w:rsid w:val="00EF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49AD9C"/>
  <w15:chartTrackingRefBased/>
  <w15:docId w15:val="{C8C40DC7-6388-4765-9FE8-23F97D03B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41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4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41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4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4192"/>
    <w:rPr>
      <w:sz w:val="18"/>
      <w:szCs w:val="18"/>
    </w:rPr>
  </w:style>
  <w:style w:type="table" w:styleId="a7">
    <w:name w:val="Table Grid"/>
    <w:basedOn w:val="a1"/>
    <w:uiPriority w:val="39"/>
    <w:rsid w:val="00DF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B34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747</Words>
  <Characters>4261</Characters>
  <Application>Microsoft Office Word</Application>
  <DocSecurity>0</DocSecurity>
  <Lines>35</Lines>
  <Paragraphs>9</Paragraphs>
  <ScaleCrop>false</ScaleCrop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Shuang</dc:creator>
  <cp:keywords/>
  <dc:description/>
  <cp:lastModifiedBy>Jin Shuang</cp:lastModifiedBy>
  <cp:revision>14</cp:revision>
  <dcterms:created xsi:type="dcterms:W3CDTF">2020-08-24T02:21:00Z</dcterms:created>
  <dcterms:modified xsi:type="dcterms:W3CDTF">2020-08-27T10:33:00Z</dcterms:modified>
</cp:coreProperties>
</file>