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A2229B" w14:textId="34ABCEE8" w:rsidR="003222CF" w:rsidRPr="00283DB4" w:rsidRDefault="003222CF" w:rsidP="007F1356">
      <w:pPr>
        <w:pStyle w:val="Title"/>
        <w:rPr>
          <w:rStyle w:val="Strong"/>
          <w:sz w:val="36"/>
          <w:szCs w:val="36"/>
          <w:lang w:val="en-GB"/>
        </w:rPr>
      </w:pPr>
      <w:r w:rsidRPr="00283DB4">
        <w:rPr>
          <w:rStyle w:val="Strong"/>
          <w:sz w:val="36"/>
          <w:szCs w:val="36"/>
          <w:lang w:val="en-GB"/>
        </w:rPr>
        <w:t>Supplementary Material S1</w:t>
      </w:r>
    </w:p>
    <w:p w14:paraId="3E2D76D1" w14:textId="3010FF95" w:rsidR="007F1356" w:rsidRPr="00283DB4" w:rsidRDefault="007F1356" w:rsidP="007F1356">
      <w:pPr>
        <w:rPr>
          <w:lang w:val="en-GB"/>
        </w:rPr>
      </w:pPr>
    </w:p>
    <w:p w14:paraId="1729BE3D" w14:textId="2A7B684C" w:rsidR="007F1356" w:rsidRPr="00283DB4" w:rsidRDefault="007F1356" w:rsidP="007F1356">
      <w:pPr>
        <w:rPr>
          <w:b/>
          <w:lang w:val="en-GB"/>
        </w:rPr>
      </w:pPr>
      <w:r w:rsidRPr="00283DB4">
        <w:rPr>
          <w:b/>
          <w:lang w:val="en-GB"/>
        </w:rPr>
        <w:t>List of abbreviations</w:t>
      </w:r>
    </w:p>
    <w:p w14:paraId="0AA6BD34" w14:textId="77777777" w:rsidR="00EE7F3C" w:rsidRPr="00283DB4" w:rsidRDefault="00EE7F3C" w:rsidP="00EE7F3C">
      <w:pPr>
        <w:rPr>
          <w:lang w:val="en-GB"/>
        </w:rPr>
      </w:pPr>
      <w:r w:rsidRPr="00283DB4">
        <w:rPr>
          <w:lang w:val="en-GB"/>
        </w:rPr>
        <w:t>ACMG – American College of Medical Genetics</w:t>
      </w:r>
    </w:p>
    <w:p w14:paraId="04ECC74E" w14:textId="7F957CCF" w:rsidR="00EE7F3C" w:rsidRPr="00283DB4" w:rsidRDefault="00EE7F3C" w:rsidP="007F1356">
      <w:pPr>
        <w:rPr>
          <w:lang w:val="en-GB"/>
        </w:rPr>
      </w:pPr>
      <w:r w:rsidRPr="00283DB4">
        <w:rPr>
          <w:lang w:val="en-GB"/>
        </w:rPr>
        <w:t>AMP – American Molecular Pathologists</w:t>
      </w:r>
    </w:p>
    <w:p w14:paraId="24E2008B" w14:textId="0AB1852F" w:rsidR="00283DB4" w:rsidRPr="00283DB4" w:rsidRDefault="00283DB4" w:rsidP="007F1356">
      <w:pPr>
        <w:rPr>
          <w:lang w:val="en-GB"/>
        </w:rPr>
      </w:pPr>
      <w:r w:rsidRPr="00283DB4">
        <w:rPr>
          <w:lang w:val="en-GB"/>
        </w:rPr>
        <w:t>CVD – cardiovascular disease</w:t>
      </w:r>
    </w:p>
    <w:p w14:paraId="574F007D" w14:textId="2929227A" w:rsidR="00283DB4" w:rsidRPr="00283DB4" w:rsidRDefault="00283DB4" w:rsidP="007F1356">
      <w:pPr>
        <w:rPr>
          <w:lang w:val="en-GB"/>
        </w:rPr>
      </w:pPr>
      <w:r w:rsidRPr="00283DB4">
        <w:rPr>
          <w:lang w:val="en-GB"/>
        </w:rPr>
        <w:t>CRP-</w:t>
      </w:r>
      <w:proofErr w:type="spellStart"/>
      <w:r w:rsidRPr="00283DB4">
        <w:rPr>
          <w:lang w:val="en-GB"/>
        </w:rPr>
        <w:t>hs</w:t>
      </w:r>
      <w:proofErr w:type="spellEnd"/>
      <w:r w:rsidRPr="00283DB4">
        <w:rPr>
          <w:lang w:val="en-GB"/>
        </w:rPr>
        <w:t xml:space="preserve"> – C-reactive protein, high sensitivity</w:t>
      </w:r>
    </w:p>
    <w:p w14:paraId="4CAF0A9D" w14:textId="2293832D" w:rsidR="007F1356" w:rsidRPr="00283DB4" w:rsidRDefault="007F1356" w:rsidP="007F1356">
      <w:pPr>
        <w:rPr>
          <w:lang w:val="en-GB"/>
        </w:rPr>
      </w:pPr>
      <w:proofErr w:type="spellStart"/>
      <w:r w:rsidRPr="00283DB4">
        <w:rPr>
          <w:lang w:val="en-GB"/>
        </w:rPr>
        <w:t>EstBB</w:t>
      </w:r>
      <w:proofErr w:type="spellEnd"/>
      <w:r w:rsidRPr="00283DB4">
        <w:rPr>
          <w:lang w:val="en-GB"/>
        </w:rPr>
        <w:t xml:space="preserve"> – Estonian Biobank</w:t>
      </w:r>
    </w:p>
    <w:p w14:paraId="7DA9355A" w14:textId="0702907A" w:rsidR="007F1356" w:rsidRPr="00283DB4" w:rsidRDefault="007F1356" w:rsidP="007F1356">
      <w:pPr>
        <w:rPr>
          <w:lang w:val="en-GB"/>
        </w:rPr>
      </w:pPr>
      <w:r w:rsidRPr="00283DB4">
        <w:rPr>
          <w:lang w:val="en-GB"/>
        </w:rPr>
        <w:t>EHR</w:t>
      </w:r>
      <w:r w:rsidR="005E2871" w:rsidRPr="00283DB4">
        <w:rPr>
          <w:lang w:val="en-GB"/>
        </w:rPr>
        <w:t>s</w:t>
      </w:r>
      <w:r w:rsidRPr="00283DB4">
        <w:rPr>
          <w:lang w:val="en-GB"/>
        </w:rPr>
        <w:t xml:space="preserve"> – Electronic health records</w:t>
      </w:r>
    </w:p>
    <w:p w14:paraId="086D4EDF" w14:textId="17F2B736" w:rsidR="00283DB4" w:rsidRPr="00283DB4" w:rsidRDefault="00283DB4" w:rsidP="007F1356">
      <w:pPr>
        <w:rPr>
          <w:lang w:val="en-GB"/>
        </w:rPr>
      </w:pPr>
      <w:r w:rsidRPr="00283DB4">
        <w:rPr>
          <w:lang w:val="en-GB"/>
        </w:rPr>
        <w:t>F – female</w:t>
      </w:r>
    </w:p>
    <w:p w14:paraId="658A853F" w14:textId="1841F48B" w:rsidR="00283DB4" w:rsidRPr="00283DB4" w:rsidRDefault="00283DB4" w:rsidP="007F1356">
      <w:pPr>
        <w:rPr>
          <w:lang w:val="en-GB"/>
        </w:rPr>
      </w:pPr>
      <w:r w:rsidRPr="00283DB4">
        <w:rPr>
          <w:lang w:val="en-GB"/>
        </w:rPr>
        <w:t>M – male</w:t>
      </w:r>
    </w:p>
    <w:p w14:paraId="2D168B85" w14:textId="2BCA1D71" w:rsidR="00EE7F3C" w:rsidRPr="00283DB4" w:rsidRDefault="00EE7F3C" w:rsidP="007F1356">
      <w:pPr>
        <w:rPr>
          <w:lang w:val="en-GB"/>
        </w:rPr>
      </w:pPr>
      <w:r w:rsidRPr="00283DB4">
        <w:rPr>
          <w:lang w:val="en-GB"/>
        </w:rPr>
        <w:t>IBD - identity-by-descent</w:t>
      </w:r>
    </w:p>
    <w:p w14:paraId="03D83C51" w14:textId="09F01F0B" w:rsidR="00EE7F3C" w:rsidRPr="00283DB4" w:rsidRDefault="00EE7F3C" w:rsidP="007F1356">
      <w:pPr>
        <w:rPr>
          <w:lang w:val="en-GB"/>
        </w:rPr>
      </w:pPr>
      <w:r w:rsidRPr="00283DB4">
        <w:rPr>
          <w:lang w:val="en-GB"/>
        </w:rPr>
        <w:t>ICD-10 – International Classification of Disease, 10th edition</w:t>
      </w:r>
    </w:p>
    <w:p w14:paraId="47B70B74" w14:textId="77777777" w:rsidR="00AF1297" w:rsidRPr="00283DB4" w:rsidRDefault="00AF1297" w:rsidP="00AF1297">
      <w:pPr>
        <w:rPr>
          <w:lang w:val="en-GB"/>
        </w:rPr>
      </w:pPr>
      <w:r w:rsidRPr="00283DB4">
        <w:rPr>
          <w:lang w:val="en-GB"/>
        </w:rPr>
        <w:t>LP – likely pathogenic</w:t>
      </w:r>
    </w:p>
    <w:p w14:paraId="5BE3A829" w14:textId="66BEFA0B" w:rsidR="00AF1297" w:rsidRPr="00283DB4" w:rsidRDefault="00AF1297" w:rsidP="007F1356">
      <w:pPr>
        <w:rPr>
          <w:lang w:val="en-GB"/>
        </w:rPr>
      </w:pPr>
      <w:r w:rsidRPr="00283DB4">
        <w:rPr>
          <w:lang w:val="en-GB"/>
        </w:rPr>
        <w:t>MAF – Minor allele frequency</w:t>
      </w:r>
    </w:p>
    <w:p w14:paraId="0719FCB0" w14:textId="365894A3" w:rsidR="006A2FB7" w:rsidRPr="00283DB4" w:rsidRDefault="006A2FB7" w:rsidP="007F1356">
      <w:pPr>
        <w:rPr>
          <w:lang w:val="en-GB"/>
        </w:rPr>
      </w:pPr>
      <w:r w:rsidRPr="00283DB4">
        <w:rPr>
          <w:lang w:val="en-GB"/>
        </w:rPr>
        <w:t>MRI – Magnet resonance imaging</w:t>
      </w:r>
    </w:p>
    <w:p w14:paraId="3B23ABE1" w14:textId="637B1E9E" w:rsidR="007F1356" w:rsidRPr="00283DB4" w:rsidRDefault="007F1356" w:rsidP="007F1356">
      <w:pPr>
        <w:rPr>
          <w:lang w:val="en-GB"/>
        </w:rPr>
      </w:pPr>
      <w:r w:rsidRPr="00283DB4">
        <w:rPr>
          <w:lang w:val="en-GB"/>
        </w:rPr>
        <w:t>NGS – Next-generation sequencing</w:t>
      </w:r>
    </w:p>
    <w:p w14:paraId="25E64EDF" w14:textId="4BB1B828" w:rsidR="007F1356" w:rsidRPr="00283DB4" w:rsidRDefault="007F1356" w:rsidP="007F1356">
      <w:pPr>
        <w:rPr>
          <w:lang w:val="en-GB"/>
        </w:rPr>
      </w:pPr>
      <w:r w:rsidRPr="00283DB4">
        <w:rPr>
          <w:lang w:val="en-GB"/>
        </w:rPr>
        <w:t>P – pathogenic</w:t>
      </w:r>
    </w:p>
    <w:p w14:paraId="7BF2BA55" w14:textId="100D2E00" w:rsidR="00AF1297" w:rsidRPr="00283DB4" w:rsidRDefault="00AF1297" w:rsidP="007F1356">
      <w:pPr>
        <w:rPr>
          <w:lang w:val="en-GB"/>
        </w:rPr>
      </w:pPr>
      <w:r w:rsidRPr="00283DB4">
        <w:rPr>
          <w:lang w:val="en-GB"/>
        </w:rPr>
        <w:t>SD – standard deviation</w:t>
      </w:r>
      <w:bookmarkStart w:id="0" w:name="_GoBack"/>
      <w:bookmarkEnd w:id="0"/>
    </w:p>
    <w:p w14:paraId="1EC645AD" w14:textId="4F365F2D" w:rsidR="007F1356" w:rsidRPr="00283DB4" w:rsidRDefault="00EE7F3C" w:rsidP="007F1356">
      <w:pPr>
        <w:rPr>
          <w:lang w:val="en-GB"/>
        </w:rPr>
      </w:pPr>
      <w:r w:rsidRPr="00283DB4">
        <w:rPr>
          <w:lang w:val="en-GB"/>
        </w:rPr>
        <w:t>TCS – Transcranial Sonography</w:t>
      </w:r>
    </w:p>
    <w:p w14:paraId="05C33838" w14:textId="53031DF2" w:rsidR="00EE7F3C" w:rsidRPr="00283DB4" w:rsidRDefault="00EE7F3C" w:rsidP="00EE7F3C">
      <w:pPr>
        <w:rPr>
          <w:lang w:val="en-GB"/>
        </w:rPr>
      </w:pPr>
      <w:r w:rsidRPr="00283DB4">
        <w:rPr>
          <w:lang w:val="en-GB"/>
        </w:rPr>
        <w:t>WD – Wilson’s disease</w:t>
      </w:r>
    </w:p>
    <w:p w14:paraId="6218F812" w14:textId="77777777" w:rsidR="00EE7F3C" w:rsidRPr="00283DB4" w:rsidRDefault="00EE7F3C" w:rsidP="00EE7F3C">
      <w:pPr>
        <w:rPr>
          <w:lang w:val="en-GB"/>
        </w:rPr>
      </w:pPr>
      <w:r w:rsidRPr="00283DB4">
        <w:rPr>
          <w:lang w:val="en-GB"/>
        </w:rPr>
        <w:t>WES – Whole exome sequencing</w:t>
      </w:r>
    </w:p>
    <w:p w14:paraId="67D3747B" w14:textId="354F2B13" w:rsidR="007F1356" w:rsidRPr="00283DB4" w:rsidRDefault="00EE7F3C" w:rsidP="007F1356">
      <w:pPr>
        <w:rPr>
          <w:lang w:val="en-GB"/>
        </w:rPr>
      </w:pPr>
      <w:r w:rsidRPr="00283DB4">
        <w:rPr>
          <w:lang w:val="en-GB"/>
        </w:rPr>
        <w:t>WGS – Whole genome sequencing</w:t>
      </w:r>
    </w:p>
    <w:p w14:paraId="393442AE" w14:textId="29E67F61" w:rsidR="00283DB4" w:rsidRPr="00283DB4" w:rsidRDefault="00283DB4" w:rsidP="007F1356">
      <w:pPr>
        <w:rPr>
          <w:lang w:val="en-GB"/>
        </w:rPr>
      </w:pPr>
      <w:r w:rsidRPr="00283DB4">
        <w:rPr>
          <w:lang w:val="en-GB"/>
        </w:rPr>
        <w:t>WHR – waist-to-hip ratio</w:t>
      </w:r>
    </w:p>
    <w:p w14:paraId="0896606D" w14:textId="0ED65317" w:rsidR="007C1D62" w:rsidRPr="00283DB4" w:rsidRDefault="007C1D62" w:rsidP="007C1D62">
      <w:pPr>
        <w:rPr>
          <w:lang w:val="en-GB"/>
        </w:rPr>
      </w:pPr>
    </w:p>
    <w:p w14:paraId="22CEA7CC" w14:textId="2EF6F2CF" w:rsidR="007C1D62" w:rsidRPr="00283DB4" w:rsidRDefault="007C1D62" w:rsidP="007C1D62">
      <w:pPr>
        <w:rPr>
          <w:b/>
          <w:bCs/>
          <w:lang w:val="en-GB"/>
        </w:rPr>
      </w:pPr>
      <w:r w:rsidRPr="00283DB4">
        <w:rPr>
          <w:b/>
          <w:bCs/>
          <w:lang w:val="en-GB"/>
        </w:rPr>
        <w:t>Follow-up exome sequencing</w:t>
      </w:r>
    </w:p>
    <w:p w14:paraId="69A27A07" w14:textId="003F6710" w:rsidR="007C1D62" w:rsidRPr="00283DB4" w:rsidRDefault="007C1D62" w:rsidP="007C1D62">
      <w:pPr>
        <w:rPr>
          <w:lang w:val="en-GB"/>
        </w:rPr>
      </w:pPr>
      <w:r w:rsidRPr="00283DB4">
        <w:rPr>
          <w:lang w:val="en-GB"/>
        </w:rPr>
        <w:t xml:space="preserve">DNA was extracted from venous blood collected in K2EDTA blood collection tubes. DNA was extracted using QIAGEN </w:t>
      </w:r>
      <w:proofErr w:type="spellStart"/>
      <w:r w:rsidRPr="00283DB4">
        <w:rPr>
          <w:lang w:val="en-GB"/>
        </w:rPr>
        <w:t>QIAmp</w:t>
      </w:r>
      <w:proofErr w:type="spellEnd"/>
      <w:r w:rsidRPr="00283DB4">
        <w:rPr>
          <w:lang w:val="en-GB"/>
        </w:rPr>
        <w:t xml:space="preserve"> DNA Blood Mini kit reagents. The exome sequencing was conducted as follows in the Institute of Genomics Core Facility, University of Tartu, Estonia. Extracted DNA samples were quantified with Qubit and exome libraries were prepared using Illumina DNA Prep with Exome 2.5 Enrichment kit. The libraries were quantified with Qubit, library profiles were assessed with </w:t>
      </w:r>
      <w:proofErr w:type="spellStart"/>
      <w:r w:rsidRPr="00283DB4">
        <w:rPr>
          <w:lang w:val="en-GB"/>
        </w:rPr>
        <w:t>TapeStation</w:t>
      </w:r>
      <w:proofErr w:type="spellEnd"/>
      <w:r w:rsidRPr="00283DB4">
        <w:rPr>
          <w:lang w:val="en-GB"/>
        </w:rPr>
        <w:t xml:space="preserve"> 4200 System. Sequencing was carried out on an Illumina NextSeq2000 using </w:t>
      </w:r>
      <w:proofErr w:type="spellStart"/>
      <w:r w:rsidRPr="00283DB4">
        <w:rPr>
          <w:lang w:val="en-GB"/>
        </w:rPr>
        <w:t>NextSeq</w:t>
      </w:r>
      <w:proofErr w:type="spellEnd"/>
      <w:r w:rsidRPr="00283DB4">
        <w:rPr>
          <w:lang w:val="en-GB"/>
        </w:rPr>
        <w:t xml:space="preserve"> 2000 P3 Reagents (200 Cycles) in the paired-end 2 x 101 bp mode. Post-sequencing </w:t>
      </w:r>
      <w:r w:rsidRPr="00283DB4">
        <w:rPr>
          <w:lang w:val="en-GB"/>
        </w:rPr>
        <w:lastRenderedPageBreak/>
        <w:t>analysis was performed with onboard DRAGEN Enrichment App v 3.10.12, using the HG38 BED file provided by the library preparation kit manufacturer</w:t>
      </w:r>
      <w:r w:rsidRPr="00283DB4">
        <w:rPr>
          <w:vertAlign w:val="superscript"/>
          <w:lang w:val="en-GB"/>
        </w:rPr>
        <w:t>1</w:t>
      </w:r>
      <w:r w:rsidRPr="00283DB4">
        <w:rPr>
          <w:lang w:val="en-GB"/>
        </w:rPr>
        <w:t xml:space="preserve"> and Homo sapiens [1000 Genomes] hg38 Custom Alt Aware Graph reference genome</w:t>
      </w:r>
      <w:r w:rsidRPr="00283DB4">
        <w:rPr>
          <w:vertAlign w:val="superscript"/>
          <w:lang w:val="en-GB"/>
        </w:rPr>
        <w:t>2</w:t>
      </w:r>
      <w:r w:rsidRPr="00283DB4">
        <w:rPr>
          <w:lang w:val="en-GB"/>
        </w:rPr>
        <w:t>.</w:t>
      </w:r>
    </w:p>
    <w:p w14:paraId="298C90ED" w14:textId="6A534240" w:rsidR="007C1D62" w:rsidRPr="00283DB4" w:rsidRDefault="007C1D62" w:rsidP="007C1D62">
      <w:pPr>
        <w:rPr>
          <w:lang w:val="en-GB"/>
        </w:rPr>
      </w:pPr>
      <w:r w:rsidRPr="00283DB4">
        <w:rPr>
          <w:lang w:val="en-GB"/>
        </w:rPr>
        <w:br/>
      </w:r>
      <w:r w:rsidRPr="00283DB4">
        <w:rPr>
          <w:vertAlign w:val="superscript"/>
          <w:lang w:val="en-GB"/>
        </w:rPr>
        <w:t>1</w:t>
      </w:r>
      <w:r w:rsidRPr="00283DB4">
        <w:rPr>
          <w:lang w:val="en-GB"/>
        </w:rPr>
        <w:t>https://support.illumina.com/downloads/Illumina-dna-prep-exome-20-bed-</w:t>
      </w:r>
      <w:r w:rsidRPr="00283DB4">
        <w:rPr>
          <w:lang w:val="en-GB"/>
        </w:rPr>
        <w:br/>
        <w:t>files.html</w:t>
      </w:r>
      <w:r w:rsidRPr="00283DB4">
        <w:rPr>
          <w:lang w:val="en-GB"/>
        </w:rPr>
        <w:br/>
      </w:r>
      <w:r w:rsidRPr="00283DB4">
        <w:rPr>
          <w:vertAlign w:val="superscript"/>
          <w:lang w:val="en-GB"/>
        </w:rPr>
        <w:t>2</w:t>
      </w:r>
      <w:r w:rsidRPr="00283DB4">
        <w:rPr>
          <w:lang w:val="en-GB"/>
        </w:rPr>
        <w:t>Source: http://ftp.1000genomes.ebi.ac.uk/vol1/ftp/technical/reference/</w:t>
      </w:r>
      <w:r w:rsidRPr="00283DB4">
        <w:rPr>
          <w:lang w:val="en-GB"/>
        </w:rPr>
        <w:br/>
        <w:t>GRCh38_reference_genome/GRCh38_full_analysis_set_plus_decoy_</w:t>
      </w:r>
      <w:proofErr w:type="gramStart"/>
      <w:r w:rsidRPr="00283DB4">
        <w:rPr>
          <w:lang w:val="en-GB"/>
        </w:rPr>
        <w:t>hla.fa</w:t>
      </w:r>
      <w:proofErr w:type="gramEnd"/>
      <w:r w:rsidRPr="00283DB4">
        <w:rPr>
          <w:lang w:val="en-GB"/>
        </w:rPr>
        <w:t xml:space="preserve"> </w:t>
      </w:r>
      <w:r w:rsidRPr="00283DB4">
        <w:rPr>
          <w:lang w:val="en-GB"/>
        </w:rPr>
        <w:br/>
        <w:t xml:space="preserve">with an Illumina modified ALT-to-GRCh38 alignment file, originating from </w:t>
      </w:r>
      <w:r w:rsidRPr="00283DB4">
        <w:rPr>
          <w:lang w:val="en-GB"/>
        </w:rPr>
        <w:br/>
        <w:t>http://sourceforge.net/projects/bio-bwa/files/bwakit/bwakit-0.7.12_x64-linux.tar.bz2/download, augmented with proprietary population alt haplotypes</w:t>
      </w:r>
    </w:p>
    <w:p w14:paraId="768E13B6" w14:textId="77777777" w:rsidR="00AF1297" w:rsidRPr="00283DB4" w:rsidRDefault="00AF1297" w:rsidP="007F1356">
      <w:pPr>
        <w:rPr>
          <w:lang w:val="en-GB"/>
        </w:rPr>
      </w:pPr>
    </w:p>
    <w:p w14:paraId="7524CBC7" w14:textId="77777777" w:rsidR="00A00009" w:rsidRPr="00283DB4" w:rsidRDefault="00A00009" w:rsidP="00A00009">
      <w:pPr>
        <w:rPr>
          <w:b/>
          <w:lang w:val="en-GB"/>
        </w:rPr>
      </w:pPr>
      <w:r w:rsidRPr="00283DB4">
        <w:rPr>
          <w:b/>
          <w:lang w:val="en-GB"/>
        </w:rPr>
        <w:t>Transcranial Sonography</w:t>
      </w:r>
    </w:p>
    <w:p w14:paraId="34C268FB" w14:textId="60E04116" w:rsidR="003222CF" w:rsidRPr="00283DB4" w:rsidRDefault="00A00009" w:rsidP="003222CF">
      <w:pPr>
        <w:rPr>
          <w:lang w:val="en-GB"/>
        </w:rPr>
      </w:pPr>
      <w:r w:rsidRPr="00283DB4">
        <w:rPr>
          <w:lang w:val="en-GB"/>
        </w:rPr>
        <w:t xml:space="preserve">An experienced </w:t>
      </w:r>
      <w:r w:rsidR="00E91B51" w:rsidRPr="00283DB4">
        <w:rPr>
          <w:lang w:val="en-GB"/>
        </w:rPr>
        <w:t>neurologist</w:t>
      </w:r>
      <w:r w:rsidRPr="00283DB4">
        <w:rPr>
          <w:lang w:val="en-GB"/>
        </w:rPr>
        <w:t xml:space="preserve"> performed </w:t>
      </w:r>
      <w:r w:rsidR="00BD1877" w:rsidRPr="00283DB4">
        <w:rPr>
          <w:lang w:val="en-GB"/>
        </w:rPr>
        <w:t xml:space="preserve">transcranial sonography (TCS) </w:t>
      </w:r>
      <w:r w:rsidR="00E91B51" w:rsidRPr="00283DB4">
        <w:rPr>
          <w:lang w:val="en-GB"/>
        </w:rPr>
        <w:t>during the 2</w:t>
      </w:r>
      <w:r w:rsidR="00E91B51" w:rsidRPr="00283DB4">
        <w:rPr>
          <w:vertAlign w:val="superscript"/>
          <w:lang w:val="en-GB"/>
        </w:rPr>
        <w:t>nd</w:t>
      </w:r>
      <w:r w:rsidR="00E91B51" w:rsidRPr="00283DB4">
        <w:rPr>
          <w:lang w:val="en-GB"/>
        </w:rPr>
        <w:t xml:space="preserve"> recall visit </w:t>
      </w:r>
      <w:r w:rsidRPr="00283DB4">
        <w:rPr>
          <w:lang w:val="en-GB"/>
        </w:rPr>
        <w:t>o</w:t>
      </w:r>
      <w:r w:rsidR="00BD1877" w:rsidRPr="00283DB4">
        <w:rPr>
          <w:lang w:val="en-GB"/>
        </w:rPr>
        <w:t>n</w:t>
      </w:r>
      <w:r w:rsidRPr="00283DB4">
        <w:rPr>
          <w:lang w:val="en-GB"/>
        </w:rPr>
        <w:t xml:space="preserve"> all </w:t>
      </w:r>
      <w:r w:rsidR="00E91B51" w:rsidRPr="00283DB4">
        <w:rPr>
          <w:lang w:val="en-GB"/>
        </w:rPr>
        <w:t>available recall participants</w:t>
      </w:r>
      <w:r w:rsidRPr="00283DB4">
        <w:rPr>
          <w:lang w:val="en-GB"/>
        </w:rPr>
        <w:t xml:space="preserve">. </w:t>
      </w:r>
      <w:r w:rsidR="00BD1877" w:rsidRPr="00283DB4">
        <w:rPr>
          <w:lang w:val="en-GB"/>
        </w:rPr>
        <w:t>The TCS</w:t>
      </w:r>
      <w:r w:rsidRPr="00283DB4">
        <w:rPr>
          <w:lang w:val="en-GB"/>
        </w:rPr>
        <w:t xml:space="preserve"> was conducted through the preauricular acoustic bone window using a 2.5-MHz S4-2 FAST transducer in two-dimensional mode (Mindray ultrasound system, a </w:t>
      </w:r>
      <w:proofErr w:type="spellStart"/>
      <w:r w:rsidRPr="00283DB4">
        <w:rPr>
          <w:lang w:val="en-GB"/>
        </w:rPr>
        <w:t>color</w:t>
      </w:r>
      <w:proofErr w:type="spellEnd"/>
      <w:r w:rsidRPr="00283DB4">
        <w:rPr>
          <w:lang w:val="en-GB"/>
        </w:rPr>
        <w:t xml:space="preserve"> portable MX7 ultrasound system with the ZST+ Platform; </w:t>
      </w:r>
      <w:r w:rsidR="00BD1877" w:rsidRPr="00283DB4">
        <w:rPr>
          <w:lang w:val="en-GB"/>
        </w:rPr>
        <w:t>ZONARE Medical Systems Inc., USA</w:t>
      </w:r>
      <w:r w:rsidRPr="00283DB4">
        <w:rPr>
          <w:lang w:val="en-GB"/>
        </w:rPr>
        <w:t xml:space="preserve">). Following the identification of the mesencephalic brainstem, </w:t>
      </w:r>
      <w:r w:rsidR="00E91B51" w:rsidRPr="00283DB4">
        <w:rPr>
          <w:lang w:val="en-GB"/>
        </w:rPr>
        <w:t>attention was focused on the ipsilateral LN region, where hyperechogenic areas visualized on the monitor were and the image</w:t>
      </w:r>
      <w:r w:rsidR="007F1356" w:rsidRPr="00283DB4">
        <w:rPr>
          <w:lang w:val="en-GB"/>
        </w:rPr>
        <w:t xml:space="preserve"> was</w:t>
      </w:r>
      <w:r w:rsidR="00E91B51" w:rsidRPr="00283DB4">
        <w:rPr>
          <w:lang w:val="en-GB"/>
        </w:rPr>
        <w:t xml:space="preserve"> captured. </w:t>
      </w:r>
      <w:r w:rsidR="00BD1877" w:rsidRPr="00283DB4">
        <w:rPr>
          <w:lang w:val="en-GB"/>
        </w:rPr>
        <w:t>LN</w:t>
      </w:r>
      <w:r w:rsidRPr="00283DB4">
        <w:rPr>
          <w:lang w:val="en-GB"/>
        </w:rPr>
        <w:t xml:space="preserve"> echogenicity was assessed independently from the right and left temporal windows. </w:t>
      </w:r>
    </w:p>
    <w:p w14:paraId="214233B6" w14:textId="77777777" w:rsidR="003222CF" w:rsidRPr="00283DB4" w:rsidRDefault="003222CF" w:rsidP="003222CF">
      <w:pPr>
        <w:rPr>
          <w:lang w:val="en-GB"/>
        </w:rPr>
      </w:pPr>
    </w:p>
    <w:p w14:paraId="03C68E62" w14:textId="14C9C0B7" w:rsidR="003222CF" w:rsidRPr="00283DB4" w:rsidRDefault="008020B8" w:rsidP="003222CF">
      <w:pPr>
        <w:rPr>
          <w:rStyle w:val="Strong"/>
          <w:lang w:val="en-GB"/>
        </w:rPr>
      </w:pPr>
      <w:r w:rsidRPr="00283DB4">
        <w:rPr>
          <w:rStyle w:val="Strong"/>
          <w:lang w:val="en-GB"/>
        </w:rPr>
        <w:t>Other</w:t>
      </w:r>
      <w:r w:rsidR="003222CF" w:rsidRPr="00283DB4">
        <w:rPr>
          <w:rStyle w:val="Strong"/>
          <w:lang w:val="en-GB"/>
        </w:rPr>
        <w:t xml:space="preserve"> medical devices used for recall visits</w:t>
      </w:r>
    </w:p>
    <w:p w14:paraId="05A3D81A" w14:textId="479FC0B4" w:rsidR="003222CF" w:rsidRPr="00283DB4" w:rsidRDefault="003222CF" w:rsidP="003222CF">
      <w:pPr>
        <w:rPr>
          <w:lang w:val="en-GB"/>
        </w:rPr>
      </w:pPr>
      <w:r w:rsidRPr="00283DB4">
        <w:rPr>
          <w:lang w:val="en-GB"/>
        </w:rPr>
        <w:t xml:space="preserve">Dynamometer - Patterson Medical Jamar Plus+ Hydraulic Hand Dynamometer </w:t>
      </w:r>
    </w:p>
    <w:p w14:paraId="124B2DCB" w14:textId="75C60978" w:rsidR="008F4DE8" w:rsidRPr="00283DB4" w:rsidRDefault="003222CF" w:rsidP="003222CF">
      <w:pPr>
        <w:rPr>
          <w:lang w:val="en-GB"/>
        </w:rPr>
      </w:pPr>
      <w:r w:rsidRPr="00283DB4">
        <w:rPr>
          <w:lang w:val="en-GB"/>
        </w:rPr>
        <w:t xml:space="preserve">Blood tubes – A) 3 tubes used for biochemical analyses – K2E/K3E EDTA tube, lithium-heparin tube, microelements tube with clotting activator, B) K2E/K3E EDTA tube for secondary validation with Sanger sequencing, C) </w:t>
      </w:r>
      <w:proofErr w:type="spellStart"/>
      <w:r w:rsidRPr="00283DB4">
        <w:rPr>
          <w:lang w:val="en-GB"/>
        </w:rPr>
        <w:t>PAXGene</w:t>
      </w:r>
      <w:proofErr w:type="spellEnd"/>
      <w:r w:rsidRPr="00283DB4">
        <w:rPr>
          <w:lang w:val="en-GB"/>
        </w:rPr>
        <w:t xml:space="preserve"> blood RNA tube (BD Biosciences)</w:t>
      </w:r>
    </w:p>
    <w:p w14:paraId="496635A2" w14:textId="77777777" w:rsidR="007F1356" w:rsidRPr="00283DB4" w:rsidRDefault="007F1356" w:rsidP="003222CF">
      <w:pPr>
        <w:rPr>
          <w:lang w:val="en-GB"/>
        </w:rPr>
      </w:pPr>
    </w:p>
    <w:p w14:paraId="4F45C3A4" w14:textId="07CCBF04" w:rsidR="008F4DE8" w:rsidRPr="00283DB4" w:rsidRDefault="008F4DE8" w:rsidP="003222CF">
      <w:pPr>
        <w:rPr>
          <w:b/>
          <w:lang w:val="en-GB"/>
        </w:rPr>
      </w:pPr>
      <w:r w:rsidRPr="00283DB4">
        <w:rPr>
          <w:b/>
          <w:lang w:val="en-GB"/>
        </w:rPr>
        <w:t>IBD segment analysis</w:t>
      </w:r>
    </w:p>
    <w:p w14:paraId="294BD834" w14:textId="77777777" w:rsidR="008F4DE8" w:rsidRPr="00283DB4" w:rsidRDefault="008F4DE8" w:rsidP="008F4DE8">
      <w:pPr>
        <w:rPr>
          <w:lang w:val="en-GB"/>
        </w:rPr>
      </w:pPr>
      <w:r w:rsidRPr="00283DB4">
        <w:rPr>
          <w:lang w:val="en-GB"/>
        </w:rPr>
        <w:t>We used ggplot2 v3.4.2 (Wickham 2016) and sf v1.0.13 (</w:t>
      </w:r>
      <w:proofErr w:type="spellStart"/>
      <w:r w:rsidRPr="00283DB4">
        <w:rPr>
          <w:lang w:val="en-GB"/>
        </w:rPr>
        <w:t>Pebesma</w:t>
      </w:r>
      <w:proofErr w:type="spellEnd"/>
      <w:r w:rsidRPr="00283DB4">
        <w:rPr>
          <w:lang w:val="en-GB"/>
        </w:rPr>
        <w:t xml:space="preserve"> 2018, </w:t>
      </w:r>
      <w:proofErr w:type="spellStart"/>
      <w:r w:rsidRPr="00283DB4">
        <w:rPr>
          <w:lang w:val="en-GB"/>
        </w:rPr>
        <w:t>Pebesma</w:t>
      </w:r>
      <w:proofErr w:type="spellEnd"/>
      <w:r w:rsidRPr="00283DB4">
        <w:rPr>
          <w:lang w:val="en-GB"/>
        </w:rPr>
        <w:t xml:space="preserve"> &amp; </w:t>
      </w:r>
      <w:proofErr w:type="spellStart"/>
      <w:r w:rsidRPr="00283DB4">
        <w:rPr>
          <w:lang w:val="en-GB"/>
        </w:rPr>
        <w:t>Bivand</w:t>
      </w:r>
      <w:proofErr w:type="spellEnd"/>
      <w:r w:rsidRPr="00283DB4">
        <w:rPr>
          <w:lang w:val="en-GB"/>
        </w:rPr>
        <w:t xml:space="preserve">, 2023) packages in R v4.3.0 for creating maps. </w:t>
      </w:r>
      <w:proofErr w:type="spellStart"/>
      <w:r w:rsidRPr="00283DB4">
        <w:rPr>
          <w:lang w:val="en-GB"/>
        </w:rPr>
        <w:t>Shp</w:t>
      </w:r>
      <w:proofErr w:type="spellEnd"/>
      <w:r w:rsidRPr="00283DB4">
        <w:rPr>
          <w:lang w:val="en-GB"/>
        </w:rPr>
        <w:t xml:space="preserve"> objects used to plot maps of Estonia with county borders were retrieved from the Estonian Land Board website (administrative and settlement units, 2023.02.01, </w:t>
      </w:r>
      <w:hyperlink r:id="rId4">
        <w:r w:rsidRPr="00283DB4">
          <w:rPr>
            <w:rStyle w:val="Hyperlink"/>
            <w:lang w:val="en-GB"/>
          </w:rPr>
          <w:t>https://geoportaal.maaamet.ee/eng/Spatial-Data/Administrative-and-Settlement-Division-p312.html</w:t>
        </w:r>
      </w:hyperlink>
      <w:r w:rsidRPr="00283DB4">
        <w:rPr>
          <w:lang w:val="en-GB"/>
        </w:rPr>
        <w:t>).</w:t>
      </w:r>
    </w:p>
    <w:p w14:paraId="5DB212FD" w14:textId="77777777" w:rsidR="008F4DE8" w:rsidRPr="00283DB4" w:rsidRDefault="008F4DE8" w:rsidP="008F4DE8">
      <w:pPr>
        <w:rPr>
          <w:lang w:val="en-GB"/>
        </w:rPr>
      </w:pPr>
      <w:r w:rsidRPr="00283DB4">
        <w:rPr>
          <w:lang w:val="en-GB"/>
        </w:rPr>
        <w:t>R Core Team (2023). _R: A Language and Environment for Statistical Computing_. R Foundation for Statistical   Computing, Vienna, Austria. &lt;</w:t>
      </w:r>
      <w:hyperlink r:id="rId5">
        <w:r w:rsidRPr="00283DB4">
          <w:rPr>
            <w:rStyle w:val="Hyperlink"/>
            <w:lang w:val="en-GB"/>
          </w:rPr>
          <w:t>https://www.R-project.org/</w:t>
        </w:r>
      </w:hyperlink>
      <w:hyperlink>
        <w:r w:rsidRPr="00283DB4">
          <w:rPr>
            <w:lang w:val="en-GB"/>
          </w:rPr>
          <w:t>&gt;.</w:t>
        </w:r>
      </w:hyperlink>
    </w:p>
    <w:p w14:paraId="138F546C" w14:textId="77777777" w:rsidR="008F4DE8" w:rsidRPr="00283DB4" w:rsidRDefault="008F4DE8" w:rsidP="008F4DE8">
      <w:pPr>
        <w:rPr>
          <w:lang w:val="en-GB"/>
        </w:rPr>
      </w:pPr>
      <w:r w:rsidRPr="00283DB4">
        <w:rPr>
          <w:lang w:val="en-GB"/>
        </w:rPr>
        <w:t>H. Wickham. ggplot2: Elegant Graphics for Data Analysis. Springer-Verlag New York, 2016.</w:t>
      </w:r>
    </w:p>
    <w:p w14:paraId="7CA664E9" w14:textId="77777777" w:rsidR="008F4DE8" w:rsidRPr="00283DB4" w:rsidRDefault="008F4DE8" w:rsidP="008F4DE8">
      <w:pPr>
        <w:rPr>
          <w:lang w:val="en-GB"/>
        </w:rPr>
      </w:pPr>
      <w:proofErr w:type="spellStart"/>
      <w:r w:rsidRPr="00283DB4">
        <w:rPr>
          <w:lang w:val="en-GB"/>
        </w:rPr>
        <w:t>Pebesma</w:t>
      </w:r>
      <w:proofErr w:type="spellEnd"/>
      <w:r w:rsidRPr="00283DB4">
        <w:rPr>
          <w:lang w:val="en-GB"/>
        </w:rPr>
        <w:t>, E., 2018. Simple Features for R: Standardized Support for Spatial Vector Data. The R Journal 10 (1), 439-446, https://doi.org/10.32614/RJ-2018-009</w:t>
      </w:r>
    </w:p>
    <w:p w14:paraId="167A28E5" w14:textId="77777777" w:rsidR="008F4DE8" w:rsidRPr="00283DB4" w:rsidRDefault="008F4DE8" w:rsidP="008F4DE8">
      <w:pPr>
        <w:rPr>
          <w:lang w:val="en-GB"/>
        </w:rPr>
      </w:pPr>
      <w:proofErr w:type="spellStart"/>
      <w:r w:rsidRPr="00283DB4">
        <w:rPr>
          <w:lang w:val="en-GB"/>
        </w:rPr>
        <w:lastRenderedPageBreak/>
        <w:t>Pebesma</w:t>
      </w:r>
      <w:proofErr w:type="spellEnd"/>
      <w:r w:rsidRPr="00283DB4">
        <w:rPr>
          <w:lang w:val="en-GB"/>
        </w:rPr>
        <w:t xml:space="preserve">, E., &amp; </w:t>
      </w:r>
      <w:proofErr w:type="spellStart"/>
      <w:r w:rsidRPr="00283DB4">
        <w:rPr>
          <w:lang w:val="en-GB"/>
        </w:rPr>
        <w:t>Bivand</w:t>
      </w:r>
      <w:proofErr w:type="spellEnd"/>
      <w:r w:rsidRPr="00283DB4">
        <w:rPr>
          <w:lang w:val="en-GB"/>
        </w:rPr>
        <w:t>, R. (2023). Spatial Data Science: With Applications in R (1st ed.). Chapman and Hall/CRC. https://doi.org/10.1201/9780429459016</w:t>
      </w:r>
    </w:p>
    <w:p w14:paraId="3D6CDE90" w14:textId="6D1D9E6E" w:rsidR="005E2871" w:rsidRPr="00283DB4" w:rsidRDefault="00AD1E60">
      <w:pPr>
        <w:rPr>
          <w:lang w:val="en-GB"/>
        </w:rPr>
      </w:pPr>
      <w:r w:rsidRPr="00283DB4">
        <w:rPr>
          <w:lang w:val="en-GB"/>
        </w:rPr>
        <w:t xml:space="preserve"> </w:t>
      </w:r>
    </w:p>
    <w:sectPr w:rsidR="005E2871" w:rsidRPr="00283D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2CF"/>
    <w:rsid w:val="00283DB4"/>
    <w:rsid w:val="003222CF"/>
    <w:rsid w:val="00331839"/>
    <w:rsid w:val="00503DBA"/>
    <w:rsid w:val="0053688D"/>
    <w:rsid w:val="005B08CE"/>
    <w:rsid w:val="005E2871"/>
    <w:rsid w:val="006A2FB7"/>
    <w:rsid w:val="007C1D62"/>
    <w:rsid w:val="007E4C19"/>
    <w:rsid w:val="007F1356"/>
    <w:rsid w:val="008020B8"/>
    <w:rsid w:val="008F4DE8"/>
    <w:rsid w:val="00A00009"/>
    <w:rsid w:val="00AD1E60"/>
    <w:rsid w:val="00AF1297"/>
    <w:rsid w:val="00BD1877"/>
    <w:rsid w:val="00CA4969"/>
    <w:rsid w:val="00DD2932"/>
    <w:rsid w:val="00E91B51"/>
    <w:rsid w:val="00EE7F3C"/>
    <w:rsid w:val="00F278FD"/>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4966B9"/>
  <w15:chartTrackingRefBased/>
  <w15:docId w15:val="{433A8370-A9CA-46B7-81FD-348A65160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22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222C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22CF"/>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3222CF"/>
    <w:rPr>
      <w:b/>
      <w:bCs/>
    </w:rPr>
  </w:style>
  <w:style w:type="character" w:styleId="Hyperlink">
    <w:name w:val="Hyperlink"/>
    <w:basedOn w:val="DefaultParagraphFont"/>
    <w:uiPriority w:val="99"/>
    <w:unhideWhenUsed/>
    <w:rsid w:val="008F4DE8"/>
    <w:rPr>
      <w:color w:val="0563C1" w:themeColor="hyperlink"/>
      <w:u w:val="single"/>
    </w:rPr>
  </w:style>
  <w:style w:type="character" w:styleId="FollowedHyperlink">
    <w:name w:val="FollowedHyperlink"/>
    <w:basedOn w:val="DefaultParagraphFont"/>
    <w:uiPriority w:val="99"/>
    <w:semiHidden/>
    <w:unhideWhenUsed/>
    <w:rsid w:val="008F4DE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4142328">
      <w:bodyDiv w:val="1"/>
      <w:marLeft w:val="0"/>
      <w:marRight w:val="0"/>
      <w:marTop w:val="0"/>
      <w:marBottom w:val="0"/>
      <w:divBdr>
        <w:top w:val="none" w:sz="0" w:space="0" w:color="auto"/>
        <w:left w:val="none" w:sz="0" w:space="0" w:color="auto"/>
        <w:bottom w:val="none" w:sz="0" w:space="0" w:color="auto"/>
        <w:right w:val="none" w:sz="0" w:space="0" w:color="auto"/>
      </w:divBdr>
      <w:divsChild>
        <w:div w:id="60563916">
          <w:marLeft w:val="0"/>
          <w:marRight w:val="0"/>
          <w:marTop w:val="0"/>
          <w:marBottom w:val="0"/>
          <w:divBdr>
            <w:top w:val="none" w:sz="0" w:space="0" w:color="auto"/>
            <w:left w:val="none" w:sz="0" w:space="0" w:color="auto"/>
            <w:bottom w:val="none" w:sz="0" w:space="0" w:color="auto"/>
            <w:right w:val="none" w:sz="0" w:space="0" w:color="auto"/>
          </w:divBdr>
        </w:div>
        <w:div w:id="2048986932">
          <w:marLeft w:val="0"/>
          <w:marRight w:val="0"/>
          <w:marTop w:val="0"/>
          <w:marBottom w:val="0"/>
          <w:divBdr>
            <w:top w:val="none" w:sz="0" w:space="0" w:color="auto"/>
            <w:left w:val="none" w:sz="0" w:space="0" w:color="auto"/>
            <w:bottom w:val="none" w:sz="0" w:space="0" w:color="auto"/>
            <w:right w:val="none" w:sz="0" w:space="0" w:color="auto"/>
          </w:divBdr>
          <w:divsChild>
            <w:div w:id="386682905">
              <w:marLeft w:val="0"/>
              <w:marRight w:val="0"/>
              <w:marTop w:val="0"/>
              <w:marBottom w:val="0"/>
              <w:divBdr>
                <w:top w:val="none" w:sz="0" w:space="0" w:color="auto"/>
                <w:left w:val="none" w:sz="0" w:space="0" w:color="auto"/>
                <w:bottom w:val="none" w:sz="0" w:space="0" w:color="auto"/>
                <w:right w:val="none" w:sz="0" w:space="0" w:color="auto"/>
              </w:divBdr>
            </w:div>
          </w:divsChild>
        </w:div>
        <w:div w:id="835270643">
          <w:marLeft w:val="0"/>
          <w:marRight w:val="0"/>
          <w:marTop w:val="0"/>
          <w:marBottom w:val="0"/>
          <w:divBdr>
            <w:top w:val="none" w:sz="0" w:space="0" w:color="auto"/>
            <w:left w:val="none" w:sz="0" w:space="0" w:color="auto"/>
            <w:bottom w:val="none" w:sz="0" w:space="0" w:color="auto"/>
            <w:right w:val="none" w:sz="0" w:space="0" w:color="auto"/>
          </w:divBdr>
          <w:divsChild>
            <w:div w:id="1086806664">
              <w:marLeft w:val="0"/>
              <w:marRight w:val="0"/>
              <w:marTop w:val="0"/>
              <w:marBottom w:val="0"/>
              <w:divBdr>
                <w:top w:val="none" w:sz="0" w:space="0" w:color="auto"/>
                <w:left w:val="none" w:sz="0" w:space="0" w:color="auto"/>
                <w:bottom w:val="none" w:sz="0" w:space="0" w:color="auto"/>
                <w:right w:val="none" w:sz="0" w:space="0" w:color="auto"/>
              </w:divBdr>
            </w:div>
          </w:divsChild>
        </w:div>
        <w:div w:id="2112973663">
          <w:marLeft w:val="0"/>
          <w:marRight w:val="0"/>
          <w:marTop w:val="0"/>
          <w:marBottom w:val="0"/>
          <w:divBdr>
            <w:top w:val="none" w:sz="0" w:space="0" w:color="auto"/>
            <w:left w:val="none" w:sz="0" w:space="0" w:color="auto"/>
            <w:bottom w:val="none" w:sz="0" w:space="0" w:color="auto"/>
            <w:right w:val="none" w:sz="0" w:space="0" w:color="auto"/>
          </w:divBdr>
          <w:divsChild>
            <w:div w:id="193661669">
              <w:marLeft w:val="0"/>
              <w:marRight w:val="0"/>
              <w:marTop w:val="0"/>
              <w:marBottom w:val="0"/>
              <w:divBdr>
                <w:top w:val="none" w:sz="0" w:space="0" w:color="auto"/>
                <w:left w:val="none" w:sz="0" w:space="0" w:color="auto"/>
                <w:bottom w:val="none" w:sz="0" w:space="0" w:color="auto"/>
                <w:right w:val="none" w:sz="0" w:space="0" w:color="auto"/>
              </w:divBdr>
              <w:divsChild>
                <w:div w:id="748621281">
                  <w:marLeft w:val="0"/>
                  <w:marRight w:val="0"/>
                  <w:marTop w:val="0"/>
                  <w:marBottom w:val="0"/>
                  <w:divBdr>
                    <w:top w:val="none" w:sz="0" w:space="0" w:color="auto"/>
                    <w:left w:val="none" w:sz="0" w:space="0" w:color="auto"/>
                    <w:bottom w:val="none" w:sz="0" w:space="0" w:color="auto"/>
                    <w:right w:val="none" w:sz="0" w:space="0" w:color="auto"/>
                  </w:divBdr>
                  <w:divsChild>
                    <w:div w:id="7995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8897053">
      <w:bodyDiv w:val="1"/>
      <w:marLeft w:val="0"/>
      <w:marRight w:val="0"/>
      <w:marTop w:val="0"/>
      <w:marBottom w:val="0"/>
      <w:divBdr>
        <w:top w:val="none" w:sz="0" w:space="0" w:color="auto"/>
        <w:left w:val="none" w:sz="0" w:space="0" w:color="auto"/>
        <w:bottom w:val="none" w:sz="0" w:space="0" w:color="auto"/>
        <w:right w:val="none" w:sz="0" w:space="0" w:color="auto"/>
      </w:divBdr>
      <w:divsChild>
        <w:div w:id="1376655411">
          <w:marLeft w:val="0"/>
          <w:marRight w:val="0"/>
          <w:marTop w:val="0"/>
          <w:marBottom w:val="0"/>
          <w:divBdr>
            <w:top w:val="none" w:sz="0" w:space="0" w:color="auto"/>
            <w:left w:val="none" w:sz="0" w:space="0" w:color="auto"/>
            <w:bottom w:val="none" w:sz="0" w:space="0" w:color="auto"/>
            <w:right w:val="none" w:sz="0" w:space="0" w:color="auto"/>
          </w:divBdr>
        </w:div>
        <w:div w:id="1013191098">
          <w:marLeft w:val="0"/>
          <w:marRight w:val="0"/>
          <w:marTop w:val="0"/>
          <w:marBottom w:val="0"/>
          <w:divBdr>
            <w:top w:val="none" w:sz="0" w:space="0" w:color="auto"/>
            <w:left w:val="none" w:sz="0" w:space="0" w:color="auto"/>
            <w:bottom w:val="none" w:sz="0" w:space="0" w:color="auto"/>
            <w:right w:val="none" w:sz="0" w:space="0" w:color="auto"/>
          </w:divBdr>
          <w:divsChild>
            <w:div w:id="2105958612">
              <w:marLeft w:val="0"/>
              <w:marRight w:val="0"/>
              <w:marTop w:val="0"/>
              <w:marBottom w:val="0"/>
              <w:divBdr>
                <w:top w:val="none" w:sz="0" w:space="0" w:color="auto"/>
                <w:left w:val="none" w:sz="0" w:space="0" w:color="auto"/>
                <w:bottom w:val="none" w:sz="0" w:space="0" w:color="auto"/>
                <w:right w:val="none" w:sz="0" w:space="0" w:color="auto"/>
              </w:divBdr>
            </w:div>
          </w:divsChild>
        </w:div>
        <w:div w:id="334185773">
          <w:marLeft w:val="0"/>
          <w:marRight w:val="0"/>
          <w:marTop w:val="0"/>
          <w:marBottom w:val="0"/>
          <w:divBdr>
            <w:top w:val="none" w:sz="0" w:space="0" w:color="auto"/>
            <w:left w:val="none" w:sz="0" w:space="0" w:color="auto"/>
            <w:bottom w:val="none" w:sz="0" w:space="0" w:color="auto"/>
            <w:right w:val="none" w:sz="0" w:space="0" w:color="auto"/>
          </w:divBdr>
          <w:divsChild>
            <w:div w:id="464739658">
              <w:marLeft w:val="0"/>
              <w:marRight w:val="0"/>
              <w:marTop w:val="0"/>
              <w:marBottom w:val="0"/>
              <w:divBdr>
                <w:top w:val="none" w:sz="0" w:space="0" w:color="auto"/>
                <w:left w:val="none" w:sz="0" w:space="0" w:color="auto"/>
                <w:bottom w:val="none" w:sz="0" w:space="0" w:color="auto"/>
                <w:right w:val="none" w:sz="0" w:space="0" w:color="auto"/>
              </w:divBdr>
            </w:div>
          </w:divsChild>
        </w:div>
        <w:div w:id="573244949">
          <w:marLeft w:val="0"/>
          <w:marRight w:val="0"/>
          <w:marTop w:val="0"/>
          <w:marBottom w:val="0"/>
          <w:divBdr>
            <w:top w:val="none" w:sz="0" w:space="0" w:color="auto"/>
            <w:left w:val="none" w:sz="0" w:space="0" w:color="auto"/>
            <w:bottom w:val="none" w:sz="0" w:space="0" w:color="auto"/>
            <w:right w:val="none" w:sz="0" w:space="0" w:color="auto"/>
          </w:divBdr>
          <w:divsChild>
            <w:div w:id="1647279891">
              <w:marLeft w:val="0"/>
              <w:marRight w:val="0"/>
              <w:marTop w:val="0"/>
              <w:marBottom w:val="0"/>
              <w:divBdr>
                <w:top w:val="none" w:sz="0" w:space="0" w:color="auto"/>
                <w:left w:val="none" w:sz="0" w:space="0" w:color="auto"/>
                <w:bottom w:val="none" w:sz="0" w:space="0" w:color="auto"/>
                <w:right w:val="none" w:sz="0" w:space="0" w:color="auto"/>
              </w:divBdr>
              <w:divsChild>
                <w:div w:id="2020422769">
                  <w:marLeft w:val="0"/>
                  <w:marRight w:val="0"/>
                  <w:marTop w:val="0"/>
                  <w:marBottom w:val="0"/>
                  <w:divBdr>
                    <w:top w:val="none" w:sz="0" w:space="0" w:color="auto"/>
                    <w:left w:val="none" w:sz="0" w:space="0" w:color="auto"/>
                    <w:bottom w:val="none" w:sz="0" w:space="0" w:color="auto"/>
                    <w:right w:val="none" w:sz="0" w:space="0" w:color="auto"/>
                  </w:divBdr>
                  <w:divsChild>
                    <w:div w:id="186096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R-project.org/" TargetMode="External"/><Relationship Id="rId4" Type="http://schemas.openxmlformats.org/officeDocument/2006/relationships/hyperlink" Target="https://geoportaal.maaamet.ee/eng/Spatial-Data/Administrative-and-Settlement-Division-p31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508</Words>
  <Characters>3527</Characters>
  <Application>Microsoft Office Word</Application>
  <DocSecurity>0</DocSecurity>
  <Lines>74</Lines>
  <Paragraphs>37</Paragraphs>
  <ScaleCrop>false</ScaleCrop>
  <HeadingPairs>
    <vt:vector size="4" baseType="variant">
      <vt:variant>
        <vt:lpstr>Pealkiri</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Nurm</dc:creator>
  <cp:keywords/>
  <dc:description/>
  <cp:lastModifiedBy>Miriam Nurm</cp:lastModifiedBy>
  <cp:revision>6</cp:revision>
  <dcterms:created xsi:type="dcterms:W3CDTF">2024-02-12T11:10:00Z</dcterms:created>
  <dcterms:modified xsi:type="dcterms:W3CDTF">2024-03-15T12:37:00Z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2ae83b26-4464-42f2-b8d8-cc803c3c2d04</vt:lpwstr>
  </property>
</Properties>
</file>