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7BB34" w14:textId="589976D4" w:rsidR="00854E9B" w:rsidRDefault="00854E9B" w:rsidP="00854E9B">
      <w:pPr>
        <w:keepNext/>
        <w:keepLines/>
        <w:spacing w:after="240" w:line="240" w:lineRule="auto"/>
        <w:outlineLvl w:val="0"/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</w:pPr>
      <w:r w:rsidRPr="00854E9B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 xml:space="preserve">Real-life use of </w:t>
      </w:r>
      <w:bookmarkStart w:id="0" w:name="_Hlk155520980"/>
      <w:r w:rsidRPr="00854E9B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 xml:space="preserve">ropeg-interferon </w:t>
      </w:r>
      <w:r w:rsidRPr="00854E9B">
        <w:rPr>
          <w:rFonts w:ascii="Calibri Light" w:eastAsia="Calibri" w:hAnsi="Calibri Light" w:cs="Calibri Light"/>
          <w:color w:val="2F5496"/>
          <w:sz w:val="32"/>
          <w:szCs w:val="32"/>
          <w:lang w:val="en-US"/>
        </w:rPr>
        <w:t>α</w:t>
      </w:r>
      <w:r w:rsidRPr="00854E9B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 xml:space="preserve">2b </w:t>
      </w:r>
      <w:bookmarkEnd w:id="0"/>
      <w:r w:rsidRPr="00854E9B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>in Polycythemia Vera: patient selection and clinical outcomes</w:t>
      </w:r>
    </w:p>
    <w:p w14:paraId="127085D9" w14:textId="42159208" w:rsidR="00854E9B" w:rsidRPr="00854E9B" w:rsidRDefault="00854E9B" w:rsidP="00854E9B">
      <w:pPr>
        <w:pStyle w:val="Titolo2"/>
        <w:spacing w:after="240"/>
        <w:rPr>
          <w:rFonts w:eastAsia="Calibri"/>
          <w:lang w:val="en-US"/>
        </w:rPr>
      </w:pPr>
      <w:r>
        <w:rPr>
          <w:rFonts w:eastAsia="Calibri"/>
          <w:lang w:val="en-US"/>
        </w:rPr>
        <w:t>Annals of Hematology</w:t>
      </w:r>
    </w:p>
    <w:p w14:paraId="0FC5ABDC" w14:textId="77777777" w:rsidR="00854E9B" w:rsidRPr="00854E9B" w:rsidRDefault="00854E9B" w:rsidP="00854E9B">
      <w:pPr>
        <w:spacing w:after="240" w:line="264" w:lineRule="auto"/>
        <w:rPr>
          <w:rFonts w:ascii="Calibri" w:eastAsia="Calibri" w:hAnsi="Calibri" w:cs="Calibri"/>
        </w:rPr>
      </w:pPr>
      <w:r w:rsidRPr="00854E9B">
        <w:rPr>
          <w:rFonts w:ascii="Calibri" w:eastAsia="Calibri" w:hAnsi="Calibri" w:cs="Calibri"/>
        </w:rPr>
        <w:t>F. Palandri</w:t>
      </w:r>
      <w:r w:rsidRPr="00854E9B">
        <w:rPr>
          <w:rFonts w:ascii="Calibri" w:eastAsia="Calibri" w:hAnsi="Calibri" w:cs="Calibri"/>
          <w:vertAlign w:val="superscript"/>
        </w:rPr>
        <w:t>1</w:t>
      </w:r>
      <w:r w:rsidRPr="00854E9B">
        <w:rPr>
          <w:rFonts w:ascii="Calibri" w:eastAsia="Calibri" w:hAnsi="Calibri" w:cs="Calibri"/>
        </w:rPr>
        <w:t>, F. Branzanti</w:t>
      </w:r>
      <w:r w:rsidRPr="00854E9B">
        <w:rPr>
          <w:rFonts w:ascii="Calibri" w:eastAsia="Calibri" w:hAnsi="Calibri" w:cs="Calibri"/>
          <w:vertAlign w:val="superscript"/>
        </w:rPr>
        <w:t>2</w:t>
      </w:r>
      <w:r w:rsidRPr="00854E9B">
        <w:rPr>
          <w:rFonts w:ascii="Calibri" w:eastAsia="Calibri" w:hAnsi="Calibri" w:cs="Calibri"/>
        </w:rPr>
        <w:t>, M. Venturi</w:t>
      </w:r>
      <w:r w:rsidRPr="00854E9B">
        <w:rPr>
          <w:rFonts w:ascii="Calibri" w:eastAsia="Calibri" w:hAnsi="Calibri" w:cs="Calibri"/>
          <w:vertAlign w:val="superscript"/>
        </w:rPr>
        <w:t>1,2</w:t>
      </w:r>
      <w:r w:rsidRPr="00854E9B">
        <w:rPr>
          <w:rFonts w:ascii="Calibri" w:eastAsia="Calibri" w:hAnsi="Calibri" w:cs="Calibri"/>
        </w:rPr>
        <w:t>, A. Dedola</w:t>
      </w:r>
      <w:r w:rsidRPr="00854E9B">
        <w:rPr>
          <w:rFonts w:ascii="Calibri" w:eastAsia="Calibri" w:hAnsi="Calibri" w:cs="Calibri"/>
          <w:vertAlign w:val="superscript"/>
        </w:rPr>
        <w:t>1,2</w:t>
      </w:r>
      <w:r w:rsidRPr="00854E9B">
        <w:rPr>
          <w:rFonts w:ascii="Calibri" w:eastAsia="Calibri" w:hAnsi="Calibri" w:cs="Calibri"/>
        </w:rPr>
        <w:t>, G. Fontana</w:t>
      </w:r>
      <w:r w:rsidRPr="00854E9B">
        <w:rPr>
          <w:rFonts w:ascii="Calibri" w:eastAsia="Calibri" w:hAnsi="Calibri" w:cs="Calibri"/>
          <w:vertAlign w:val="superscript"/>
        </w:rPr>
        <w:t>1,2</w:t>
      </w:r>
      <w:r w:rsidRPr="00854E9B">
        <w:rPr>
          <w:rFonts w:ascii="Calibri" w:eastAsia="Calibri" w:hAnsi="Calibri" w:cs="Calibri"/>
        </w:rPr>
        <w:t>, M. Loffredo</w:t>
      </w:r>
      <w:r w:rsidRPr="00854E9B">
        <w:rPr>
          <w:rFonts w:ascii="Calibri" w:eastAsia="Calibri" w:hAnsi="Calibri" w:cs="Calibri"/>
          <w:vertAlign w:val="superscript"/>
        </w:rPr>
        <w:t>1,2</w:t>
      </w:r>
      <w:r w:rsidRPr="00854E9B">
        <w:rPr>
          <w:rFonts w:ascii="Calibri" w:eastAsia="Calibri" w:hAnsi="Calibri" w:cs="Calibri"/>
        </w:rPr>
        <w:t>, A. Patuelli</w:t>
      </w:r>
      <w:r w:rsidRPr="00854E9B">
        <w:rPr>
          <w:rFonts w:ascii="Calibri" w:eastAsia="Calibri" w:hAnsi="Calibri" w:cs="Calibri"/>
          <w:vertAlign w:val="superscript"/>
        </w:rPr>
        <w:t>1,2</w:t>
      </w:r>
      <w:r w:rsidRPr="00854E9B">
        <w:rPr>
          <w:rFonts w:ascii="Calibri" w:eastAsia="Calibri" w:hAnsi="Calibri" w:cs="Calibri"/>
        </w:rPr>
        <w:t>, E. Ottaviani</w:t>
      </w:r>
      <w:r w:rsidRPr="00854E9B">
        <w:rPr>
          <w:rFonts w:ascii="Calibri" w:eastAsia="Calibri" w:hAnsi="Calibri" w:cs="Calibri"/>
          <w:vertAlign w:val="superscript"/>
        </w:rPr>
        <w:t>1</w:t>
      </w:r>
      <w:r w:rsidRPr="00854E9B">
        <w:rPr>
          <w:rFonts w:ascii="Calibri" w:eastAsia="Calibri" w:hAnsi="Calibri" w:cs="Calibri"/>
        </w:rPr>
        <w:t>, M. Bersani</w:t>
      </w:r>
      <w:r w:rsidRPr="00854E9B">
        <w:rPr>
          <w:rFonts w:ascii="Calibri" w:eastAsia="Calibri" w:hAnsi="Calibri" w:cs="Calibri"/>
          <w:vertAlign w:val="superscript"/>
        </w:rPr>
        <w:t>1</w:t>
      </w:r>
      <w:r w:rsidRPr="00854E9B">
        <w:rPr>
          <w:rFonts w:ascii="Calibri" w:eastAsia="Calibri" w:hAnsi="Calibri" w:cs="Calibri"/>
        </w:rPr>
        <w:t>, M. Reta</w:t>
      </w:r>
      <w:r w:rsidRPr="00854E9B">
        <w:rPr>
          <w:rFonts w:ascii="Calibri" w:eastAsia="Calibri" w:hAnsi="Calibri" w:cs="Calibri"/>
          <w:vertAlign w:val="superscript"/>
        </w:rPr>
        <w:t>3</w:t>
      </w:r>
      <w:r w:rsidRPr="00854E9B">
        <w:rPr>
          <w:rFonts w:ascii="Calibri" w:eastAsia="Calibri" w:hAnsi="Calibri" w:cs="Calibri"/>
        </w:rPr>
        <w:t>, O. Addimanda</w:t>
      </w:r>
      <w:r w:rsidRPr="00854E9B">
        <w:rPr>
          <w:rFonts w:ascii="Calibri" w:eastAsia="Calibri" w:hAnsi="Calibri" w:cs="Calibri"/>
          <w:vertAlign w:val="superscript"/>
        </w:rPr>
        <w:t>3</w:t>
      </w:r>
      <w:r w:rsidRPr="00854E9B">
        <w:rPr>
          <w:rFonts w:ascii="Calibri" w:eastAsia="Calibri" w:hAnsi="Calibri" w:cs="Calibri"/>
        </w:rPr>
        <w:t>, V. Vicennati</w:t>
      </w:r>
      <w:r w:rsidRPr="00854E9B">
        <w:rPr>
          <w:rFonts w:ascii="Calibri" w:eastAsia="Calibri" w:hAnsi="Calibri" w:cs="Calibri"/>
          <w:vertAlign w:val="superscript"/>
        </w:rPr>
        <w:t>2,4</w:t>
      </w:r>
      <w:r w:rsidRPr="00854E9B">
        <w:rPr>
          <w:rFonts w:ascii="Calibri" w:eastAsia="Calibri" w:hAnsi="Calibri" w:cs="Calibri"/>
        </w:rPr>
        <w:t>, N. Vianelli</w:t>
      </w:r>
      <w:r w:rsidRPr="00854E9B">
        <w:rPr>
          <w:rFonts w:ascii="Calibri" w:eastAsia="Calibri" w:hAnsi="Calibri" w:cs="Calibri"/>
          <w:vertAlign w:val="superscript"/>
        </w:rPr>
        <w:t>1</w:t>
      </w:r>
      <w:r w:rsidRPr="00854E9B">
        <w:rPr>
          <w:rFonts w:ascii="Calibri" w:eastAsia="Calibri" w:hAnsi="Calibri" w:cs="Calibri"/>
        </w:rPr>
        <w:t>, M. Cavo</w:t>
      </w:r>
      <w:r w:rsidRPr="00854E9B">
        <w:rPr>
          <w:rFonts w:ascii="Calibri" w:eastAsia="Calibri" w:hAnsi="Calibri" w:cs="Calibri"/>
          <w:vertAlign w:val="superscript"/>
        </w:rPr>
        <w:t>1,2</w:t>
      </w:r>
    </w:p>
    <w:p w14:paraId="2D5ED50A" w14:textId="77777777" w:rsidR="00854E9B" w:rsidRPr="00854E9B" w:rsidRDefault="00854E9B" w:rsidP="00854E9B">
      <w:pPr>
        <w:spacing w:after="120" w:line="264" w:lineRule="auto"/>
        <w:jc w:val="both"/>
        <w:rPr>
          <w:rFonts w:ascii="Calibri" w:eastAsia="Calibri" w:hAnsi="Calibri" w:cs="Calibri"/>
        </w:rPr>
      </w:pPr>
      <w:r w:rsidRPr="00854E9B">
        <w:rPr>
          <w:rFonts w:ascii="Calibri" w:eastAsia="Calibri" w:hAnsi="Calibri" w:cs="Calibri"/>
        </w:rPr>
        <w:t>1) IRCCS Azienda Ospedaliero-Universitaria di Bologna, Istituto di Ematologia “Seràgnoli”, Bologna, Italy</w:t>
      </w:r>
    </w:p>
    <w:p w14:paraId="2A1FAA5D" w14:textId="77777777" w:rsidR="00854E9B" w:rsidRPr="00854E9B" w:rsidRDefault="00854E9B" w:rsidP="00854E9B">
      <w:pPr>
        <w:spacing w:after="120" w:line="264" w:lineRule="auto"/>
        <w:jc w:val="both"/>
        <w:rPr>
          <w:rFonts w:ascii="Calibri" w:eastAsia="Calibri" w:hAnsi="Calibri" w:cs="Calibri"/>
          <w:lang w:val="en-US"/>
        </w:rPr>
      </w:pPr>
      <w:r w:rsidRPr="00854E9B">
        <w:rPr>
          <w:rFonts w:ascii="Calibri" w:eastAsia="Calibri" w:hAnsi="Calibri" w:cs="Calibri"/>
          <w:lang w:val="en-US"/>
        </w:rPr>
        <w:t>2) Department of Medical and Surgical Sciences (DIMEC), Alma Mater Studiorum University of Bologna, 40138 Bologna, Italy.</w:t>
      </w:r>
    </w:p>
    <w:p w14:paraId="1BD78170" w14:textId="77777777" w:rsidR="00854E9B" w:rsidRPr="00854E9B" w:rsidRDefault="00854E9B" w:rsidP="00854E9B">
      <w:pPr>
        <w:spacing w:after="120" w:line="264" w:lineRule="auto"/>
        <w:jc w:val="both"/>
        <w:rPr>
          <w:rFonts w:ascii="Calibri" w:eastAsia="Calibri" w:hAnsi="Calibri" w:cs="Calibri"/>
        </w:rPr>
      </w:pPr>
      <w:r w:rsidRPr="00854E9B">
        <w:rPr>
          <w:rFonts w:ascii="Calibri" w:eastAsia="Calibri" w:hAnsi="Calibri" w:cs="Calibri"/>
        </w:rPr>
        <w:t>3) UO Interaziendale Medicina Interna ad Indirizzo Reumatologico AUSL BO-IRCCS AOUBO, Bologna, Italy</w:t>
      </w:r>
    </w:p>
    <w:p w14:paraId="358D5C63" w14:textId="77777777" w:rsidR="00854E9B" w:rsidRPr="00854E9B" w:rsidRDefault="00854E9B" w:rsidP="00854E9B">
      <w:pPr>
        <w:spacing w:after="240" w:line="264" w:lineRule="auto"/>
        <w:jc w:val="both"/>
        <w:rPr>
          <w:rFonts w:ascii="Calibri" w:eastAsia="Calibri" w:hAnsi="Calibri" w:cs="Calibri"/>
        </w:rPr>
      </w:pPr>
      <w:r w:rsidRPr="00854E9B">
        <w:rPr>
          <w:rFonts w:ascii="Calibri" w:eastAsia="Calibri" w:hAnsi="Calibri" w:cs="Calibri"/>
        </w:rPr>
        <w:t>4) Division of Endocrinology and Diabetes Prevention and Care, IRCCS Azienda Ospedaliero-Universitaria di Bologna, Italy</w:t>
      </w:r>
    </w:p>
    <w:p w14:paraId="0B1E0C5F" w14:textId="77777777" w:rsidR="00854E9B" w:rsidRPr="00854E9B" w:rsidRDefault="00854E9B" w:rsidP="00854E9B">
      <w:pPr>
        <w:spacing w:after="0" w:line="264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854E9B">
        <w:rPr>
          <w:rFonts w:ascii="Calibri" w:eastAsia="Calibri" w:hAnsi="Calibri" w:cs="Calibri"/>
          <w:b/>
          <w:sz w:val="24"/>
          <w:szCs w:val="24"/>
        </w:rPr>
        <w:t>Corresponding Author</w:t>
      </w:r>
    </w:p>
    <w:p w14:paraId="1ACD5A27" w14:textId="77777777" w:rsidR="00854E9B" w:rsidRPr="00854E9B" w:rsidRDefault="00854E9B" w:rsidP="00854E9B">
      <w:pPr>
        <w:spacing w:after="0" w:line="264" w:lineRule="auto"/>
        <w:jc w:val="both"/>
        <w:rPr>
          <w:rFonts w:ascii="Calibri" w:eastAsia="Calibri" w:hAnsi="Calibri" w:cs="Calibri"/>
        </w:rPr>
      </w:pPr>
      <w:r w:rsidRPr="00854E9B">
        <w:rPr>
          <w:rFonts w:ascii="Calibri" w:eastAsia="Calibri" w:hAnsi="Calibri" w:cs="Calibri"/>
        </w:rPr>
        <w:t>Francesca Palandri</w:t>
      </w:r>
    </w:p>
    <w:p w14:paraId="53084223" w14:textId="77777777" w:rsidR="00854E9B" w:rsidRPr="00854E9B" w:rsidRDefault="00854E9B" w:rsidP="00854E9B">
      <w:pPr>
        <w:spacing w:after="0" w:line="240" w:lineRule="auto"/>
        <w:jc w:val="both"/>
        <w:rPr>
          <w:rFonts w:ascii="Calibri" w:eastAsia="Calibri" w:hAnsi="Calibri" w:cs="Calibri"/>
        </w:rPr>
      </w:pPr>
      <w:r w:rsidRPr="00854E9B">
        <w:rPr>
          <w:rFonts w:ascii="Calibri" w:eastAsia="Calibri" w:hAnsi="Calibri" w:cs="Calibri"/>
        </w:rPr>
        <w:t xml:space="preserve">IRCCS Azienda Ospedaliero-Universitaria di Bologna </w:t>
      </w:r>
    </w:p>
    <w:p w14:paraId="7EDE2CDA" w14:textId="77777777" w:rsidR="00854E9B" w:rsidRPr="00854E9B" w:rsidRDefault="00854E9B" w:rsidP="00854E9B">
      <w:pPr>
        <w:spacing w:after="0" w:line="240" w:lineRule="auto"/>
        <w:jc w:val="both"/>
        <w:rPr>
          <w:rFonts w:ascii="Calibri" w:eastAsia="Calibri" w:hAnsi="Calibri" w:cs="Calibri"/>
        </w:rPr>
      </w:pPr>
      <w:r w:rsidRPr="00854E9B">
        <w:rPr>
          <w:rFonts w:ascii="Calibri" w:eastAsia="Calibri" w:hAnsi="Calibri" w:cs="Calibri"/>
        </w:rPr>
        <w:t>Istituto di Ematologia “Seràgnoli”, Bologna, Italy</w:t>
      </w:r>
    </w:p>
    <w:p w14:paraId="2C6B95DE" w14:textId="77777777" w:rsidR="00854E9B" w:rsidRPr="00854E9B" w:rsidRDefault="00854E9B" w:rsidP="00854E9B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r w:rsidRPr="00854E9B">
        <w:rPr>
          <w:rFonts w:ascii="Calibri" w:eastAsia="Calibri" w:hAnsi="Calibri" w:cs="Calibri"/>
          <w:lang w:val="en-US"/>
        </w:rPr>
        <w:t>Tel +39 051 214 3044</w:t>
      </w:r>
      <w:r w:rsidRPr="00854E9B">
        <w:rPr>
          <w:rFonts w:ascii="Calibri" w:eastAsia="Calibri" w:hAnsi="Calibri" w:cs="Calibri"/>
          <w:lang w:val="en-US"/>
        </w:rPr>
        <w:tab/>
      </w:r>
    </w:p>
    <w:p w14:paraId="36612411" w14:textId="77777777" w:rsidR="00854E9B" w:rsidRPr="00854E9B" w:rsidRDefault="00854E9B" w:rsidP="00854E9B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r w:rsidRPr="00854E9B">
        <w:rPr>
          <w:rFonts w:ascii="Calibri" w:eastAsia="Calibri" w:hAnsi="Calibri" w:cs="Calibri"/>
          <w:lang w:val="en-US"/>
        </w:rPr>
        <w:t>Fax +39 051 636 4037</w:t>
      </w:r>
    </w:p>
    <w:p w14:paraId="47B15F6A" w14:textId="77777777" w:rsidR="00854E9B" w:rsidRPr="00854E9B" w:rsidRDefault="00854E9B" w:rsidP="00854E9B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r w:rsidRPr="00854E9B">
        <w:rPr>
          <w:rFonts w:ascii="Calibri" w:eastAsia="Calibri" w:hAnsi="Calibri" w:cs="Calibri"/>
          <w:lang w:val="en-US"/>
        </w:rPr>
        <w:t>e-mail: francesca.palandri@unibo.it</w:t>
      </w:r>
    </w:p>
    <w:p w14:paraId="7AA64B08" w14:textId="77777777" w:rsidR="00854E9B" w:rsidRPr="00854E9B" w:rsidRDefault="00854E9B" w:rsidP="00854E9B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61746F30" w14:textId="7052FA0B" w:rsidR="00854E9B" w:rsidRDefault="00854E9B" w:rsidP="003C531F">
      <w:pPr>
        <w:pStyle w:val="Titolo1"/>
        <w:spacing w:before="0"/>
        <w:sectPr w:rsidR="00854E9B" w:rsidSect="00854E9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4234B98" w14:textId="1C180B41" w:rsidR="003C531F" w:rsidRDefault="003C531F" w:rsidP="003C531F">
      <w:pPr>
        <w:pStyle w:val="Titolo1"/>
        <w:spacing w:before="0"/>
      </w:pPr>
      <w:r>
        <w:lastRenderedPageBreak/>
        <w:t>Supplemental Figure 1</w:t>
      </w:r>
      <w:r w:rsidR="00373B7D">
        <w:t>: Patients’ timelines</w:t>
      </w:r>
    </w:p>
    <w:p w14:paraId="7308F0F1" w14:textId="27435E9C" w:rsidR="00A142D2" w:rsidRDefault="00373B7D" w:rsidP="00373B7D">
      <w:pPr>
        <w:spacing w:after="240"/>
      </w:pPr>
      <w:r w:rsidRPr="00373B7D">
        <w:rPr>
          <w:b/>
          <w:bCs/>
        </w:rPr>
        <w:t>Suppl. Fig. 1A</w:t>
      </w:r>
      <w:r>
        <w:t xml:space="preserve">: Low-risk patients previously treated with </w:t>
      </w:r>
      <w:r>
        <w:rPr>
          <w:sz w:val="24"/>
          <w:szCs w:val="24"/>
        </w:rPr>
        <w:t>an alternative IFN formulation</w:t>
      </w:r>
    </w:p>
    <w:p w14:paraId="7453B1A8" w14:textId="246D9FD3" w:rsidR="003C531F" w:rsidRDefault="008D4C7C">
      <w:r>
        <w:rPr>
          <w:noProof/>
        </w:rPr>
        <w:drawing>
          <wp:inline distT="0" distB="0" distL="0" distR="0" wp14:anchorId="55383709" wp14:editId="326A1429">
            <wp:extent cx="9009786" cy="4560124"/>
            <wp:effectExtent l="0" t="0" r="127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475" cy="4567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CF704" w14:textId="7CFD0BE6" w:rsidR="00373B7D" w:rsidRDefault="00373B7D"/>
    <w:p w14:paraId="12BE6048" w14:textId="2C806906" w:rsidR="00373B7D" w:rsidRDefault="00373B7D"/>
    <w:p w14:paraId="5549CDDD" w14:textId="0B6B8A74" w:rsidR="00373B7D" w:rsidRDefault="00373B7D"/>
    <w:p w14:paraId="540CBF26" w14:textId="77777777" w:rsidR="00373B7D" w:rsidRDefault="00373B7D" w:rsidP="00373B7D">
      <w:pPr>
        <w:spacing w:after="240"/>
      </w:pPr>
      <w:r w:rsidRPr="00373B7D">
        <w:rPr>
          <w:b/>
          <w:bCs/>
        </w:rPr>
        <w:lastRenderedPageBreak/>
        <w:t>Suppl. Fig. 1B</w:t>
      </w:r>
      <w:r>
        <w:t xml:space="preserve">: Low-risk patients non-treated with an </w:t>
      </w:r>
      <w:r>
        <w:rPr>
          <w:sz w:val="24"/>
          <w:szCs w:val="24"/>
        </w:rPr>
        <w:t>alternative IFN formulation</w:t>
      </w:r>
    </w:p>
    <w:p w14:paraId="37AB3E96" w14:textId="1DCC4BC2" w:rsidR="00373B7D" w:rsidRDefault="008D4C7C">
      <w:r>
        <w:rPr>
          <w:noProof/>
        </w:rPr>
        <w:drawing>
          <wp:inline distT="0" distB="0" distL="0" distR="0" wp14:anchorId="784F4417" wp14:editId="7536D518">
            <wp:extent cx="9361106" cy="5557652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961" cy="5578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7A96B" w14:textId="3E1D9115" w:rsidR="00DE0D56" w:rsidRDefault="00DE0D56" w:rsidP="00DE0D56">
      <w:pPr>
        <w:spacing w:after="240"/>
      </w:pPr>
      <w:r w:rsidRPr="00373B7D">
        <w:rPr>
          <w:b/>
          <w:bCs/>
        </w:rPr>
        <w:lastRenderedPageBreak/>
        <w:t>Suppl. Fig. 1</w:t>
      </w:r>
      <w:r>
        <w:rPr>
          <w:b/>
          <w:bCs/>
        </w:rPr>
        <w:t>C</w:t>
      </w:r>
      <w:r>
        <w:t>: High-risk patients</w:t>
      </w:r>
    </w:p>
    <w:p w14:paraId="188EED4C" w14:textId="2569178C" w:rsidR="00DE0D56" w:rsidRDefault="008D4C7C">
      <w:r>
        <w:rPr>
          <w:noProof/>
        </w:rPr>
        <w:drawing>
          <wp:inline distT="0" distB="0" distL="0" distR="0" wp14:anchorId="786C44CB" wp14:editId="04566C11">
            <wp:extent cx="8688433" cy="4013458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524" cy="4017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21A26" w14:textId="74E05732" w:rsidR="004F1069" w:rsidRDefault="004F1069" w:rsidP="004F1069">
      <w:pPr>
        <w:spacing w:after="0"/>
      </w:pPr>
      <w:r w:rsidRPr="001A05E4">
        <w:rPr>
          <w:b/>
          <w:bCs/>
        </w:rPr>
        <w:t>IFN</w:t>
      </w:r>
      <w:r>
        <w:t xml:space="preserve">: Interferon; </w:t>
      </w:r>
      <w:r w:rsidRPr="001A05E4">
        <w:rPr>
          <w:b/>
          <w:bCs/>
        </w:rPr>
        <w:t>HU</w:t>
      </w:r>
      <w:r>
        <w:t xml:space="preserve">: Hydroxyurea; </w:t>
      </w:r>
      <w:r w:rsidRPr="001A05E4">
        <w:rPr>
          <w:b/>
          <w:bCs/>
        </w:rPr>
        <w:t>PLT</w:t>
      </w:r>
      <w:r>
        <w:t xml:space="preserve">: Platelets; </w:t>
      </w:r>
      <w:r w:rsidRPr="001A05E4">
        <w:rPr>
          <w:b/>
          <w:bCs/>
        </w:rPr>
        <w:t>GI</w:t>
      </w:r>
      <w:r>
        <w:t xml:space="preserve">: Gastrointestinal; </w:t>
      </w:r>
      <w:r w:rsidRPr="001A05E4">
        <w:rPr>
          <w:b/>
          <w:bCs/>
        </w:rPr>
        <w:t>TSS</w:t>
      </w:r>
      <w:r>
        <w:t xml:space="preserve">: Total Symptoms Score; </w:t>
      </w:r>
      <w:r w:rsidRPr="001A05E4">
        <w:rPr>
          <w:b/>
          <w:bCs/>
        </w:rPr>
        <w:t>PHL</w:t>
      </w:r>
      <w:r>
        <w:t xml:space="preserve">: Phlebotomies; </w:t>
      </w:r>
      <w:r w:rsidRPr="001A05E4">
        <w:rPr>
          <w:b/>
          <w:bCs/>
        </w:rPr>
        <w:t>w</w:t>
      </w:r>
      <w:r>
        <w:t xml:space="preserve">: weekly; </w:t>
      </w:r>
      <w:r w:rsidRPr="001A05E4">
        <w:rPr>
          <w:b/>
          <w:bCs/>
        </w:rPr>
        <w:t>2w</w:t>
      </w:r>
      <w:r>
        <w:t>: every two weeks.</w:t>
      </w:r>
    </w:p>
    <w:p w14:paraId="2821CE84" w14:textId="77777777" w:rsidR="004F1069" w:rsidRDefault="004F1069" w:rsidP="004F1069">
      <w:pPr>
        <w:spacing w:after="0"/>
      </w:pPr>
      <w:r>
        <w:t>Overlapping cytoreduction bars represent joint therapies.</w:t>
      </w:r>
    </w:p>
    <w:p w14:paraId="33FC65F6" w14:textId="77777777" w:rsidR="004F1069" w:rsidRDefault="004F1069" w:rsidP="004F1069">
      <w:pPr>
        <w:spacing w:after="0"/>
      </w:pPr>
      <w:r>
        <w:t>Patient 3 was the only one presenting splenomegaly at diagnosis.</w:t>
      </w:r>
    </w:p>
    <w:p w14:paraId="1F22A079" w14:textId="01ECB06D" w:rsidR="004F1069" w:rsidRDefault="001A05E4">
      <w:r>
        <w:t>Number of p</w:t>
      </w:r>
      <w:r w:rsidR="004F1069">
        <w:t xml:space="preserve">hlebotomies are </w:t>
      </w:r>
      <w:r>
        <w:t>reported</w:t>
      </w:r>
      <w:r w:rsidR="004F1069">
        <w:t xml:space="preserve"> over a 6-month period.</w:t>
      </w:r>
    </w:p>
    <w:sectPr w:rsidR="004F1069" w:rsidSect="003C531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B4"/>
    <w:rsid w:val="000F40B4"/>
    <w:rsid w:val="001A05E4"/>
    <w:rsid w:val="001E5652"/>
    <w:rsid w:val="002A2B17"/>
    <w:rsid w:val="00373B7D"/>
    <w:rsid w:val="003C531F"/>
    <w:rsid w:val="004F1069"/>
    <w:rsid w:val="007B3F39"/>
    <w:rsid w:val="00854E9B"/>
    <w:rsid w:val="008D4C7C"/>
    <w:rsid w:val="008F05CC"/>
    <w:rsid w:val="00A142D2"/>
    <w:rsid w:val="00A46F06"/>
    <w:rsid w:val="00C43BEF"/>
    <w:rsid w:val="00D80D89"/>
    <w:rsid w:val="00DE0D56"/>
    <w:rsid w:val="00EE7344"/>
    <w:rsid w:val="00FA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3106"/>
  <w15:chartTrackingRefBased/>
  <w15:docId w15:val="{9F84A5A8-3665-49E7-827C-41C3FD57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53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4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53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4E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</dc:creator>
  <cp:keywords/>
  <dc:description/>
  <cp:lastModifiedBy>Filippo Branzanti</cp:lastModifiedBy>
  <cp:revision>10</cp:revision>
  <dcterms:created xsi:type="dcterms:W3CDTF">2023-12-01T12:54:00Z</dcterms:created>
  <dcterms:modified xsi:type="dcterms:W3CDTF">2024-03-20T09:01:00Z</dcterms:modified>
</cp:coreProperties>
</file>